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Heading1"/>
        <w:spacing w:before="240" w:after="120"/>
      </w:pPr>
      <w:r>
        <w:rPr>
          <w:b/>
          <w:sz w:val="32"/>
          <w:szCs w:val="32"/>
        </w:rPr>
        <w:t>Differential Equations and Dynamical Systems in Biology</w:t>
      </w:r>
    </w:p>
    <w:p>
      <w:pPr>
        <w:pStyle w:val="Heading2"/>
        <w:spacing w:before="200" w:after="100"/>
      </w:pPr>
      <w:r>
        <w:rPr>
          <w:b/>
          <w:sz w:val="28"/>
          <w:szCs w:val="28"/>
        </w:rPr>
        <w:t>Book: Biomathematics: A New Horizon of Science and Engineering</w:t>
      </w:r>
    </w:p>
    <w:p>
      <w:pPr>
        <w:pStyle w:val="Heading2"/>
        <w:spacing w:before="200" w:after="100"/>
      </w:pPr>
      <w:r>
        <w:rPr>
          <w:b/>
          <w:sz w:val="28"/>
          <w:szCs w:val="28"/>
        </w:rPr>
        <w:t>Section 1: Foundations of Mathematical Biology</w:t>
      </w:r>
    </w:p>
    <w:p>
      <w:pPr>
        <w:pStyle w:val="Heading3"/>
        <w:spacing w:before="160" w:after="80"/>
      </w:pPr>
      <w:r>
        <w:rPr>
          <w:b/>
          <w:sz w:val="26"/>
          <w:szCs w:val="26"/>
        </w:rPr>
        <w:t>1.1 Introduction to Biomathematics and Its Scope</w:t>
      </w:r>
    </w:p>
    <w:p>
      <w:pPr>
        <w:pStyle w:val="Heading4"/>
        <w:spacing w:before="120" w:after="60"/>
      </w:pPr>
      <w:r>
        <w:rPr>
          <w:b/>
          <w:i/>
          <w:sz w:val="24"/>
          <w:szCs w:val="24"/>
        </w:rPr>
        <w:t>Role of Mathematics in Understanding Biological Systems</w:t>
      </w:r>
    </w:p>
    <w:p>
      <w:pPr>
        <w:spacing w:after="120" w:line="360" w:lineRule="auto"/>
        <w:ind w:firstLine="720"/>
        <w:jc w:val="both"/>
      </w:pPr>
      <w:r>
        <w:rPr>
          <w:sz w:val="24"/>
          <w:szCs w:val="24"/>
        </w:rPr>
        <w:t xml:space="preserve">Biomathematics represents the convergence of mathematical sciences and biological inquiry, providing a rigorous framework for understanding the complex mechanisms that govern living systems. At its core, biomathematics employs quantitative tools—differential equations, statistical methods, computational algorithms, and algebraic structures—to describe, predict, and analyze biological phenomena that range from molecular interactions within a single cell to ecosystem-level dynamics spanning continents.</w:t>
      </w:r>
    </w:p>
    <w:p>
      <w:pPr>
        <w:spacing w:after="120" w:line="360" w:lineRule="auto"/>
        <w:ind w:firstLine="720"/>
        <w:jc w:val="both"/>
      </w:pPr>
      <w:r>
        <w:rPr>
          <w:sz w:val="24"/>
          <w:szCs w:val="24"/>
        </w:rPr>
        <w:t xml:space="preserve">The role of mathematics in biology extends far beyond mere description. Mathematical models serve as intellectual laboratories where hypotheses can be tested, predictions generated, and fundamental principles extracted from the overwhelming complexity of living systems. Unlike physical systems, biological entities exhibit remarkable heterogeneity, adaptability, and evolutionary dynamics that challenge traditional mathematical approaches and demand innovative theoretical frameworks.</w:t>
      </w:r>
    </w:p>
    <w:p>
      <w:pPr>
        <w:spacing w:after="120" w:line="360" w:lineRule="auto"/>
        <w:ind w:firstLine="720"/>
        <w:jc w:val="both"/>
      </w:pPr>
      <w:r>
        <w:rPr>
          <w:sz w:val="24"/>
          <w:szCs w:val="24"/>
        </w:rPr>
        <w:t xml:space="preserve">Modern biology increasingly recognizes that qualitative descriptions alone are insufficient to capture the richness of biological phenomena. Quantitative approaches enable researchers to identify threshold behaviors, predict tipping points, optimize therapeutic interventions, and design experiments with greater precision. The marriage of mathematics and biology has yielded transformative insights in areas as diverse as genomics, neuroscience, ecology, and medicine.</w:t>
      </w:r>
    </w:p>
    <w:p>
      <w:pPr>
        <w:pStyle w:val="Heading4"/>
        <w:spacing w:before="120" w:after="60"/>
      </w:pPr>
      <w:r>
        <w:rPr>
          <w:b/>
          <w:i/>
          <w:sz w:val="24"/>
          <w:szCs w:val="24"/>
        </w:rPr>
        <w:t>Historical Development and Interdisciplinary Significance</w:t>
      </w:r>
    </w:p>
    <w:p>
      <w:pPr>
        <w:spacing w:after="120" w:line="360" w:lineRule="auto"/>
        <w:ind w:firstLine="720"/>
        <w:jc w:val="both"/>
      </w:pPr>
      <w:r>
        <w:rPr>
          <w:sz w:val="24"/>
          <w:szCs w:val="24"/>
        </w:rPr>
        <w:t xml:space="preserve">The historical roots of biomathematics extend to the eighteenth century, when Daniel Bernoulli applied mathematical reasoning to model smallpox inoculation in 1766, demonstrating that vaccination could significantly reduce mortality. This pioneering work established the principle that mathematical analysis could inform public health decisions—a theme that resonates powerfully in contemporary epidemiology.</w:t>
      </w:r>
    </w:p>
    <w:p>
      <w:pPr>
        <w:spacing w:after="120" w:line="360" w:lineRule="auto"/>
        <w:ind w:firstLine="720"/>
        <w:jc w:val="both"/>
      </w:pPr>
      <w:r>
        <w:rPr>
          <w:sz w:val="24"/>
          <w:szCs w:val="24"/>
        </w:rPr>
        <w:t xml:space="preserve">The nineteenth century witnessed Thomas Malthus's exponential growth model and Pierre-Francois Verhulst's logistic equation, both foundational contributions to population biology. Charles Darwin's theory of evolution, while not explicitly mathematical, inspired subsequent generations of theorists including Ronald Fisher, J.B.S. Haldane, and Sewall Wright, who formalized population genetics through mathematical frameworks in the early twentieth century.</w:t>
      </w:r>
    </w:p>
    <w:p>
      <w:pPr>
        <w:spacing w:after="120" w:line="360" w:lineRule="auto"/>
        <w:ind w:firstLine="720"/>
        <w:jc w:val="both"/>
      </w:pPr>
      <w:r>
        <w:rPr>
          <w:sz w:val="24"/>
          <w:szCs w:val="24"/>
        </w:rPr>
        <w:t xml:space="preserve">The landmark contributions of Alfred Lotka and Vito Volterra in the 1920s established predator-prey dynamics as a canonical example of mathematical ecology. Simultaneously, Alan Turing's 1952 paper on morphogenesis demonstrated how reaction-diffusion equations could explain pattern formation in biological development, bridging the gap between chemistry, mathematics, and developmental biology.</w:t>
      </w:r>
    </w:p>
    <w:p>
      <w:pPr>
        <w:spacing w:after="120" w:line="360" w:lineRule="auto"/>
        <w:ind w:firstLine="720"/>
        <w:jc w:val="both"/>
      </w:pPr>
      <w:r>
        <w:rPr>
          <w:sz w:val="24"/>
          <w:szCs w:val="24"/>
        </w:rPr>
        <w:t xml:space="preserve">The latter half of the twentieth century saw explosive growth in computational biology, systems biology, and bioinformatics, driven by advances in computing power and experimental techniques. Today, biomathematics stands as an indispensable discipline that connects theoretical frameworks with experimental observations across all scales of biological organization.</w:t>
      </w:r>
    </w:p>
    <w:p>
      <w:pPr>
        <w:pStyle w:val="Heading4"/>
        <w:spacing w:before="120" w:after="60"/>
      </w:pPr>
      <w:r>
        <w:rPr>
          <w:b/>
          <w:i/>
          <w:sz w:val="24"/>
          <w:szCs w:val="24"/>
        </w:rPr>
        <w:t>Examples of Biological Phenomena Modeled Mathematically</w:t>
      </w:r>
    </w:p>
    <w:p>
      <w:pPr>
        <w:spacing w:after="120" w:line="360" w:lineRule="auto"/>
        <w:ind w:firstLine="720"/>
        <w:jc w:val="both"/>
      </w:pPr>
      <w:r>
        <w:rPr>
          <w:sz w:val="24"/>
          <w:szCs w:val="24"/>
        </w:rPr>
        <w:t xml:space="preserve">Biological systems amenable to mathematical modeling span an extraordinary range of scales and complexity. At the molecular level, enzyme kinetics described by Michaelis-Menten equations characterize the rates of biochemical reactions fundamental to cellular metabolism. Gene regulatory networks modeled through systems of differential equations reveal how cells control protein expression and respond to environmental signals.</w:t>
      </w:r>
    </w:p>
    <w:p>
      <w:pPr>
        <w:spacing w:after="120" w:line="360" w:lineRule="auto"/>
        <w:ind w:firstLine="720"/>
        <w:jc w:val="both"/>
      </w:pPr>
      <w:r>
        <w:rPr>
          <w:sz w:val="24"/>
          <w:szCs w:val="24"/>
        </w:rPr>
        <w:t xml:space="preserve">At the cellular level, the Hodgkin-Huxley model describes action potential generation in neurons through coupled nonlinear differential equations, representing one of the most successful applications of mathematical modeling in physiology. Cell cycle models capture the regulatory mechanisms governing cell division, with implications for understanding cancer proliferation.</w:t>
      </w:r>
    </w:p>
    <w:p>
      <w:pPr>
        <w:spacing w:after="120" w:line="360" w:lineRule="auto"/>
        <w:ind w:firstLine="720"/>
        <w:jc w:val="both"/>
      </w:pPr>
      <w:r>
        <w:rPr>
          <w:sz w:val="24"/>
          <w:szCs w:val="24"/>
        </w:rPr>
        <w:t xml:space="preserve">Population-level phenomena include the spread of infectious diseases modeled through compartmental frameworks, predator-prey oscillations in ecological communities, and the dynamics of competing species in shared habitats. At the ecosystem scale, models of nutrient cycling, carbon flux, and biodiversity maintenance provide insights critical for conservation biology and environmental management.</w:t>
      </w:r>
    </w:p>
    <w:p>
      <w:pPr>
        <w:pStyle w:val="Heading3"/>
        <w:spacing w:before="160" w:after="80"/>
      </w:pPr>
      <w:r>
        <w:rPr>
          <w:b/>
          <w:sz w:val="26"/>
          <w:szCs w:val="26"/>
        </w:rPr>
        <w:t>1.2 Basics of Differential Equations in Biology</w:t>
      </w:r>
    </w:p>
    <w:p>
      <w:pPr>
        <w:pStyle w:val="Heading4"/>
        <w:spacing w:before="120" w:after="60"/>
      </w:pPr>
      <w:r>
        <w:rPr>
          <w:b/>
          <w:i/>
          <w:sz w:val="24"/>
          <w:szCs w:val="24"/>
        </w:rPr>
        <w:t>Ordinary and Partial Differential Equations (ODEs &amp; PDEs)</w:t>
      </w:r>
    </w:p>
    <w:p>
      <w:pPr>
        <w:spacing w:after="120" w:line="360" w:lineRule="auto"/>
        <w:ind w:firstLine="720"/>
        <w:jc w:val="both"/>
      </w:pPr>
      <w:r>
        <w:rPr>
          <w:sz w:val="24"/>
          <w:szCs w:val="24"/>
        </w:rPr>
        <w:t xml:space="preserve">Differential equations constitute the primary mathematical language for describing how biological quantities change over time and space. Ordinary differential equations (ODEs) describe the temporal evolution of state variables—such as population sizes, chemical concentrations, or membrane potentials—when spatial variation is neglected or averaged. A general ODE system takes the form dx/dt = f(x, t), where x represents a vector of state variables and f encodes the biological interactions.</w:t>
      </w:r>
    </w:p>
    <w:p>
      <w:pPr>
        <w:spacing w:after="120" w:line="360" w:lineRule="auto"/>
        <w:ind w:firstLine="720"/>
        <w:jc w:val="both"/>
      </w:pPr>
      <w:r>
        <w:rPr>
          <w:sz w:val="24"/>
          <w:szCs w:val="24"/>
        </w:rPr>
        <w:t xml:space="preserve">Partial differential equations (PDEs) extend this framework to include spatial dependence, describing phenomena where both temporal and spatial variations are important. The general reaction-diffusion equation, ∂u/∂t = D∇²u + R(u), combines diffusive transport (characterized by diffusion coefficient D) with local reaction kinetics R(u). Such equations are essential for modeling pattern formation, tissue growth, tumor invasion, and the spatial spread of epidemics.</w:t>
      </w:r>
    </w:p>
    <w:p>
      <w:pPr>
        <w:spacing w:after="120" w:line="360" w:lineRule="auto"/>
        <w:ind w:firstLine="720"/>
        <w:jc w:val="both"/>
      </w:pPr>
      <w:r>
        <w:rPr>
          <w:sz w:val="24"/>
          <w:szCs w:val="24"/>
        </w:rPr>
        <w:t xml:space="preserve">The choice between ODE and PDE formulations depends on the biological question and the spatial scale of interest. When organisms or molecules are well-mixed within a compartment, ODE models provide adequate descriptions. When spatial heterogeneity drives important biological outcomes—such as morphogen gradients guiding embryonic development—PDE models become necessary.</w:t>
      </w:r>
    </w:p>
    <w:p>
      <w:pPr>
        <w:spacing w:after="120" w:line="360" w:lineRule="auto"/>
        <w:ind w:firstLine="720"/>
        <w:jc w:val="both"/>
      </w:pPr>
      <w:r>
        <w:rPr>
          <w:sz w:val="24"/>
          <w:szCs w:val="24"/>
        </w:rPr>
        <w:t xml:space="preserve">First-order ODEs describe simple growth and decay processes, while systems of coupled first-order ODEs capture interactions between multiple biological components. Higher-order equations occasionally appear, particularly in models of mechanical systems or oscillatory processes, though they can always be reformulated as first-order systems through appropriate variable substitutions.</w:t>
      </w:r>
    </w:p>
    <w:p>
      <w:pPr>
        <w:pStyle w:val="Heading4"/>
        <w:spacing w:before="120" w:after="60"/>
      </w:pPr>
      <w:r>
        <w:rPr>
          <w:b/>
          <w:i/>
          <w:sz w:val="24"/>
          <w:szCs w:val="24"/>
        </w:rPr>
        <w:t>Initial and Boundary Conditions in Biological Contexts</w:t>
      </w:r>
    </w:p>
    <w:p>
      <w:pPr>
        <w:spacing w:after="120" w:line="360" w:lineRule="auto"/>
        <w:ind w:firstLine="720"/>
        <w:jc w:val="both"/>
      </w:pPr>
      <w:r>
        <w:rPr>
          <w:sz w:val="24"/>
          <w:szCs w:val="24"/>
        </w:rPr>
        <w:t xml:space="preserve">The specification of initial conditions reflects the biological state of a system at the beginning of an observation or experiment. In population models, initial conditions represent founding population sizes; in epidemiology, they specify the initial numbers of susceptible, infected, and recovered individuals; in pharmacokinetics, they represent initial drug concentrations following administration.</w:t>
      </w:r>
    </w:p>
    <w:p>
      <w:pPr>
        <w:spacing w:after="120" w:line="360" w:lineRule="auto"/>
        <w:ind w:firstLine="720"/>
        <w:jc w:val="both"/>
      </w:pPr>
      <w:r>
        <w:rPr>
          <w:sz w:val="24"/>
          <w:szCs w:val="24"/>
        </w:rPr>
        <w:t xml:space="preserve">Boundary conditions become essential in spatial models and take various forms depending on the biological scenario. Dirichlet conditions specify fixed values at domain boundaries—for example, a constant nutrient concentration maintained at a tissue surface. Neumann conditions specify flux rates, appropriate when modeling impermeable boundaries (zero-flux conditions) or controlled substance delivery. Robin conditions combine both types and arise naturally in models of membrane transport where flux depends on the local concentration difference.</w:t>
      </w:r>
    </w:p>
    <w:p>
      <w:pPr>
        <w:spacing w:after="120" w:line="360" w:lineRule="auto"/>
        <w:ind w:firstLine="720"/>
        <w:jc w:val="both"/>
      </w:pPr>
      <w:r>
        <w:rPr>
          <w:sz w:val="24"/>
          <w:szCs w:val="24"/>
        </w:rPr>
        <w:t xml:space="preserve">The biological interpretation of boundary conditions requires careful consideration of the physical system. A developing embryo has finite spatial extent with specific conditions at its boundaries; a tumor growing within surrounding tissue experiences mechanical and chemical constraints at its periphery; a population confined to an island faces geographic boundaries that prevent migration.</w:t>
      </w:r>
    </w:p>
    <w:p>
      <w:pPr>
        <w:pStyle w:val="Heading4"/>
        <w:spacing w:before="120" w:after="60"/>
      </w:pPr>
      <w:r>
        <w:rPr>
          <w:b/>
          <w:i/>
          <w:sz w:val="24"/>
          <w:szCs w:val="24"/>
        </w:rPr>
        <w:t>Analytical vs Numerical Solution Approaches</w:t>
      </w:r>
    </w:p>
    <w:p>
      <w:pPr>
        <w:spacing w:after="120" w:line="360" w:lineRule="auto"/>
        <w:ind w:firstLine="720"/>
        <w:jc w:val="both"/>
      </w:pPr>
      <w:r>
        <w:rPr>
          <w:sz w:val="24"/>
          <w:szCs w:val="24"/>
        </w:rPr>
        <w:t xml:space="preserve">Analytical solutions, when obtainable, provide complete mathematical expressions describing system behavior for all parameter values and initial conditions. Linear ODEs and certain special classes of nonlinear equations admit closed-form solutions that offer transparent insight into parameter dependencies and qualitative behavior. The logistic equation, for instance, yields an explicit solution revealing sigmoidal growth toward carrying capacity.</w:t>
      </w:r>
    </w:p>
    <w:p>
      <w:pPr>
        <w:spacing w:after="120" w:line="360" w:lineRule="auto"/>
        <w:ind w:firstLine="720"/>
        <w:jc w:val="both"/>
      </w:pPr>
      <w:r>
        <w:rPr>
          <w:sz w:val="24"/>
          <w:szCs w:val="24"/>
        </w:rPr>
        <w:t xml:space="preserve">However, the majority of biologically realistic models involve nonlinear interactions that preclude analytical solutions. In such cases, qualitative analysis techniques—phase plane analysis, stability theory, and bifurcation analysis—extract behavioral information without requiring explicit solutions. These methods reveal the existence and stability of equilibria, the presence of oscillatory behavior, and the dependence of qualitative dynamics on parameter values.</w:t>
      </w:r>
    </w:p>
    <w:p>
      <w:pPr>
        <w:spacing w:after="120" w:line="360" w:lineRule="auto"/>
        <w:ind w:firstLine="720"/>
        <w:jc w:val="both"/>
      </w:pPr>
      <w:r>
        <w:rPr>
          <w:sz w:val="24"/>
          <w:szCs w:val="24"/>
        </w:rPr>
        <w:t xml:space="preserve">Numerical methods become indispensable for quantitative predictions and for systems too complex for analytical treatment. Euler's method provides conceptual simplicity but poor accuracy, while Runge-Kutta methods offer excellent accuracy for smooth systems. Stiff biological systems—those with widely separated time scales—require implicit methods such as backward differentiation formulas to maintain stability. Spatial discretization techniques including finite differences, finite elements, and spectral methods enable numerical solution of PDEs arising in biological contexts.</w:t>
      </w:r>
    </w:p>
    <w:p>
      <w:pPr>
        <w:pStyle w:val="Heading3"/>
        <w:spacing w:before="160" w:after="80"/>
      </w:pPr>
      <w:r>
        <w:rPr>
          <w:b/>
          <w:sz w:val="26"/>
          <w:szCs w:val="26"/>
        </w:rPr>
        <w:t>1.3 Modeling Biological Systems: Principles and Assumptions</w:t>
      </w:r>
    </w:p>
    <w:p>
      <w:pPr>
        <w:pStyle w:val="Heading4"/>
        <w:spacing w:before="120" w:after="60"/>
      </w:pPr>
      <w:r>
        <w:rPr>
          <w:b/>
          <w:i/>
          <w:sz w:val="24"/>
          <w:szCs w:val="24"/>
        </w:rPr>
        <w:t>Deterministic vs Stochastic Models</w:t>
      </w:r>
    </w:p>
    <w:p>
      <w:pPr>
        <w:spacing w:after="120" w:line="360" w:lineRule="auto"/>
        <w:ind w:firstLine="720"/>
        <w:jc w:val="both"/>
      </w:pPr>
      <w:r>
        <w:rPr>
          <w:sz w:val="24"/>
          <w:szCs w:val="24"/>
        </w:rPr>
        <w:t xml:space="preserve">Deterministic models assume that the future state of a system is completely determined by its current state and governing equations. These models, typically expressed as ODEs or PDEs, are appropriate when populations are large, molecular numbers are high, and random fluctuations average out. The law of mass action, which underlies much of chemical kinetics and reaction modeling, is inherently a deterministic approximation valid for large molecular populations.</w:t>
      </w:r>
    </w:p>
    <w:p>
      <w:pPr>
        <w:spacing w:after="120" w:line="360" w:lineRule="auto"/>
        <w:ind w:firstLine="720"/>
        <w:jc w:val="both"/>
      </w:pPr>
      <w:r>
        <w:rPr>
          <w:sz w:val="24"/>
          <w:szCs w:val="24"/>
        </w:rPr>
        <w:t xml:space="preserve">Stochastic models incorporate randomness explicitly, recognizing that biological processes are fundamentally probabilistic at the molecular level. Gene expression occurs in discrete bursts; individual organisms encounter random events; small populations experience demographic stochasticity that can drive extinction even when deterministic models predict persistence. The chemical master equation provides a complete probabilistic description of biochemical reaction systems, while stochastic differential equations (Langevin equations) offer continuous approximations incorporating noise terms.</w:t>
      </w:r>
    </w:p>
    <w:p>
      <w:pPr>
        <w:spacing w:after="120" w:line="360" w:lineRule="auto"/>
        <w:ind w:firstLine="720"/>
        <w:jc w:val="both"/>
      </w:pPr>
      <w:r>
        <w:rPr>
          <w:sz w:val="24"/>
          <w:szCs w:val="24"/>
        </w:rPr>
        <w:t xml:space="preserve">The transition between deterministic and stochastic descriptions often depends on system size. The system size expansion, developed by van Kampen, provides a systematic framework for understanding when deterministic approximations break down and stochastic effects become dominant. In practice, many biological systems operate in intermediate regimes where both deterministic dynamics and stochastic fluctuations contribute significantly to observed behavior.</w:t>
      </w:r>
    </w:p>
    <w:p>
      <w:pPr>
        <w:pStyle w:val="Heading4"/>
        <w:spacing w:before="120" w:after="60"/>
      </w:pPr>
      <w:r>
        <w:rPr>
          <w:b/>
          <w:i/>
          <w:sz w:val="24"/>
          <w:szCs w:val="24"/>
        </w:rPr>
        <w:t>Scaling, Simplification, and Parameter Estimation</w:t>
      </w:r>
    </w:p>
    <w:p>
      <w:pPr>
        <w:spacing w:after="120" w:line="360" w:lineRule="auto"/>
        <w:ind w:firstLine="720"/>
        <w:jc w:val="both"/>
      </w:pPr>
      <w:r>
        <w:rPr>
          <w:sz w:val="24"/>
          <w:szCs w:val="24"/>
        </w:rPr>
        <w:t xml:space="preserve">Model construction requires identifying the essential components and interactions while neglecting those of secondary importance. Dimensional analysis and non-dimensionalization reveal the fundamental parameter combinations that control system behavior, reducing the effective parameter space and identifying dominant balances. Time scale separation—the recognition that some processes occur much faster or slower than others—enables quasi-steady-state approximations that simplify model structure without sacrificing essential dynamics.</w:t>
      </w:r>
    </w:p>
    <w:p>
      <w:pPr>
        <w:spacing w:after="120" w:line="360" w:lineRule="auto"/>
        <w:ind w:firstLine="720"/>
        <w:jc w:val="both"/>
      </w:pPr>
      <w:r>
        <w:rPr>
          <w:sz w:val="24"/>
          <w:szCs w:val="24"/>
        </w:rPr>
        <w:t xml:space="preserve">The Michaelis-Menten approximation for enzyme kinetics exemplifies successful simplification: by assuming that enzyme-substrate complex formation reaches quasi-steady state rapidly compared to product formation, the full three-variable system reduces to a single equation with two effective parameters (Vmax and Km). This reduction preserves the essential saturation behavior while achieving mathematical tractability.</w:t>
      </w:r>
    </w:p>
    <w:p>
      <w:pPr>
        <w:spacing w:after="120" w:line="360" w:lineRule="auto"/>
        <w:ind w:firstLine="720"/>
        <w:jc w:val="both"/>
      </w:pPr>
      <w:r>
        <w:rPr>
          <w:sz w:val="24"/>
          <w:szCs w:val="24"/>
        </w:rPr>
        <w:t xml:space="preserve">Parameter estimation presents particular challenges in biological modeling because many parameters are difficult to measure directly. Inverse problem approaches fit model parameters to experimental time-course data, while Bayesian methods quantify parameter uncertainty given available observations. Identifiability analysis determines whether parameters can, in principle, be uniquely estimated from available measurements—a critical consideration for model reliability.</w:t>
      </w:r>
    </w:p>
    <w:p>
      <w:pPr>
        <w:pStyle w:val="Heading4"/>
        <w:spacing w:before="120" w:after="60"/>
      </w:pPr>
      <w:r>
        <w:rPr>
          <w:b/>
          <w:i/>
          <w:sz w:val="24"/>
          <w:szCs w:val="24"/>
        </w:rPr>
        <w:t>Model Validation Using Experimental Data</w:t>
      </w:r>
    </w:p>
    <w:p>
      <w:pPr>
        <w:spacing w:after="120" w:line="360" w:lineRule="auto"/>
        <w:ind w:firstLine="720"/>
        <w:jc w:val="both"/>
      </w:pPr>
      <w:r>
        <w:rPr>
          <w:sz w:val="24"/>
          <w:szCs w:val="24"/>
        </w:rPr>
        <w:t xml:space="preserve">Model validation involves comparing model predictions with independent experimental observations not used in parameter estimation. A validated model should not only reproduce training data but also predict behaviors under novel conditions—different initial conditions, parameter perturbations, or experimental protocols.</w:t>
      </w:r>
    </w:p>
    <w:p>
      <w:pPr>
        <w:spacing w:after="120" w:line="360" w:lineRule="auto"/>
        <w:ind w:firstLine="720"/>
        <w:jc w:val="both"/>
      </w:pPr>
      <w:r>
        <w:rPr>
          <w:sz w:val="24"/>
          <w:szCs w:val="24"/>
        </w:rPr>
        <w:t xml:space="preserve">Cross-validation techniques partition available data into training and testing sets, providing estimates of predictive accuracy. Sensitivity analysis identifies which parameters most strongly influence model outputs, guiding experimental design toward measurements that maximally constrain model predictions. Model selection criteria, including the Akaike Information Criterion and Bayesian Information Criterion, balance model fit against complexity, penalizing over-parameterized models that capture noise rather than signal.</w:t>
      </w:r>
    </w:p>
    <w:p>
      <w:pPr>
        <w:spacing w:after="120" w:line="360" w:lineRule="auto"/>
        <w:ind w:firstLine="720"/>
        <w:jc w:val="both"/>
      </w:pPr>
      <w:r>
        <w:rPr>
          <w:sz w:val="24"/>
          <w:szCs w:val="24"/>
        </w:rPr>
        <w:t xml:space="preserve">The iterative cycle of model development—hypothesis formulation, mathematical translation, analysis, experimental testing, and model refinement—constitutes the core methodology of biomathematics. This cycle demands close collaboration between mathematicians and experimentalists, ensuring that models remain grounded in biological reality while contributing genuine predictive and explanatory power.</w:t>
      </w:r>
    </w:p>
    <w:p>
      <w:pPr>
        <w:pStyle w:val="Heading2"/>
        <w:spacing w:before="200" w:after="100"/>
      </w:pPr>
      <w:r>
        <w:rPr>
          <w:b/>
          <w:sz w:val="28"/>
          <w:szCs w:val="28"/>
        </w:rPr>
        <w:t>Section 2: Dynamical Systems Theory in Biological Modeling</w:t>
      </w:r>
    </w:p>
    <w:p>
      <w:pPr>
        <w:pStyle w:val="Heading3"/>
        <w:spacing w:before="160" w:after="80"/>
      </w:pPr>
      <w:r>
        <w:rPr>
          <w:b/>
          <w:sz w:val="26"/>
          <w:szCs w:val="26"/>
        </w:rPr>
        <w:t>2.1 Introduction to Dynamical Systems</w:t>
      </w:r>
    </w:p>
    <w:p>
      <w:pPr>
        <w:pStyle w:val="Heading4"/>
        <w:spacing w:before="120" w:after="60"/>
      </w:pPr>
      <w:r>
        <w:rPr>
          <w:b/>
          <w:i/>
          <w:sz w:val="24"/>
          <w:szCs w:val="24"/>
        </w:rPr>
        <w:t>Definition of Dynamical Systems in Biology</w:t>
      </w:r>
    </w:p>
    <w:p>
      <w:pPr>
        <w:spacing w:after="120" w:line="360" w:lineRule="auto"/>
        <w:ind w:firstLine="720"/>
        <w:jc w:val="both"/>
      </w:pPr>
      <w:r>
        <w:rPr>
          <w:sz w:val="24"/>
          <w:szCs w:val="24"/>
        </w:rPr>
        <w:t xml:space="preserve">A dynamical system consists of a set of state variables whose temporal evolution is governed by a well-defined rule or set of equations. In biological contexts, state variables might represent population densities, chemical concentrations, membrane voltages, gene expression levels, or any other measurable biological quantities. The governing equations encode the mechanisms of change—birth and death processes, chemical reactions, transport phenomena, or regulatory interactions.</w:t>
      </w:r>
    </w:p>
    <w:p>
      <w:pPr>
        <w:spacing w:after="120" w:line="360" w:lineRule="auto"/>
        <w:ind w:firstLine="720"/>
        <w:jc w:val="both"/>
      </w:pPr>
      <w:r>
        <w:rPr>
          <w:sz w:val="24"/>
          <w:szCs w:val="24"/>
        </w:rPr>
        <w:t xml:space="preserve">Formally, a continuous-time dynamical system is specified by dx/dt = F(x), where x ∈ ℝⁿ represents the state vector and F: ℝⁿ → ℝⁿ defines the vector field governing evolution. The dimension n reflects the number of independent state variables required to completely characterize the system. Biological systems often involve high-dimensional state spaces, though effective low-dimensional descriptions frequently capture the essential dynamics.</w:t>
      </w:r>
    </w:p>
    <w:p>
      <w:pPr>
        <w:spacing w:after="120" w:line="360" w:lineRule="auto"/>
        <w:ind w:firstLine="720"/>
        <w:jc w:val="both"/>
      </w:pPr>
      <w:r>
        <w:rPr>
          <w:sz w:val="24"/>
          <w:szCs w:val="24"/>
        </w:rPr>
        <w:t xml:space="preserve">The deterministic nature of dynamical systems theory implies that complete knowledge of the current state uniquely determines all future states—the system's trajectory through state space is predetermined. This property, while an idealization for biological systems subject to noise and environmental variability, provides powerful analytical tools for understanding qualitative behavior patterns.</w:t>
      </w:r>
    </w:p>
    <w:p>
      <w:pPr>
        <w:pStyle w:val="Heading4"/>
        <w:spacing w:before="120" w:after="60"/>
      </w:pPr>
      <w:r>
        <w:rPr>
          <w:b/>
          <w:i/>
          <w:sz w:val="24"/>
          <w:szCs w:val="24"/>
        </w:rPr>
        <w:t>State Variables, Phase Space, and Trajectories</w:t>
      </w:r>
    </w:p>
    <w:p>
      <w:pPr>
        <w:spacing w:after="120" w:line="360" w:lineRule="auto"/>
        <w:ind w:firstLine="720"/>
        <w:jc w:val="both"/>
      </w:pPr>
      <w:r>
        <w:rPr>
          <w:sz w:val="24"/>
          <w:szCs w:val="24"/>
        </w:rPr>
        <w:t xml:space="preserve">Phase space (or state space) is the mathematical arena in which dynamical systems evolve—each point represents a possible system state, and the system's history traces a continuous curve (trajectory or orbit) through this space. For a two-species predator-prey system, phase space is the positive quadrant of the plane, with axes representing predator and prey densities.</w:t>
      </w:r>
    </w:p>
    <w:p>
      <w:pPr>
        <w:spacing w:after="120" w:line="360" w:lineRule="auto"/>
        <w:ind w:firstLine="720"/>
        <w:jc w:val="both"/>
      </w:pPr>
      <w:r>
        <w:rPr>
          <w:sz w:val="24"/>
          <w:szCs w:val="24"/>
        </w:rPr>
        <w:t xml:space="preserve">Phase portraits—collections of trajectories for different initial conditions—reveal the global dynamical organization of a system. They expose attracting and repelling structures, basins of attraction, separatrices that divide qualitatively different behaviors, and invariant manifolds along which dynamics are constrained. The geometric perspective offered by phase space analysis often provides more biological insight than numerical solutions alone.</w:t>
      </w:r>
    </w:p>
    <w:p>
      <w:pPr>
        <w:spacing w:after="120" w:line="360" w:lineRule="auto"/>
        <w:ind w:firstLine="720"/>
        <w:jc w:val="both"/>
      </w:pPr>
      <w:r>
        <w:rPr>
          <w:sz w:val="24"/>
          <w:szCs w:val="24"/>
        </w:rPr>
        <w:t xml:space="preserve">Trajectories in phase space satisfy fundamental properties: they cannot cross (a consequence of solution uniqueness for well-posed initial value problems), they extend for all future time (or reach the boundary of the biologically meaningful domain), and they must eventually approach some limiting structure—an equilibrium point, a periodic orbit, or a more complex attractor.</w:t>
      </w:r>
    </w:p>
    <w:p>
      <w:pPr>
        <w:pStyle w:val="Heading4"/>
        <w:spacing w:before="120" w:after="60"/>
      </w:pPr>
      <w:r>
        <w:rPr>
          <w:b/>
          <w:i/>
          <w:sz w:val="24"/>
          <w:szCs w:val="24"/>
        </w:rPr>
        <w:t>Continuous vs Discrete Dynamical Systems</w:t>
      </w:r>
    </w:p>
    <w:p>
      <w:pPr>
        <w:spacing w:after="120" w:line="360" w:lineRule="auto"/>
        <w:ind w:firstLine="720"/>
        <w:jc w:val="both"/>
      </w:pPr>
      <w:r>
        <w:rPr>
          <w:sz w:val="24"/>
          <w:szCs w:val="24"/>
        </w:rPr>
        <w:t xml:space="preserve">Continuous dynamical systems, described by ODEs, are appropriate when biological changes occur smoothly and continuously. Most physiological processes, chemical reactions, and large-population dynamics satisfy this condition and are naturally modeled in continuous time.</w:t>
      </w:r>
    </w:p>
    <w:p>
      <w:pPr>
        <w:spacing w:after="120" w:line="360" w:lineRule="auto"/>
        <w:ind w:firstLine="720"/>
        <w:jc w:val="both"/>
      </w:pPr>
      <w:r>
        <w:rPr>
          <w:sz w:val="24"/>
          <w:szCs w:val="24"/>
        </w:rPr>
        <w:t xml:space="preserve">Discrete dynamical systems, described by difference equations or maps x(n+1) = G(x(n)), are appropriate when changes occur at distinct time intervals. Organisms with non-overlapping generations (many insects, annual plants), seasonal breeding cycles, or pulsed interventions (periodic drug administration) are naturally described by discrete-time models.</w:t>
      </w:r>
    </w:p>
    <w:p>
      <w:pPr>
        <w:spacing w:after="120" w:line="360" w:lineRule="auto"/>
        <w:ind w:firstLine="720"/>
        <w:jc w:val="both"/>
      </w:pPr>
      <w:r>
        <w:rPr>
          <w:sz w:val="24"/>
          <w:szCs w:val="24"/>
        </w:rPr>
        <w:t xml:space="preserve">Discrete systems can exhibit qualitative behaviors absent from their continuous counterparts. The logistic map x(n+1) = rx(n)(1-x(n)) demonstrates period-doubling cascades leading to chaos for sufficiently large growth rates—dynamics that the continuous logistic equation cannot produce. This observation highlights how the choice of temporal framework affects both the mathematical analysis and the biological predictions of a model.</w:t>
      </w:r>
    </w:p>
    <w:p>
      <w:pPr>
        <w:pStyle w:val="Heading3"/>
        <w:spacing w:before="160" w:after="80"/>
      </w:pPr>
      <w:r>
        <w:rPr>
          <w:b/>
          <w:sz w:val="26"/>
          <w:szCs w:val="26"/>
        </w:rPr>
        <w:t>2.2 Stability Analysis and Equilibrium Points</w:t>
      </w:r>
    </w:p>
    <w:p>
      <w:pPr>
        <w:pStyle w:val="Heading4"/>
        <w:spacing w:before="120" w:after="60"/>
      </w:pPr>
      <w:r>
        <w:rPr>
          <w:b/>
          <w:i/>
          <w:sz w:val="24"/>
          <w:szCs w:val="24"/>
        </w:rPr>
        <w:t>Fixed Points and Steady States</w:t>
      </w:r>
    </w:p>
    <w:p>
      <w:pPr>
        <w:spacing w:after="120" w:line="360" w:lineRule="auto"/>
        <w:ind w:firstLine="720"/>
        <w:jc w:val="both"/>
      </w:pPr>
      <w:r>
        <w:rPr>
          <w:sz w:val="24"/>
          <w:szCs w:val="24"/>
        </w:rPr>
        <w:t xml:space="preserve">Equilibrium points (fixed points, steady states) are states where all rates of change vanish simultaneously: F(x*) = 0. Biologically, equilibria represent states of balance where all processes are in dynamic equilibrium—birth balances death, synthesis balances degradation, or immigration balances emigration. Finding equilibria requires solving a system of algebraic equations, which may yield multiple solutions representing qualitatively different biological states.</w:t>
      </w:r>
    </w:p>
    <w:p>
      <w:pPr>
        <w:spacing w:after="120" w:line="360" w:lineRule="auto"/>
        <w:ind w:firstLine="720"/>
        <w:jc w:val="both"/>
      </w:pPr>
      <w:r>
        <w:rPr>
          <w:sz w:val="24"/>
          <w:szCs w:val="24"/>
        </w:rPr>
        <w:t xml:space="preserve">The existence of multiple equilibria has profound biological implications. A bistable gene regulatory switch may have two stable steady states corresponding to different cell fates; an ecosystem may support equilibria with or without a particular species; a disease-free equilibrium coexists with an endemic equilibrium in many epidemiological models. Understanding which equilibria exist and under what conditions is fundamental to predicting biological outcomes.</w:t>
      </w:r>
    </w:p>
    <w:p>
      <w:pPr>
        <w:spacing w:after="120" w:line="360" w:lineRule="auto"/>
        <w:ind w:firstLine="720"/>
        <w:jc w:val="both"/>
      </w:pPr>
      <w:r>
        <w:rPr>
          <w:sz w:val="24"/>
          <w:szCs w:val="24"/>
        </w:rPr>
        <w:t xml:space="preserve">Not all equilibria are biologically meaningful. Negative population densities, concentrations exceeding physical limits, or states violating conservation laws must be excluded. The biologically relevant domain—typically the non-negative orthant with appropriate upper bounds—restricts attention to equilibria satisfying physical constraints.</w:t>
      </w:r>
    </w:p>
    <w:p>
      <w:pPr>
        <w:pStyle w:val="Heading4"/>
        <w:spacing w:before="120" w:after="60"/>
      </w:pPr>
      <w:r>
        <w:rPr>
          <w:b/>
          <w:i/>
          <w:sz w:val="24"/>
          <w:szCs w:val="24"/>
        </w:rPr>
        <w:t>Linearization and Jacobian Matrices</w:t>
      </w:r>
    </w:p>
    <w:p>
      <w:pPr>
        <w:spacing w:after="120" w:line="360" w:lineRule="auto"/>
        <w:ind w:firstLine="720"/>
        <w:jc w:val="both"/>
      </w:pPr>
      <w:r>
        <w:rPr>
          <w:sz w:val="24"/>
          <w:szCs w:val="24"/>
        </w:rPr>
        <w:t xml:space="preserve">The stability of an equilibrium is determined by the behavior of small perturbations in its vicinity. Linearization approximates the nonlinear dynamics near an equilibrium by a linear system: if x = x* + δx, then d(δx)/dt ≈ J(x*)·δx, where J is the Jacobian matrix with entries J_ij = ∂F_i/∂x_j evaluated at x*. This linear approximation is valid for sufficiently small perturbations and captures the local dynamical character of the equilibrium.</w:t>
      </w:r>
    </w:p>
    <w:p>
      <w:pPr>
        <w:spacing w:after="120" w:line="360" w:lineRule="auto"/>
        <w:ind w:firstLine="720"/>
        <w:jc w:val="both"/>
      </w:pPr>
      <w:r>
        <w:rPr>
          <w:sz w:val="24"/>
          <w:szCs w:val="24"/>
        </w:rPr>
        <w:t xml:space="preserve">The eigenvalues of the Jacobian matrix determine the stability and character of the equilibrium. Real negative eigenvalues indicate exponential decay of perturbations (stable nodes); real positive eigenvalues indicate exponential growth (unstable nodes); complex eigenvalues indicate oscillatory approach or departure (stable or unstable spirals). The real parts of all eigenvalues determine stability, while imaginary parts determine oscillation frequency.</w:t>
      </w:r>
    </w:p>
    <w:p>
      <w:pPr>
        <w:spacing w:after="120" w:line="360" w:lineRule="auto"/>
        <w:ind w:firstLine="720"/>
        <w:jc w:val="both"/>
      </w:pPr>
      <w:r>
        <w:rPr>
          <w:sz w:val="24"/>
          <w:szCs w:val="24"/>
        </w:rPr>
        <w:t xml:space="preserve">For two-dimensional systems, the trace and determinant of the Jacobian provide complete stability information: negative trace (sum of eigenvalues) is necessary for stability, while positive determinant (product of eigenvalues) ensures both eigenvalues have the same sign or are complex conjugates. These quantities often have direct biological interpretations as net self-regulation (trace) and interaction strength (determinant).</w:t>
      </w:r>
    </w:p>
    <w:p>
      <w:pPr>
        <w:pStyle w:val="Heading4"/>
        <w:spacing w:before="120" w:after="60"/>
      </w:pPr>
      <w:r>
        <w:rPr>
          <w:b/>
          <w:i/>
          <w:sz w:val="24"/>
          <w:szCs w:val="24"/>
        </w:rPr>
        <w:t>Stability Criteria and Biological Interpretation</w:t>
      </w:r>
    </w:p>
    <w:p>
      <w:pPr>
        <w:spacing w:after="120" w:line="360" w:lineRule="auto"/>
        <w:ind w:firstLine="720"/>
        <w:jc w:val="both"/>
      </w:pPr>
      <w:r>
        <w:rPr>
          <w:sz w:val="24"/>
          <w:szCs w:val="24"/>
        </w:rPr>
        <w:t xml:space="preserve">The Routh-Hurwitz criteria provide necessary and sufficient conditions for all eigenvalues of a matrix to have negative real parts, without requiring explicit eigenvalue computation. For higher-dimensional systems, these algebraic conditions on the Jacobian's characteristic polynomial coefficients determine stability.</w:t>
      </w:r>
    </w:p>
    <w:p>
      <w:pPr>
        <w:spacing w:after="120" w:line="360" w:lineRule="auto"/>
        <w:ind w:firstLine="720"/>
        <w:jc w:val="both"/>
      </w:pPr>
      <w:r>
        <w:rPr>
          <w:sz w:val="24"/>
          <w:szCs w:val="24"/>
        </w:rPr>
        <w:t xml:space="preserve">Lyapunov's direct method offers an alternative stability analysis approach that does not require linearization. By constructing a Lyapunov function—a generalized energy that decreases along system trajectories—one can prove stability of equilibria even for strongly nonlinear systems. The challenge lies in finding appropriate Lyapunov functions, though biological conservation laws and thermodynamic principles sometimes suggest natural candidates.</w:t>
      </w:r>
    </w:p>
    <w:p>
      <w:pPr>
        <w:spacing w:after="120" w:line="360" w:lineRule="auto"/>
        <w:ind w:firstLine="720"/>
        <w:jc w:val="both"/>
      </w:pPr>
      <w:r>
        <w:rPr>
          <w:sz w:val="24"/>
          <w:szCs w:val="24"/>
        </w:rPr>
        <w:t xml:space="preserve">Biological stability has multiple interpretations: ecological stability refers to the ability of communities to resist perturbation and return to equilibrium; homeostatic stability in physiology refers to maintenance of internal conditions despite external fluctuations; evolutionary stability refers to the persistence of strategies against invasion by alternatives. Mathematical stability analysis provides a unified framework for addressing all these biological concepts.</w:t>
      </w:r>
    </w:p>
    <w:p>
      <w:pPr>
        <w:pStyle w:val="Heading3"/>
        <w:spacing w:before="160" w:after="80"/>
      </w:pPr>
      <w:r>
        <w:rPr>
          <w:b/>
          <w:sz w:val="26"/>
          <w:szCs w:val="26"/>
        </w:rPr>
        <w:t>2.3 Nonlinear Dynamics and Bifurcation Analysis</w:t>
      </w:r>
    </w:p>
    <w:p>
      <w:pPr>
        <w:pStyle w:val="Heading4"/>
        <w:spacing w:before="120" w:after="60"/>
      </w:pPr>
      <w:r>
        <w:rPr>
          <w:b/>
          <w:i/>
          <w:sz w:val="24"/>
          <w:szCs w:val="24"/>
        </w:rPr>
        <w:t>Nonlinearity in Biological Systems</w:t>
      </w:r>
    </w:p>
    <w:p>
      <w:pPr>
        <w:spacing w:after="120" w:line="360" w:lineRule="auto"/>
        <w:ind w:firstLine="720"/>
        <w:jc w:val="both"/>
      </w:pPr>
      <w:r>
        <w:rPr>
          <w:sz w:val="24"/>
          <w:szCs w:val="24"/>
        </w:rPr>
        <w:t xml:space="preserve">Nonlinearity pervades biological systems at every scale. Saturating functional responses in predation, cooperative binding in biochemistry, threshold effects in neural firing, density-dependent regulation in populations—all introduce nonlinear terms that preclude simple analytical solutions but enable rich dynamical behaviors impossible in linear systems.</w:t>
      </w:r>
    </w:p>
    <w:p>
      <w:pPr>
        <w:spacing w:after="120" w:line="360" w:lineRule="auto"/>
        <w:ind w:firstLine="720"/>
        <w:jc w:val="both"/>
      </w:pPr>
      <w:r>
        <w:rPr>
          <w:sz w:val="24"/>
          <w:szCs w:val="24"/>
        </w:rPr>
        <w:t xml:space="preserve">The consequences of nonlinearity include multiple steady states (multistability), sustained oscillations (limit cycles), sensitivity to initial conditions (chaos), and abrupt qualitative changes in behavior as parameters vary (bifurcations). These phenomena have direct biological significance: multistability underlies cellular decision-making; oscillations drive circadian rhythms and cell cycles; chaos may contribute to cardiac arrhythmias; bifurcations correspond to developmental transitions and disease onset.</w:t>
      </w:r>
    </w:p>
    <w:p>
      <w:pPr>
        <w:spacing w:after="120" w:line="360" w:lineRule="auto"/>
        <w:ind w:firstLine="720"/>
        <w:jc w:val="both"/>
      </w:pPr>
      <w:r>
        <w:rPr>
          <w:sz w:val="24"/>
          <w:szCs w:val="24"/>
        </w:rPr>
        <w:t xml:space="preserve">Nonlinear systems can exhibit behaviors qualitatively different from any linear approximation. Limit cycles—isolated periodic orbits that attract neighboring trajectories—have no linear analog and represent a fundamentally nonlinear phenomenon. The existence of stable limit cycles explains sustained biological oscillations that persist despite perturbation, including heartbeat rhythms, predator-prey cycles, and metabolic oscillations.</w:t>
      </w:r>
    </w:p>
    <w:p>
      <w:pPr>
        <w:pStyle w:val="Heading4"/>
        <w:spacing w:before="120" w:after="60"/>
      </w:pPr>
      <w:r>
        <w:rPr>
          <w:b/>
          <w:i/>
          <w:sz w:val="24"/>
          <w:szCs w:val="24"/>
        </w:rPr>
        <w:t>Limit Cycles, Oscillations, and Chaos</w:t>
      </w:r>
    </w:p>
    <w:p>
      <w:pPr>
        <w:spacing w:after="120" w:line="360" w:lineRule="auto"/>
        <w:ind w:firstLine="720"/>
        <w:jc w:val="both"/>
      </w:pPr>
      <w:r>
        <w:rPr>
          <w:sz w:val="24"/>
          <w:szCs w:val="24"/>
        </w:rPr>
        <w:t xml:space="preserve">Biological oscillations are ubiquitous: circadian rhythms with approximately 24-hour periods, calcium oscillations in signaling cells, population cycles in ecology, and neural rhythms at multiple frequencies. Mathematically, sustained oscillations correspond to stable limit cycles in the phase space of dynamical systems.</w:t>
      </w:r>
    </w:p>
    <w:p>
      <w:pPr>
        <w:spacing w:after="120" w:line="360" w:lineRule="auto"/>
        <w:ind w:firstLine="720"/>
        <w:jc w:val="both"/>
      </w:pPr>
      <w:r>
        <w:rPr>
          <w:sz w:val="24"/>
          <w:szCs w:val="24"/>
        </w:rPr>
        <w:t xml:space="preserve">The Poincare-Bendixson theorem guarantees the existence of limit cycles in two-dimensional systems under specific conditions: if a trajectory remains in a bounded region containing no equilibria, it must approach a periodic orbit. This powerful result enables existence proofs for biological oscillations without requiring explicit solutions. The Hopf bifurcation theorem describes the birth of limit cycles from equilibria as parameters cross critical values—the equilibrium loses stability and a periodic orbit emerges.</w:t>
      </w:r>
    </w:p>
    <w:p>
      <w:pPr>
        <w:spacing w:after="120" w:line="360" w:lineRule="auto"/>
        <w:ind w:firstLine="720"/>
        <w:jc w:val="both"/>
      </w:pPr>
      <w:r>
        <w:rPr>
          <w:sz w:val="24"/>
          <w:szCs w:val="24"/>
        </w:rPr>
        <w:t xml:space="preserve">Chaos—sensitive dependence on initial conditions within bounded, deterministic dynamics—requires at least three dimensions in continuous systems. The Lorenz system and its biological analogs demonstrate how simple nonlinear equations generate complex, unpredictable dynamics. In ecology, chaotic population fluctuations may be misinterpreted as stochastic noise; distinguishing chaos from stochasticity requires careful time-series analysis using tools such as Lyapunov exponents and embedding dimensions.</w:t>
      </w:r>
    </w:p>
    <w:p>
      <w:pPr>
        <w:pStyle w:val="Heading4"/>
        <w:spacing w:before="120" w:after="60"/>
      </w:pPr>
      <w:r>
        <w:rPr>
          <w:b/>
          <w:i/>
          <w:sz w:val="24"/>
          <w:szCs w:val="24"/>
        </w:rPr>
        <w:t>Bifurcation Theory and Transitions in System Behavior</w:t>
      </w:r>
    </w:p>
    <w:p>
      <w:pPr>
        <w:spacing w:after="120" w:line="360" w:lineRule="auto"/>
        <w:ind w:firstLine="720"/>
        <w:jc w:val="both"/>
      </w:pPr>
      <w:r>
        <w:rPr>
          <w:sz w:val="24"/>
          <w:szCs w:val="24"/>
        </w:rPr>
        <w:t xml:space="preserve">Bifurcations are qualitative changes in dynamical behavior as a parameter crosses a critical threshold. They represent mathematical descriptions of biological transitions: the onset of disease, extinction of species, emergence of rhythmic activity, or switching between alternative stable states.</w:t>
      </w:r>
    </w:p>
    <w:p>
      <w:pPr>
        <w:spacing w:after="120" w:line="360" w:lineRule="auto"/>
        <w:ind w:firstLine="720"/>
        <w:jc w:val="both"/>
      </w:pPr>
      <w:r>
        <w:rPr>
          <w:sz w:val="24"/>
          <w:szCs w:val="24"/>
        </w:rPr>
        <w:t xml:space="preserve">Saddle-node bifurcations involve the collision and annihilation of two equilibria—one stable, one unstable—as a parameter varies. In biology, this mechanism underlies catastrophic transitions such as ecosystem collapse, where gradual environmental degradation suddenly triggers irreversible state change. The associated hysteresis means that reversing the parameter change may not restore the original state—a phenomenon with serious implications for conservation biology.</w:t>
      </w:r>
    </w:p>
    <w:p>
      <w:pPr>
        <w:spacing w:after="120" w:line="360" w:lineRule="auto"/>
        <w:ind w:firstLine="720"/>
        <w:jc w:val="both"/>
      </w:pPr>
      <w:r>
        <w:rPr>
          <w:sz w:val="24"/>
          <w:szCs w:val="24"/>
        </w:rPr>
        <w:t xml:space="preserve">Transcritical bifurcations involve the exchange of stability between two equilibria as they pass through each other in parameter space. The basic reproduction number R₀ in epidemiology provides a classic example: when R₀ crosses unity, stability transfers from the disease-free equilibrium to the endemic equilibrium, marking the threshold for disease establishment.</w:t>
      </w:r>
    </w:p>
    <w:p>
      <w:pPr>
        <w:spacing w:after="120" w:line="360" w:lineRule="auto"/>
        <w:ind w:firstLine="720"/>
        <w:jc w:val="both"/>
      </w:pPr>
      <w:r>
        <w:rPr>
          <w:sz w:val="24"/>
          <w:szCs w:val="24"/>
        </w:rPr>
        <w:t xml:space="preserve">Pitchfork bifurcations produce symmetry-breaking transitions where a symmetric equilibrium loses stability and two asymmetric alternatives emerge. In developmental biology, such bifurcations may correspond to cell fate decisions where a previously uniform population differentiates into distinct types.</w:t>
      </w:r>
    </w:p>
    <w:p>
      <w:pPr>
        <w:spacing w:after="120" w:line="360" w:lineRule="auto"/>
        <w:ind w:firstLine="720"/>
        <w:jc w:val="both"/>
      </w:pPr>
      <w:r>
        <w:rPr>
          <w:sz w:val="24"/>
          <w:szCs w:val="24"/>
        </w:rPr>
        <w:t xml:space="preserve">Hopf bifurcations mark the transition from steady-state to oscillatory behavior. Supercritical Hopf bifurcations produce small-amplitude oscillations that grow continuously from zero, while subcritical Hopf bifurcations produce abrupt transitions to large-amplitude oscillations. Both types arise in biological systems: the transition from steady to oscillatory neural activity, the onset of calcium oscillations, and the emergence of population cycles can all be described as Hopf bifurcations.</w:t>
      </w:r>
    </w:p>
    <w:p>
      <w:pPr>
        <w:pStyle w:val="Heading2"/>
        <w:spacing w:before="200" w:after="100"/>
      </w:pPr>
      <w:r>
        <w:rPr>
          <w:b/>
          <w:sz w:val="28"/>
          <w:szCs w:val="28"/>
        </w:rPr>
        <w:t>Section 3: Applications in Biological Systems</w:t>
      </w:r>
    </w:p>
    <w:p>
      <w:pPr>
        <w:pStyle w:val="Heading3"/>
        <w:spacing w:before="160" w:after="80"/>
      </w:pPr>
      <w:r>
        <w:rPr>
          <w:b/>
          <w:sz w:val="26"/>
          <w:szCs w:val="26"/>
        </w:rPr>
        <w:t>3.1 Population Dynamics and Ecology Models</w:t>
      </w:r>
    </w:p>
    <w:p>
      <w:pPr>
        <w:pStyle w:val="Heading4"/>
        <w:spacing w:before="120" w:after="60"/>
      </w:pPr>
      <w:r>
        <w:rPr>
          <w:b/>
          <w:i/>
          <w:sz w:val="24"/>
          <w:szCs w:val="24"/>
        </w:rPr>
        <w:t>Exponential and Logistic Growth Models</w:t>
      </w:r>
    </w:p>
    <w:p>
      <w:pPr>
        <w:spacing w:after="120" w:line="360" w:lineRule="auto"/>
        <w:ind w:firstLine="720"/>
        <w:jc w:val="both"/>
      </w:pPr>
      <w:r>
        <w:rPr>
          <w:sz w:val="24"/>
          <w:szCs w:val="24"/>
        </w:rPr>
        <w:t xml:space="preserve">The simplest population model, dN/dt = rN, describes exponential (Malthusian) growth where the per capita growth rate r remains constant regardless of population size. While unrealistic for extended periods, exponential growth accurately describes initial growth phases of populations colonizing new environments with abundant resources—bacterial cultures in fresh media, invasive species entering unoccupied habitats, or early-stage tumor growth.</w:t>
      </w:r>
    </w:p>
    <w:p>
      <w:pPr>
        <w:spacing w:after="120" w:line="360" w:lineRule="auto"/>
        <w:ind w:firstLine="720"/>
        <w:jc w:val="both"/>
      </w:pPr>
      <w:r>
        <w:rPr>
          <w:sz w:val="24"/>
          <w:szCs w:val="24"/>
        </w:rPr>
        <w:t xml:space="preserve">The logistic equation, dN/dt = rN(1 - N/K), introduces density-dependent regulation through the carrying capacity K, representing the maximum population sustainable by available resources. As population size approaches K, per capita growth rate declines linearly to zero, producing sigmoidal growth curves that match many observed biological growth patterns. The logistic model predicts that maximum population growth rate occurs at N = K/2, a result with practical implications for fisheries management and wildlife harvesting.</w:t>
      </w:r>
    </w:p>
    <w:p>
      <w:pPr>
        <w:spacing w:after="120" w:line="360" w:lineRule="auto"/>
        <w:ind w:firstLine="720"/>
        <w:jc w:val="both"/>
      </w:pPr>
      <w:r>
        <w:rPr>
          <w:sz w:val="24"/>
          <w:szCs w:val="24"/>
        </w:rPr>
        <w:t xml:space="preserve">Extensions of the logistic framework incorporate time delays (reflecting maturation periods), Allee effects (reduced per capita growth at low densities due to difficulty finding mates or cooperative behaviors), and age structure (different demographic rates for different life stages). Each extension reveals additional biological complexity while maintaining the core concept of density-dependent regulation.</w:t>
      </w:r>
    </w:p>
    <w:p>
      <w:pPr>
        <w:spacing w:after="120" w:line="360" w:lineRule="auto"/>
        <w:ind w:firstLine="720"/>
        <w:jc w:val="both"/>
      </w:pPr>
      <w:r>
        <w:rPr>
          <w:sz w:val="24"/>
          <w:szCs w:val="24"/>
        </w:rPr>
        <w:t xml:space="preserve">The theta-logistic model, dN/dt = rN(1 - (N/K)^θ), generalizes density dependence through the parameter θ, which controls how sharply growth declines near carrying capacity. Empirical estimates of θ vary widely across species, suggesting that the specific form of density dependence is an important ecological characteristic rather than a universal constant.</w:t>
      </w:r>
    </w:p>
    <w:p>
      <w:pPr>
        <w:pStyle w:val="Heading4"/>
        <w:spacing w:before="120" w:after="60"/>
      </w:pPr>
      <w:r>
        <w:rPr>
          <w:b/>
          <w:i/>
          <w:sz w:val="24"/>
          <w:szCs w:val="24"/>
        </w:rPr>
        <w:t>Predator-Prey Models (Lotka-Volterra Systems)</w:t>
      </w:r>
    </w:p>
    <w:p>
      <w:pPr>
        <w:spacing w:after="120" w:line="360" w:lineRule="auto"/>
        <w:ind w:firstLine="720"/>
        <w:jc w:val="both"/>
      </w:pPr>
      <w:r>
        <w:rPr>
          <w:sz w:val="24"/>
          <w:szCs w:val="24"/>
        </w:rPr>
        <w:t xml:space="preserve">The classical Lotka-Volterra predator-prey model describes the interaction between prey (x) and predator (y) populations through coupled equations: dx/dt = ax - bxy and dy/dt = cxy - dy. Here, prey grow exponentially in the absence of predators, predation occurs at a rate proportional to encounter frequency (mass action), predator reproduction depends on prey consumption, and predators die at a constant rate in the absence of prey.</w:t>
      </w:r>
    </w:p>
    <w:p>
      <w:pPr>
        <w:spacing w:after="120" w:line="360" w:lineRule="auto"/>
        <w:ind w:firstLine="720"/>
        <w:jc w:val="both"/>
      </w:pPr>
      <w:r>
        <w:rPr>
          <w:sz w:val="24"/>
          <w:szCs w:val="24"/>
        </w:rPr>
        <w:t xml:space="preserve">This system produces neutrally stable periodic orbits surrounding a single interior equilibrium—predator and prey populations oscillate indefinitely with amplitude determined by initial conditions. While ecologically unrealistic in its structural instability (any perturbation changes the oscillation amplitude permanently), the Lotka-Volterra model captures the fundamental mechanism of coupled predator-prey oscillations: abundant prey supports predator increase, predator increase suppresses prey, prey decline causes predator decline, predator decline allows prey recovery.</w:t>
      </w:r>
    </w:p>
    <w:p>
      <w:pPr>
        <w:spacing w:after="120" w:line="360" w:lineRule="auto"/>
        <w:ind w:firstLine="720"/>
        <w:jc w:val="both"/>
      </w:pPr>
      <w:r>
        <w:rPr>
          <w:sz w:val="24"/>
          <w:szCs w:val="24"/>
        </w:rPr>
        <w:t xml:space="preserve">Realistic modifications include saturating functional responses (Holling types II and III), where predation rate saturates at high prey densities due to handling time constraints; predator interference, where competition among predators reduces individual foraging efficiency; prey refuges that protect a fraction of the prey population; and density-dependent prey growth. These modifications generally stabilize the system, producing damped oscillations toward a stable equilibrium or limit cycle oscillations with fixed amplitude.</w:t>
      </w:r>
    </w:p>
    <w:p>
      <w:pPr>
        <w:spacing w:after="120" w:line="360" w:lineRule="auto"/>
        <w:ind w:firstLine="720"/>
        <w:jc w:val="both"/>
      </w:pPr>
      <w:r>
        <w:rPr>
          <w:sz w:val="24"/>
          <w:szCs w:val="24"/>
        </w:rPr>
        <w:t xml:space="preserve">The Rosenzweig-MacArthur model, incorporating logistic prey growth and a Type II functional response, demonstrates the "paradox of enrichment"—increasing carrying capacity destabilizes the coexistence equilibrium through a Hopf bifurcation, producing large-amplitude oscillations that may drive populations to dangerously low values. This counterintuitive result has implications for ecosystem management, suggesting that nutrient enrichment can paradoxically endanger predator-prey systems.</w:t>
      </w:r>
    </w:p>
    <w:p>
      <w:pPr>
        <w:pStyle w:val="Heading4"/>
        <w:spacing w:before="120" w:after="60"/>
      </w:pPr>
      <w:r>
        <w:rPr>
          <w:b/>
          <w:i/>
          <w:sz w:val="24"/>
          <w:szCs w:val="24"/>
        </w:rPr>
        <w:t>Competition and Coexistence Models</w:t>
      </w:r>
    </w:p>
    <w:p>
      <w:pPr>
        <w:spacing w:after="120" w:line="360" w:lineRule="auto"/>
        <w:ind w:firstLine="720"/>
        <w:jc w:val="both"/>
      </w:pPr>
      <w:r>
        <w:rPr>
          <w:sz w:val="24"/>
          <w:szCs w:val="24"/>
        </w:rPr>
        <w:t xml:space="preserve">The Lotka-Volterra competition model describes two species competing for shared resources: dN₁/dt = r₁N₁(1 - (N₁ + α₁₂N₂)/K₁) and dN₂/dt = r₂N₂(1 - (N₂ + α₂₁N₁)/K₂). Competition coefficients α₁₂ and α₂₁ measure the per capita effect of one species on the other relative to intraspecific competition.</w:t>
      </w:r>
    </w:p>
    <w:p>
      <w:pPr>
        <w:spacing w:after="120" w:line="360" w:lineRule="auto"/>
        <w:ind w:firstLine="720"/>
        <w:jc w:val="both"/>
      </w:pPr>
      <w:r>
        <w:rPr>
          <w:sz w:val="24"/>
          <w:szCs w:val="24"/>
        </w:rPr>
        <w:t xml:space="preserve">The competitive exclusion principle emerges from this model: stable coexistence requires that each species limits itself more than it limits its competitor (α₁₂ &lt; K₁/K₂ and α₂₁ &lt; K₂/K₁). When interspecific competition exceeds intraspecific competition for both species, the outcome depends on initial conditions—a case of competitive bistability where priority effects determine the winner.</w:t>
      </w:r>
    </w:p>
    <w:p>
      <w:pPr>
        <w:spacing w:after="120" w:line="360" w:lineRule="auto"/>
        <w:ind w:firstLine="720"/>
        <w:jc w:val="both"/>
      </w:pPr>
      <w:r>
        <w:rPr>
          <w:sz w:val="24"/>
          <w:szCs w:val="24"/>
        </w:rPr>
        <w:t xml:space="preserve">Modern coexistence theory extends beyond simple Lotka-Volterra frameworks to identify stabilizing mechanisms (niche differences that reduce interspecific competition relative to intraspecific competition) and equalizing mechanisms (fitness similarities that reduce competitive asymmetry). Storage effects, relative nonlinearity of competition, and spatial/temporal variation all contribute to maintaining biodiversity in natural communities beyond what simple models predict.</w:t>
      </w:r>
    </w:p>
    <w:p>
      <w:pPr>
        <w:pStyle w:val="Heading3"/>
        <w:spacing w:before="160" w:after="80"/>
      </w:pPr>
      <w:r>
        <w:rPr>
          <w:b/>
          <w:sz w:val="26"/>
          <w:szCs w:val="26"/>
        </w:rPr>
        <w:t>3.2 Epidemiological Modeling</w:t>
      </w:r>
    </w:p>
    <w:p>
      <w:pPr>
        <w:pStyle w:val="Heading4"/>
        <w:spacing w:before="120" w:after="60"/>
      </w:pPr>
      <w:r>
        <w:rPr>
          <w:b/>
          <w:i/>
          <w:sz w:val="24"/>
          <w:szCs w:val="24"/>
        </w:rPr>
        <w:t>SIR, SEIR, and Compartmental Models</w:t>
      </w:r>
    </w:p>
    <w:p>
      <w:pPr>
        <w:spacing w:after="120" w:line="360" w:lineRule="auto"/>
        <w:ind w:firstLine="720"/>
        <w:jc w:val="both"/>
      </w:pPr>
      <w:r>
        <w:rPr>
          <w:sz w:val="24"/>
          <w:szCs w:val="24"/>
        </w:rPr>
        <w:t xml:space="preserve">Compartmental models partition a population into classes defined by disease status. The foundational SIR model divides the population into Susceptible (S), Infected (I), and Recovered (R) compartments with dynamics: dS/dt = -βSI/N, dI/dt = βSI/N - γI, dR/dt = γI, where β is the transmission rate, γ is the recovery rate, and N is total population size.</w:t>
      </w:r>
    </w:p>
    <w:p>
      <w:pPr>
        <w:spacing w:after="120" w:line="360" w:lineRule="auto"/>
        <w:ind w:firstLine="720"/>
        <w:jc w:val="both"/>
      </w:pPr>
      <w:r>
        <w:rPr>
          <w:sz w:val="24"/>
          <w:szCs w:val="24"/>
        </w:rPr>
        <w:t xml:space="preserve">The basic reproduction number R₀ = β/γ represents the average number of secondary infections produced by a single infected individual in a fully susceptible population. When R₀ &gt; 1, the disease-free equilibrium is unstable and an epidemic occurs; when R₀ &lt; 1, the disease cannot establish and the infection dies out. This threshold result provides a clear public health target: interventions must reduce R₀ below unity to achieve disease elimination.</w:t>
      </w:r>
    </w:p>
    <w:p>
      <w:pPr>
        <w:spacing w:after="120" w:line="360" w:lineRule="auto"/>
        <w:ind w:firstLine="720"/>
        <w:jc w:val="both"/>
      </w:pPr>
      <w:r>
        <w:rPr>
          <w:sz w:val="24"/>
          <w:szCs w:val="24"/>
        </w:rPr>
        <w:t xml:space="preserve">The SEIR model adds an Exposed (E) compartment representing individuals who are infected but not yet infectious (latent period). This extension is essential for diseases like influenza, measles, and COVID-19 where significant incubation periods delay the onset of infectiousness. The exposed class introduces a time delay between infection and transmission that affects epidemic timing and peak magnitude.</w:t>
      </w:r>
    </w:p>
    <w:p>
      <w:pPr>
        <w:spacing w:after="120" w:line="360" w:lineRule="auto"/>
        <w:ind w:firstLine="720"/>
        <w:jc w:val="both"/>
      </w:pPr>
      <w:r>
        <w:rPr>
          <w:sz w:val="24"/>
          <w:szCs w:val="24"/>
        </w:rPr>
        <w:t xml:space="preserve">Further compartmental refinements include SEIRS models (where immunity wanes, allowing reinfection), SIS models (for diseases without lasting immunity), models with vertical transmission (mother-to-child), and models incorporating asymptomatic carriers who transmit disease without showing symptoms. Each compartmental structure reflects specific biological characteristics of the disease under study.</w:t>
      </w:r>
    </w:p>
    <w:p>
      <w:pPr>
        <w:pStyle w:val="Heading4"/>
        <w:spacing w:before="120" w:after="60"/>
      </w:pPr>
      <w:r>
        <w:rPr>
          <w:b/>
          <w:i/>
          <w:sz w:val="24"/>
          <w:szCs w:val="24"/>
        </w:rPr>
        <w:t>Disease Transmission Dynamics</w:t>
      </w:r>
    </w:p>
    <w:p>
      <w:pPr>
        <w:spacing w:after="120" w:line="360" w:lineRule="auto"/>
        <w:ind w:firstLine="720"/>
        <w:jc w:val="both"/>
      </w:pPr>
      <w:r>
        <w:rPr>
          <w:sz w:val="24"/>
          <w:szCs w:val="24"/>
        </w:rPr>
        <w:t xml:space="preserve">Disease transmission involves complex interactions between pathogen biology, host behavior, population structure, and environmental conditions. The mass action assumption underlying basic compartmental models—that transmission rate is proportional to the product of susceptible and infected densities—represents an approximation appropriate for well-mixed populations but inadequate when spatial structure, contact networks, or behavioral heterogeneity significantly affect disease spread.</w:t>
      </w:r>
    </w:p>
    <w:p>
      <w:pPr>
        <w:spacing w:after="120" w:line="360" w:lineRule="auto"/>
        <w:ind w:firstLine="720"/>
        <w:jc w:val="both"/>
      </w:pPr>
      <w:r>
        <w:rPr>
          <w:sz w:val="24"/>
          <w:szCs w:val="24"/>
        </w:rPr>
        <w:t xml:space="preserve">Contact network models replace the well-mixed assumption with explicit contact structures, recognizing that transmission requires specific types of contact (respiratory droplet transmission, sexual contact, vector biting) that occur along defined social or spatial networks. The degree distribution of contact networks significantly affects epidemic dynamics: scale-free networks with highly connected hubs show dramatically lower epidemic thresholds than random networks with uniform connectivity.</w:t>
      </w:r>
    </w:p>
    <w:p>
      <w:pPr>
        <w:spacing w:after="120" w:line="360" w:lineRule="auto"/>
        <w:ind w:firstLine="720"/>
        <w:jc w:val="both"/>
      </w:pPr>
      <w:r>
        <w:rPr>
          <w:sz w:val="24"/>
          <w:szCs w:val="24"/>
        </w:rPr>
        <w:t xml:space="preserve">Heterogeneity in individual susceptibility, infectiousness, and contact rates profoundly influences epidemic dynamics. Superspreading events—where a small fraction of infected individuals generates a disproportionate number of secondary cases—contribute to overdispersion in transmission and create opportunities for control through targeted interventions. The dispersion parameter k quantifies this heterogeneity, with smaller values indicating greater concentration of transmission in fewer individuals.</w:t>
      </w:r>
    </w:p>
    <w:p>
      <w:pPr>
        <w:pStyle w:val="Heading4"/>
        <w:spacing w:before="120" w:after="60"/>
      </w:pPr>
      <w:r>
        <w:rPr>
          <w:b/>
          <w:i/>
          <w:sz w:val="24"/>
          <w:szCs w:val="24"/>
        </w:rPr>
        <w:t>Impact of Vaccination and Control Strategies</w:t>
      </w:r>
    </w:p>
    <w:p>
      <w:pPr>
        <w:spacing w:after="120" w:line="360" w:lineRule="auto"/>
        <w:ind w:firstLine="720"/>
        <w:jc w:val="both"/>
      </w:pPr>
      <w:r>
        <w:rPr>
          <w:sz w:val="24"/>
          <w:szCs w:val="24"/>
        </w:rPr>
        <w:t xml:space="preserve">Vaccination represents the most effective intervention for many infectious diseases. Mathematical models inform vaccination strategy by determining the critical vaccination coverage needed for herd immunity: p_c = 1 - 1/R₀. For measles (R₀ ≈ 12-18), this requires approximately 92-95% coverage; for influenza (R₀ ≈ 1.5-2.5), approximately 33-60% coverage suffices.</w:t>
      </w:r>
    </w:p>
    <w:p>
      <w:pPr>
        <w:spacing w:after="120" w:line="360" w:lineRule="auto"/>
        <w:ind w:firstLine="720"/>
        <w:jc w:val="both"/>
      </w:pPr>
      <w:r>
        <w:rPr>
          <w:sz w:val="24"/>
          <w:szCs w:val="24"/>
        </w:rPr>
        <w:t xml:space="preserve">Optimal vaccination strategies depend on disease characteristics, vaccine properties, and population structure. Age-structured models reveal that targeting vaccination at age groups with highest transmission rates may be more efficient than uniform coverage. Pulse vaccination strategies—periodic mass vaccination campaigns—can maintain disease control with lower average coverage than continuous vaccination programs.</w:t>
      </w:r>
    </w:p>
    <w:p>
      <w:pPr>
        <w:spacing w:after="120" w:line="360" w:lineRule="auto"/>
        <w:ind w:firstLine="720"/>
        <w:jc w:val="both"/>
      </w:pPr>
      <w:r>
        <w:rPr>
          <w:sz w:val="24"/>
          <w:szCs w:val="24"/>
        </w:rPr>
        <w:t xml:space="preserve">Non-pharmaceutical interventions including social distancing, quarantine, contact tracing, and mask-wearing modify model parameters by reducing effective contact rates. Mathematical models of the COVID-19 pandemic demonstrated how combinations of interventions could "flatten the curve," reducing peak healthcare demand while potentially extending epidemic duration. Optimal control theory provides frameworks for designing time-varying intervention strategies that balance disease reduction against economic and social costs.</w:t>
      </w:r>
    </w:p>
    <w:p>
      <w:pPr>
        <w:pStyle w:val="Heading3"/>
        <w:spacing w:before="160" w:after="80"/>
      </w:pPr>
      <w:r>
        <w:rPr>
          <w:b/>
          <w:sz w:val="26"/>
          <w:szCs w:val="26"/>
        </w:rPr>
        <w:t>3.3 Cellular and Physiological Systems Modeling</w:t>
      </w:r>
    </w:p>
    <w:p>
      <w:pPr>
        <w:pStyle w:val="Heading4"/>
        <w:spacing w:before="120" w:after="60"/>
      </w:pPr>
      <w:r>
        <w:rPr>
          <w:b/>
          <w:i/>
          <w:sz w:val="24"/>
          <w:szCs w:val="24"/>
        </w:rPr>
        <w:t>Enzyme Kinetics and Biochemical Reactions</w:t>
      </w:r>
    </w:p>
    <w:p>
      <w:pPr>
        <w:spacing w:after="120" w:line="360" w:lineRule="auto"/>
        <w:ind w:firstLine="720"/>
        <w:jc w:val="both"/>
      </w:pPr>
      <w:r>
        <w:rPr>
          <w:sz w:val="24"/>
          <w:szCs w:val="24"/>
        </w:rPr>
        <w:t xml:space="preserve">Enzyme kinetics describes the rates of enzyme-catalyzed biochemical reactions that underlie cellular metabolism. The Michaelis-Menten mechanism, E + S ⇌ ES → E + P, involves reversible enzyme-substrate binding followed by irreversible product formation. Under the quasi-steady-state approximation for the enzyme-substrate complex, the reaction velocity follows v = V_max·S/(K_m + S), where V_max is maximum velocity and K_m is the Michaelis constant representing substrate concentration at half-maximal velocity.</w:t>
      </w:r>
    </w:p>
    <w:p>
      <w:pPr>
        <w:spacing w:after="120" w:line="360" w:lineRule="auto"/>
        <w:ind w:firstLine="720"/>
        <w:jc w:val="both"/>
      </w:pPr>
      <w:r>
        <w:rPr>
          <w:sz w:val="24"/>
          <w:szCs w:val="24"/>
        </w:rPr>
        <w:t xml:space="preserve">This hyperbolic saturation kinetics reflects the finite number of enzyme molecules: at low substrate concentrations, velocity increases approximately linearly; at high concentrations, all enzyme molecules are occupied and velocity reaches a maximum. Double reciprocal (Lineweaver-Burk) plots and more modern nonlinear fitting methods enable parameter estimation from experimental data.</w:t>
      </w:r>
    </w:p>
    <w:p>
      <w:pPr>
        <w:spacing w:after="120" w:line="360" w:lineRule="auto"/>
        <w:ind w:firstLine="720"/>
        <w:jc w:val="both"/>
      </w:pPr>
      <w:r>
        <w:rPr>
          <w:sz w:val="24"/>
          <w:szCs w:val="24"/>
        </w:rPr>
        <w:t xml:space="preserve">Allosteric enzymes exhibit cooperative kinetics described by the Hill equation, v = V_max·S^n/(K^n + S^n), where the Hill coefficient n quantifies cooperativity. Values n &gt; 1 indicate positive cooperativity (sigmoidal response curves); n &lt; 1 indicates negative cooperativity. Cooperative enzymes act as molecular switches, converting graded input signals into sharp, threshold-like responses—a mechanism fundamental to cellular decision-making and signal processing.</w:t>
      </w:r>
    </w:p>
    <w:p>
      <w:pPr>
        <w:spacing w:after="120" w:line="360" w:lineRule="auto"/>
        <w:ind w:firstLine="720"/>
        <w:jc w:val="both"/>
      </w:pPr>
      <w:r>
        <w:rPr>
          <w:sz w:val="24"/>
          <w:szCs w:val="24"/>
        </w:rPr>
        <w:t xml:space="preserve">Metabolic control analysis provides a systems-level framework for understanding how flux through metabolic pathways depends on individual enzyme activities. Control coefficients quantify the fractional change in pathway flux resulting from fractional changes in enzyme concentration, revealing that metabolic control is typically distributed among multiple enzymes rather than concentrated at a single rate-limiting step.</w:t>
      </w:r>
    </w:p>
    <w:p>
      <w:pPr>
        <w:pStyle w:val="Heading4"/>
        <w:spacing w:before="120" w:after="60"/>
      </w:pPr>
      <w:r>
        <w:rPr>
          <w:b/>
          <w:i/>
          <w:sz w:val="24"/>
          <w:szCs w:val="24"/>
        </w:rPr>
        <w:t>Neural Dynamics and Signaling Pathways</w:t>
      </w:r>
    </w:p>
    <w:p>
      <w:pPr>
        <w:spacing w:after="120" w:line="360" w:lineRule="auto"/>
        <w:ind w:firstLine="720"/>
        <w:jc w:val="both"/>
      </w:pPr>
      <w:r>
        <w:rPr>
          <w:sz w:val="24"/>
          <w:szCs w:val="24"/>
        </w:rPr>
        <w:t xml:space="preserve">The Hodgkin-Huxley model, developed from voltage-clamp experiments on the squid giant axon, describes action potential generation through four coupled nonlinear ODEs governing membrane voltage and three gating variables controlling sodium and potassium ion channel conductances. This model demonstrates how the interplay between voltage-dependent channel activation and inactivation produces the characteristic spike waveform of neural firing.</w:t>
      </w:r>
    </w:p>
    <w:p>
      <w:pPr>
        <w:spacing w:after="120" w:line="360" w:lineRule="auto"/>
        <w:ind w:firstLine="720"/>
        <w:jc w:val="both"/>
      </w:pPr>
      <w:r>
        <w:rPr>
          <w:sz w:val="24"/>
          <w:szCs w:val="24"/>
        </w:rPr>
        <w:t xml:space="preserve">The FitzHugh-Nagumo model provides a simplified two-variable reduction that preserves essential qualitative features—excitability, threshold behavior, and refractoriness—while enabling phase plane analysis. This model reveals the geometric structure underlying neural excitability: a cubic nullcline for the fast voltage variable intersected by a linear nullcline for the slow recovery variable, with their relative positions determining whether the system exhibits resting, oscillatory, or excitable behavior.</w:t>
      </w:r>
    </w:p>
    <w:p>
      <w:pPr>
        <w:spacing w:after="120" w:line="360" w:lineRule="auto"/>
        <w:ind w:firstLine="720"/>
        <w:jc w:val="both"/>
      </w:pPr>
      <w:r>
        <w:rPr>
          <w:sz w:val="24"/>
          <w:szCs w:val="24"/>
        </w:rPr>
        <w:t xml:space="preserve">Intracellular signaling pathways transduce extracellular signals into cellular responses through cascades of protein-protein interactions, phosphorylation events, and second messenger systems. Mathematical models of signaling pathways reveal design principles including signal amplification (through kinase cascades), ultrasensitivity (through zero-order ultrasensitivity and positive feedback), adaptation (through integral feedback), and noise filtering (through negative feedback). These principles appear repeatedly across different signaling systems, suggesting evolutionary optimization of information processing capabilities.</w:t>
      </w:r>
    </w:p>
    <w:p>
      <w:pPr>
        <w:pStyle w:val="Heading4"/>
        <w:spacing w:before="120" w:after="60"/>
      </w:pPr>
      <w:r>
        <w:rPr>
          <w:b/>
          <w:i/>
          <w:sz w:val="24"/>
          <w:szCs w:val="24"/>
        </w:rPr>
        <w:t>Cardiac and Physiological Rhythm Modeling</w:t>
      </w:r>
    </w:p>
    <w:p>
      <w:pPr>
        <w:spacing w:after="120" w:line="360" w:lineRule="auto"/>
        <w:ind w:firstLine="720"/>
        <w:jc w:val="both"/>
      </w:pPr>
      <w:r>
        <w:rPr>
          <w:sz w:val="24"/>
          <w:szCs w:val="24"/>
        </w:rPr>
        <w:t xml:space="preserve">The heart's rhythmic activity emerges from the coordinated electrical activity of millions of cardiac cells, each described by complex systems of ODEs governing membrane voltage and intracellular ion dynamics. Pacemaker cells in the sinoatrial node generate spontaneous oscillations through a balance of depolarizing and repolarizing ionic currents, while coupling between cells through gap junctions synchronizes activity across the tissue.</w:t>
      </w:r>
    </w:p>
    <w:p>
      <w:pPr>
        <w:spacing w:after="120" w:line="360" w:lineRule="auto"/>
        <w:ind w:firstLine="720"/>
        <w:jc w:val="both"/>
      </w:pPr>
      <w:r>
        <w:rPr>
          <w:sz w:val="24"/>
          <w:szCs w:val="24"/>
        </w:rPr>
        <w:t xml:space="preserve">Mathematical models of cardiac electrophysiology range from single-cell models (10-100 ODEs describing individual ionic currents) to tissue-level bidomain models (coupled PDEs for intracellular and extracellular potentials). These models have contributed significantly to understanding cardiac arrhythmias: reentrant circuits sustaining tachycardia, spiral wave dynamics in fibrillation, and the role of tissue heterogeneity in creating vulnerability to dangerous rhythms.</w:t>
      </w:r>
    </w:p>
    <w:p>
      <w:pPr>
        <w:spacing w:after="120" w:line="360" w:lineRule="auto"/>
        <w:ind w:firstLine="720"/>
        <w:jc w:val="both"/>
      </w:pPr>
      <w:r>
        <w:rPr>
          <w:sz w:val="24"/>
          <w:szCs w:val="24"/>
        </w:rPr>
        <w:t xml:space="preserve">Respiratory rhythms, hormonal cycles, and sleep-wake dynamics are additional examples of physiological oscillations amenable to mathematical modeling. The coupled oscillator framework describes interactions between multiple rhythmic subsystems, explaining phenomena such as circadian entrainment by light-dark cycles, menstrual cycle regulation by hypothalamic-pituitary-ovarian hormone interactions, and the coupling between cardiac and respiratory rhythms observed during meditation and relaxation.</w:t>
      </w:r>
    </w:p>
    <w:p>
      <w:pPr>
        <w:pStyle w:val="Heading2"/>
        <w:spacing w:before="200" w:after="100"/>
      </w:pPr>
      <w:r>
        <w:rPr>
          <w:b/>
          <w:sz w:val="28"/>
          <w:szCs w:val="28"/>
        </w:rPr>
        <w:t>Section 4: Advanced Topics and Future Perspectives</w:t>
      </w:r>
    </w:p>
    <w:p>
      <w:pPr>
        <w:pStyle w:val="Heading3"/>
        <w:spacing w:before="160" w:after="80"/>
      </w:pPr>
      <w:r>
        <w:rPr>
          <w:b/>
          <w:sz w:val="26"/>
          <w:szCs w:val="26"/>
        </w:rPr>
        <w:t>4.1 Spatial Models and Reaction-Diffusion Systems</w:t>
      </w:r>
    </w:p>
    <w:p>
      <w:pPr>
        <w:pStyle w:val="Heading4"/>
        <w:spacing w:before="120" w:after="60"/>
      </w:pPr>
      <w:r>
        <w:rPr>
          <w:b/>
          <w:i/>
          <w:sz w:val="24"/>
          <w:szCs w:val="24"/>
        </w:rPr>
        <w:t>Pattern Formation in Biology</w:t>
      </w:r>
    </w:p>
    <w:p>
      <w:pPr>
        <w:spacing w:after="120" w:line="360" w:lineRule="auto"/>
        <w:ind w:firstLine="720"/>
        <w:jc w:val="both"/>
      </w:pPr>
      <w:r>
        <w:rPr>
          <w:sz w:val="24"/>
          <w:szCs w:val="24"/>
        </w:rPr>
        <w:t xml:space="preserve">Spatial patterns pervade biological systems: the spots and stripes of animal coats, the branching architectures of lungs and vasculature, the regular spacing of hair follicles and feathers, and the segmented body plans of insects and vertebrates. Understanding the mechanisms generating these patterns from initially homogeneous states represents a central challenge in developmental biology.</w:t>
      </w:r>
    </w:p>
    <w:p>
      <w:pPr>
        <w:spacing w:after="120" w:line="360" w:lineRule="auto"/>
        <w:ind w:firstLine="720"/>
        <w:jc w:val="both"/>
      </w:pPr>
      <w:r>
        <w:rPr>
          <w:sz w:val="24"/>
          <w:szCs w:val="24"/>
        </w:rPr>
        <w:t xml:space="preserve">Reaction-diffusion models provide a mathematical framework for spontaneous pattern formation through the interaction of diffusing chemical species. The general two-component system takes the form: ∂u/∂t = D_u∇²u + f(u,v) and ∂v/∂t = D_v∇²v + g(u,v), where u and v represent morphogen concentrations, D_u and D_v are diffusion coefficients, and f and g describe local reaction kinetics.</w:t>
      </w:r>
    </w:p>
    <w:p>
      <w:pPr>
        <w:spacing w:after="120" w:line="360" w:lineRule="auto"/>
        <w:ind w:firstLine="720"/>
        <w:jc w:val="both"/>
      </w:pPr>
      <w:r>
        <w:rPr>
          <w:sz w:val="24"/>
          <w:szCs w:val="24"/>
        </w:rPr>
        <w:t xml:space="preserve">Spatial instability requires that the homogeneous steady state be stable in the absence of diffusion (stable local kinetics) but unstable to spatial perturbations when diffusion is present. This counterintuitive result—that adding diffusion can destabilize a stable system—is the essence of Turing's diffusion-driven instability mechanism.</w:t>
      </w:r>
    </w:p>
    <w:p>
      <w:pPr>
        <w:pStyle w:val="Heading4"/>
        <w:spacing w:before="120" w:after="60"/>
      </w:pPr>
      <w:r>
        <w:rPr>
          <w:b/>
          <w:i/>
          <w:sz w:val="24"/>
          <w:szCs w:val="24"/>
        </w:rPr>
        <w:t>Morphogenesis and Turing Patterns</w:t>
      </w:r>
    </w:p>
    <w:p>
      <w:pPr>
        <w:spacing w:after="120" w:line="360" w:lineRule="auto"/>
        <w:ind w:firstLine="720"/>
        <w:jc w:val="both"/>
      </w:pPr>
      <w:r>
        <w:rPr>
          <w:sz w:val="24"/>
          <w:szCs w:val="24"/>
        </w:rPr>
        <w:t xml:space="preserve">Alan Turing's 1952 paper "The Chemical Basis of Morphogenesis" demonstrated mathematically that two interacting chemicals with different diffusion rates could spontaneously generate spatial concentration patterns from homogeneous initial conditions. The key requirements are: (1) a short-range activator that promotes its own production and stimulates production of an inhibitor; (2) a long-range inhibitor that suppresses activator production; and (3) the inhibitor must diffuse significantly faster than the activator.</w:t>
      </w:r>
    </w:p>
    <w:p>
      <w:pPr>
        <w:spacing w:after="120" w:line="360" w:lineRule="auto"/>
        <w:ind w:firstLine="720"/>
        <w:jc w:val="both"/>
      </w:pPr>
      <w:r>
        <w:rPr>
          <w:sz w:val="24"/>
          <w:szCs w:val="24"/>
        </w:rPr>
        <w:t xml:space="preserve">The specific pattern selected—spots, stripes, or labyrinthine structures—depends on the system parameters and domain geometry. Linear stability analysis of the homogeneous state reveals which spatial wavelengths are unstable: the fastest-growing mode typically dominates the initial pattern, though nonlinear interactions subsequently modify the final structure. On growing domains, sequential pattern refinement can produce size-invariant patterns consistent with developmental observations.</w:t>
      </w:r>
    </w:p>
    <w:p>
      <w:pPr>
        <w:spacing w:after="120" w:line="360" w:lineRule="auto"/>
        <w:ind w:firstLine="720"/>
        <w:jc w:val="both"/>
      </w:pPr>
      <w:r>
        <w:rPr>
          <w:sz w:val="24"/>
          <w:szCs w:val="24"/>
        </w:rPr>
        <w:t xml:space="preserve">Experimental evidence for Turing-type mechanisms has accumulated steadily: the WNT-DKK (activator-inhibitor) system in hair follicle spacing, the Nodal-Lefty system in zebrafish pigmentation, and digit patterning in limb development all exhibit features consistent with reaction-diffusion mechanisms. However, biological pattern formation typically involves additional mechanisms—mechanical forces, cell migration, differential adhesion—that interact with chemical signaling in complex ways.</w:t>
      </w:r>
    </w:p>
    <w:p>
      <w:pPr>
        <w:pStyle w:val="Heading4"/>
        <w:spacing w:before="120" w:after="60"/>
      </w:pPr>
      <w:r>
        <w:rPr>
          <w:b/>
          <w:i/>
          <w:sz w:val="24"/>
          <w:szCs w:val="24"/>
        </w:rPr>
        <w:t>Applications in Developmental Biology</w:t>
      </w:r>
    </w:p>
    <w:p>
      <w:pPr>
        <w:spacing w:after="120" w:line="360" w:lineRule="auto"/>
        <w:ind w:firstLine="720"/>
        <w:jc w:val="both"/>
      </w:pPr>
      <w:r>
        <w:rPr>
          <w:sz w:val="24"/>
          <w:szCs w:val="24"/>
        </w:rPr>
        <w:t xml:space="preserve">Developmental biology presents extraordinary challenges for mathematical modeling: cells divide, differentiate, migrate, and die; tissues grow, fold, and remodel; morphogen gradients form, are interpreted, and generate downstream responses. Models must capture this dynamic, multi-scale complexity while remaining analytically or computationally tractable.</w:t>
      </w:r>
    </w:p>
    <w:p>
      <w:pPr>
        <w:spacing w:after="120" w:line="360" w:lineRule="auto"/>
        <w:ind w:firstLine="720"/>
        <w:jc w:val="both"/>
      </w:pPr>
      <w:r>
        <w:rPr>
          <w:sz w:val="24"/>
          <w:szCs w:val="24"/>
        </w:rPr>
        <w:t xml:space="preserve">Morphogen gradient models describe how secreted signaling molecules establish concentration gradients that provide positional information to developing cells. The French Flag model proposes that cells adopt different fates depending on whether local morphogen concentration exceeds specific thresholds, creating distinct domains with sharp boundaries from smooth gradients. Mathematical analysis reveals how gradient precision depends on morphogen production rate, diffusion coefficient, degradation rate, and receptor-mediated endocytosis.</w:t>
      </w:r>
    </w:p>
    <w:p>
      <w:pPr>
        <w:spacing w:after="120" w:line="360" w:lineRule="auto"/>
        <w:ind w:firstLine="720"/>
        <w:jc w:val="both"/>
      </w:pPr>
      <w:r>
        <w:rPr>
          <w:sz w:val="24"/>
          <w:szCs w:val="24"/>
        </w:rPr>
        <w:t xml:space="preserve">Vertex models and cellular Potts models describe tissue mechanics at the cellular level, representing cells as polygons (vertices) or domains on a lattice (Potts) with energies depending on cell area, perimeter, and cell-cell adhesion. These models successfully reproduce tissue folding, cell sorting, wound healing, and tumor invasion dynamics, bridging the gap between molecular signaling and tissue-level morphogenesis.</w:t>
      </w:r>
    </w:p>
    <w:p>
      <w:pPr>
        <w:pStyle w:val="Heading3"/>
        <w:spacing w:before="160" w:after="80"/>
      </w:pPr>
      <w:r>
        <w:rPr>
          <w:b/>
          <w:sz w:val="26"/>
          <w:szCs w:val="26"/>
        </w:rPr>
        <w:t>4.2 Computational Tools and Simulation Techniques</w:t>
      </w:r>
    </w:p>
    <w:p>
      <w:pPr>
        <w:pStyle w:val="Heading4"/>
        <w:spacing w:before="120" w:after="60"/>
      </w:pPr>
      <w:r>
        <w:rPr>
          <w:b/>
          <w:i/>
          <w:sz w:val="24"/>
          <w:szCs w:val="24"/>
        </w:rPr>
        <w:t>Numerical Solvers and Software (MATLAB, Python, etc.)</w:t>
      </w:r>
    </w:p>
    <w:p>
      <w:pPr>
        <w:spacing w:after="120" w:line="360" w:lineRule="auto"/>
        <w:ind w:firstLine="720"/>
        <w:jc w:val="both"/>
      </w:pPr>
      <w:r>
        <w:rPr>
          <w:sz w:val="24"/>
          <w:szCs w:val="24"/>
        </w:rPr>
        <w:t xml:space="preserve">The computational implementation of biological models requires reliable numerical methods and efficient software tools. MATLAB has traditionally dominated computational biology due to its intuitive matrix-based syntax, extensive toolboxes (including the Systems Biology Toolbox), and powerful ODE solvers (ode45, ode15s, ode23t) suited to different problem characteristics. The MATLAB environment facilitates rapid prototyping, parameter exploration, and visualization of model results.</w:t>
      </w:r>
    </w:p>
    <w:p>
      <w:pPr>
        <w:spacing w:after="120" w:line="360" w:lineRule="auto"/>
        <w:ind w:firstLine="720"/>
        <w:jc w:val="both"/>
      </w:pPr>
      <w:r>
        <w:rPr>
          <w:sz w:val="24"/>
          <w:szCs w:val="24"/>
        </w:rPr>
        <w:t xml:space="preserve">Python has emerged as an increasingly popular alternative, offering open-source accessibility, extensive scientific computing libraries (NumPy, SciPy, SymPy), and specialized packages for biological modeling. SciPy's integrate module provides robust ODE solvers, while libraries such as PySB, Tellurium, and COPASI enable rule-based and systems biology modeling. Python's integration with machine learning frameworks (TensorFlow, PyTorch) facilitates hybrid approaches combining mechanistic modeling with data-driven methods.</w:t>
      </w:r>
    </w:p>
    <w:p>
      <w:pPr>
        <w:spacing w:after="120" w:line="360" w:lineRule="auto"/>
        <w:ind w:firstLine="720"/>
        <w:jc w:val="both"/>
      </w:pPr>
      <w:r>
        <w:rPr>
          <w:sz w:val="24"/>
          <w:szCs w:val="24"/>
        </w:rPr>
        <w:t xml:space="preserve">For PDE systems arising in spatial biological models, specialized finite element packages including FEniCS, COMSOL Multiphysics, and deal.II provide sophisticated spatial discretization and adaptive mesh refinement capabilities. Agent-based modeling platforms (NetLogo, Mesa, FLAME) simulate individual-level behaviors and interactions, complementing equation-based approaches for systems where individual heterogeneity is important.</w:t>
      </w:r>
    </w:p>
    <w:p>
      <w:pPr>
        <w:spacing w:after="120" w:line="360" w:lineRule="auto"/>
        <w:ind w:firstLine="720"/>
        <w:jc w:val="both"/>
      </w:pPr>
      <w:r>
        <w:rPr>
          <w:sz w:val="24"/>
          <w:szCs w:val="24"/>
        </w:rPr>
        <w:t xml:space="preserve">The choice of numerical solver significantly affects computational accuracy and efficiency. Non-stiff problems are efficiently handled by explicit methods (Runge-Kutta, Adams-Bashforth), while stiff systems—common in biochemistry where reaction time scales span many orders of magnitude—require implicit methods (backward differentiation formulas, implicit Runge-Kutta) that solve nonlinear algebraic systems at each time step but maintain stability for arbitrarily large time steps.</w:t>
      </w:r>
    </w:p>
    <w:p>
      <w:pPr>
        <w:pStyle w:val="Heading4"/>
        <w:spacing w:before="120" w:after="60"/>
      </w:pPr>
      <w:r>
        <w:rPr>
          <w:b/>
          <w:i/>
          <w:sz w:val="24"/>
          <w:szCs w:val="24"/>
        </w:rPr>
        <w:t>Data-Driven Modeling and Machine Learning Integration</w:t>
      </w:r>
    </w:p>
    <w:p>
      <w:pPr>
        <w:spacing w:after="120" w:line="360" w:lineRule="auto"/>
        <w:ind w:firstLine="720"/>
        <w:jc w:val="both"/>
      </w:pPr>
      <w:r>
        <w:rPr>
          <w:sz w:val="24"/>
          <w:szCs w:val="24"/>
        </w:rPr>
        <w:t xml:space="preserve">The explosion of biological data from high-throughput experiments, imaging technologies, and electronic health records creates opportunities for data-driven modeling approaches that complement traditional mechanistic models. Machine learning methods can identify patterns, classify biological states, and predict outcomes from complex, high-dimensional datasets without requiring explicit mechanistic understanding.</w:t>
      </w:r>
    </w:p>
    <w:p>
      <w:pPr>
        <w:spacing w:after="120" w:line="360" w:lineRule="auto"/>
        <w:ind w:firstLine="720"/>
        <w:jc w:val="both"/>
      </w:pPr>
      <w:r>
        <w:rPr>
          <w:sz w:val="24"/>
          <w:szCs w:val="24"/>
        </w:rPr>
        <w:t xml:space="preserve">Physics-informed neural networks (PINNs) represent a promising hybrid approach that embeds differential equation constraints within neural network architectures. The network is trained to simultaneously fit observed data and satisfy known governing equations, enabling parameter estimation, equation discovery, and forward simulation within a unified framework. This approach is particularly valuable when partial mechanistic knowledge exists but complete models are unavailable.</w:t>
      </w:r>
    </w:p>
    <w:p>
      <w:pPr>
        <w:spacing w:after="120" w:line="360" w:lineRule="auto"/>
        <w:ind w:firstLine="720"/>
        <w:jc w:val="both"/>
      </w:pPr>
      <w:r>
        <w:rPr>
          <w:sz w:val="24"/>
          <w:szCs w:val="24"/>
        </w:rPr>
        <w:t xml:space="preserve">Symbolic regression and sparse identification of nonlinear dynamics (SINDy) algorithms discover governing equations directly from time-series data by identifying sparse combinations of candidate basis functions that best describe observed dynamics. These methods can reveal unknown biological mechanisms by extracting mathematical relationships from experimental measurements without prior assumptions about functional forms.</w:t>
      </w:r>
    </w:p>
    <w:p>
      <w:pPr>
        <w:spacing w:after="120" w:line="360" w:lineRule="auto"/>
        <w:ind w:firstLine="720"/>
        <w:jc w:val="both"/>
      </w:pPr>
      <w:r>
        <w:rPr>
          <w:sz w:val="24"/>
          <w:szCs w:val="24"/>
        </w:rPr>
        <w:t xml:space="preserve">Transfer learning, where knowledge gained from one biological system is applied to another, offers efficiency gains when data is limited. Universal differential equations combine neural networks with known differential equation structures, learning unknown interaction terms from data while preserving established physical constraints.</w:t>
      </w:r>
    </w:p>
    <w:p>
      <w:pPr>
        <w:pStyle w:val="Heading4"/>
        <w:spacing w:before="120" w:after="60"/>
      </w:pPr>
      <w:r>
        <w:rPr>
          <w:b/>
          <w:i/>
          <w:sz w:val="24"/>
          <w:szCs w:val="24"/>
        </w:rPr>
        <w:t>Sensitivity Analysis and Optimization</w:t>
      </w:r>
    </w:p>
    <w:p>
      <w:pPr>
        <w:spacing w:after="120" w:line="360" w:lineRule="auto"/>
        <w:ind w:firstLine="720"/>
        <w:jc w:val="both"/>
      </w:pPr>
      <w:r>
        <w:rPr>
          <w:sz w:val="24"/>
          <w:szCs w:val="24"/>
        </w:rPr>
        <w:t xml:space="preserve">Sensitivity analysis quantifies how model outputs respond to changes in model inputs—parameters, initial conditions, or structural assumptions. Local sensitivity analysis computes partial derivatives of outputs with respect to parameters at a nominal point, providing linear approximations of parameter influence. Global sensitivity analysis methods (Sobol indices, Morris screening, Latin hypercube sampling) explore the full parameter space, capturing nonlinear interactions and identifying parameters whose uncertainty most strongly affects model predictions.</w:t>
      </w:r>
    </w:p>
    <w:p>
      <w:pPr>
        <w:spacing w:after="120" w:line="360" w:lineRule="auto"/>
        <w:ind w:firstLine="720"/>
        <w:jc w:val="both"/>
      </w:pPr>
      <w:r>
        <w:rPr>
          <w:sz w:val="24"/>
          <w:szCs w:val="24"/>
        </w:rPr>
        <w:t xml:space="preserve">Sensitivity analysis serves multiple purposes in biological modeling: guiding experimental design by identifying measurements that most effectively constrain model predictions; assessing model robustness by determining whether conclusions depend critically on poorly known parameters; and identifying therapeutic targets by revealing which parameters most strongly influence disease progression.</w:t>
      </w:r>
    </w:p>
    <w:p>
      <w:pPr>
        <w:spacing w:after="120" w:line="360" w:lineRule="auto"/>
        <w:ind w:firstLine="720"/>
        <w:jc w:val="both"/>
      </w:pPr>
      <w:r>
        <w:rPr>
          <w:sz w:val="24"/>
          <w:szCs w:val="24"/>
        </w:rPr>
        <w:t xml:space="preserve">Optimization methods find parameter values that minimize discrepancy between model predictions and experimental data, or identify intervention strategies that optimize biological outcomes. Gradient-based methods (conjugate gradient, quasi-Newton) are efficient for smooth objective functions, while evolutionary algorithms (genetic algorithms, particle swarm optimization) handle non-smooth, multi-modal optimization landscapes common in biological parameter estimation.</w:t>
      </w:r>
    </w:p>
    <w:p>
      <w:pPr>
        <w:spacing w:after="120" w:line="360" w:lineRule="auto"/>
        <w:ind w:firstLine="720"/>
        <w:jc w:val="both"/>
      </w:pPr>
      <w:r>
        <w:rPr>
          <w:sz w:val="24"/>
          <w:szCs w:val="24"/>
        </w:rPr>
        <w:t xml:space="preserve">Multi-objective optimization acknowledges that biological objectives often conflict—maximizing therapeutic efficacy while minimizing toxicity, or maximizing harvest yield while minimizing extinction risk. Pareto-optimal solutions represent the set of non-dominated trade-offs, providing decision-makers with the full range of efficient compromises rather than a single optimal point.</w:t>
      </w:r>
    </w:p>
    <w:p>
      <w:pPr>
        <w:pStyle w:val="Heading3"/>
        <w:spacing w:before="160" w:after="80"/>
      </w:pPr>
      <w:r>
        <w:rPr>
          <w:b/>
          <w:sz w:val="26"/>
          <w:szCs w:val="26"/>
        </w:rPr>
        <w:t>4.3 Challenges, Limitations, and Future Directions</w:t>
      </w:r>
    </w:p>
    <w:p>
      <w:pPr>
        <w:pStyle w:val="Heading4"/>
        <w:spacing w:before="120" w:after="60"/>
      </w:pPr>
      <w:r>
        <w:rPr>
          <w:b/>
          <w:i/>
          <w:sz w:val="24"/>
          <w:szCs w:val="24"/>
        </w:rPr>
        <w:t>Data Limitations and Model Uncertainty</w:t>
      </w:r>
    </w:p>
    <w:p>
      <w:pPr>
        <w:spacing w:after="120" w:line="360" w:lineRule="auto"/>
        <w:ind w:firstLine="720"/>
        <w:jc w:val="both"/>
      </w:pPr>
      <w:r>
        <w:rPr>
          <w:sz w:val="24"/>
          <w:szCs w:val="24"/>
        </w:rPr>
        <w:t xml:space="preserve">Despite advances in experimental techniques, biological data remains limited in quantity, quality, and completeness. Many model parameters cannot be measured directly and must be inferred from indirect observations. Time-series data is often sparse, noisy, and incomplete, with missing observations at critical time points. Spatial data may lack resolution at relevant scales, and single-cell measurements reveal heterogeneity that population-level data obscures.</w:t>
      </w:r>
    </w:p>
    <w:p>
      <w:pPr>
        <w:spacing w:after="120" w:line="360" w:lineRule="auto"/>
        <w:ind w:firstLine="720"/>
        <w:jc w:val="both"/>
      </w:pPr>
      <w:r>
        <w:rPr>
          <w:sz w:val="24"/>
          <w:szCs w:val="24"/>
        </w:rPr>
        <w:t xml:space="preserve">Structural uncertainty—uncertainty about the correct model form rather than parameter values—presents perhaps the greatest challenge. Different model structures may fit available data equally well while making divergent predictions for unobserved conditions. Model comparison frameworks, ensemble modeling approaches, and Bayesian model averaging provide partial solutions but cannot eliminate the fundamental ambiguity inherent in limited data.</w:t>
      </w:r>
    </w:p>
    <w:p>
      <w:pPr>
        <w:spacing w:after="120" w:line="360" w:lineRule="auto"/>
        <w:ind w:firstLine="720"/>
        <w:jc w:val="both"/>
      </w:pPr>
      <w:r>
        <w:rPr>
          <w:sz w:val="24"/>
          <w:szCs w:val="24"/>
        </w:rPr>
        <w:t xml:space="preserve">Measurement error, biological variability, and environmental fluctuations introduce uncertainty that propagates through model analysis. Uncertainty quantification methods—Monte Carlo simulation, polynomial chaos expansions, and Bayesian inference—characterize how input uncertainties translate into output uncertainties, providing confidence bounds on model predictions that honestly reflect available knowledge.</w:t>
      </w:r>
    </w:p>
    <w:p>
      <w:pPr>
        <w:pStyle w:val="Heading4"/>
        <w:spacing w:before="120" w:after="60"/>
      </w:pPr>
      <w:r>
        <w:rPr>
          <w:b/>
          <w:i/>
          <w:sz w:val="24"/>
          <w:szCs w:val="24"/>
        </w:rPr>
        <w:t>Multiscale Modeling Challenges</w:t>
      </w:r>
    </w:p>
    <w:p>
      <w:pPr>
        <w:spacing w:after="120" w:line="360" w:lineRule="auto"/>
        <w:ind w:firstLine="720"/>
        <w:jc w:val="both"/>
      </w:pPr>
      <w:r>
        <w:rPr>
          <w:sz w:val="24"/>
          <w:szCs w:val="24"/>
        </w:rPr>
        <w:t xml:space="preserve">Biological systems operate simultaneously across scales spanning many orders of magnitude in space (nanometers to meters) and time (microseconds to years). Molecular interactions within cells, cellular behaviors within tissues, tissue dynamics within organisms, and organism interactions within populations all contribute to biological function. No single mathematical framework captures all relevant scales simultaneously.</w:t>
      </w:r>
    </w:p>
    <w:p>
      <w:pPr>
        <w:spacing w:after="120" w:line="360" w:lineRule="auto"/>
        <w:ind w:firstLine="720"/>
        <w:jc w:val="both"/>
      </w:pPr>
      <w:r>
        <w:rPr>
          <w:sz w:val="24"/>
          <w:szCs w:val="24"/>
        </w:rPr>
        <w:t xml:space="preserve">Multiscale modeling approaches connect descriptions at different scales through various coupling strategies. Sequential multiscale methods use outputs from fine-scale models as inputs to coarse-scale models (bottom-up) or impose constraints from coarse-scale dynamics on fine-scale simulations (top-down). Concurrent multiscale methods maintain active simulations at multiple scales simultaneously, exchanging information through interface conditions.</w:t>
      </w:r>
    </w:p>
    <w:p>
      <w:pPr>
        <w:spacing w:after="120" w:line="360" w:lineRule="auto"/>
        <w:ind w:firstLine="720"/>
        <w:jc w:val="both"/>
      </w:pPr>
      <w:r>
        <w:rPr>
          <w:sz w:val="24"/>
          <w:szCs w:val="24"/>
        </w:rPr>
        <w:t xml:space="preserve">The curse of dimensionality presents computational challenges for multiscale models: the number of possible states grows exponentially with the number of components, making exhaustive simulation infeasible for complex systems. Model reduction techniques—proper orthogonal decomposition, moment closure, and equation-free methods—enable tractable computation by projecting high-dimensional dynamics onto lower-dimensional manifolds that capture essential behaviors.</w:t>
      </w:r>
    </w:p>
    <w:p>
      <w:pPr>
        <w:spacing w:after="120" w:line="360" w:lineRule="auto"/>
        <w:ind w:firstLine="720"/>
        <w:jc w:val="both"/>
      </w:pPr>
      <w:r>
        <w:rPr>
          <w:sz w:val="24"/>
          <w:szCs w:val="24"/>
        </w:rPr>
        <w:t xml:space="preserve">Bridging between stochastic molecular-level descriptions and deterministic population-level models requires careful mathematical analysis. The chemical master equation provides an exact stochastic description but is computationally intractable for large systems. The Gillespie algorithm enables exact stochastic simulation but becomes computationally expensive when fast reactions dominate. Tau-leaping, hybrid methods, and moment-closure approximations provide practical compromises between accuracy and computational cost.</w:t>
      </w:r>
    </w:p>
    <w:p>
      <w:pPr>
        <w:pStyle w:val="Heading4"/>
        <w:spacing w:before="120" w:after="60"/>
      </w:pPr>
      <w:r>
        <w:rPr>
          <w:b/>
          <w:i/>
          <w:sz w:val="24"/>
          <w:szCs w:val="24"/>
        </w:rPr>
        <w:t>Emerging Trends in Systems Biology and Personalized Medicine</w:t>
      </w:r>
    </w:p>
    <w:p>
      <w:pPr>
        <w:spacing w:after="120" w:line="360" w:lineRule="auto"/>
        <w:ind w:firstLine="720"/>
        <w:jc w:val="both"/>
      </w:pPr>
      <w:r>
        <w:rPr>
          <w:sz w:val="24"/>
          <w:szCs w:val="24"/>
        </w:rPr>
        <w:t xml:space="preserve">Systems biology integrates experimental data with computational modeling to understand biological systems as integrated wholes rather than collections of isolated components. Genome-scale metabolic models reconstruct complete cellular metabolic networks, enabling prediction of growth phenotypes, metabolic flux distributions, and gene essentiality from network structure and stoichiometry alone. Constraint-based methods including flux balance analysis enable analysis of these large-scale networks without requiring kinetic parameters for every reaction.</w:t>
      </w:r>
    </w:p>
    <w:p>
      <w:pPr>
        <w:spacing w:after="120" w:line="360" w:lineRule="auto"/>
        <w:ind w:firstLine="720"/>
        <w:jc w:val="both"/>
      </w:pPr>
      <w:r>
        <w:rPr>
          <w:sz w:val="24"/>
          <w:szCs w:val="24"/>
        </w:rPr>
        <w:t xml:space="preserve">Digital twin technology—creating patient-specific computational models that mirror individual physiology—represents an ambitious application of biomathematics to personalized medicine. Cardiac digital twins incorporating patient-specific anatomy, electrophysiology, and mechanics inform treatment planning for arrhythmia and heart failure. Pharmacokinetic/pharmacodynamic models calibrated to individual patient data guide personalized drug dosing. Tumor growth models incorporating genomic and imaging data predict treatment response and resistance evolution.</w:t>
      </w:r>
    </w:p>
    <w:p>
      <w:pPr>
        <w:spacing w:after="120" w:line="360" w:lineRule="auto"/>
        <w:ind w:firstLine="720"/>
        <w:jc w:val="both"/>
      </w:pPr>
      <w:r>
        <w:rPr>
          <w:sz w:val="24"/>
          <w:szCs w:val="24"/>
        </w:rPr>
        <w:t xml:space="preserve">The integration of machine learning with mechanistic modeling—sometimes called scientific machine learning or theory-informed machine learning—represents a paradigm shift in biomathematical methodology. Rather than choosing between purely data-driven and purely mechanism-based approaches, hybrid methods leverage the strengths of both: mechanistic knowledge provides structure, physical constraints, and interpretability, while machine learning fills gaps in mechanistic understanding, captures complex nonlinear relationships, and scales to high-dimensional datasets.</w:t>
      </w:r>
    </w:p>
    <w:p>
      <w:pPr>
        <w:spacing w:after="120" w:line="360" w:lineRule="auto"/>
        <w:ind w:firstLine="720"/>
        <w:jc w:val="both"/>
      </w:pPr>
      <w:r>
        <w:rPr>
          <w:sz w:val="24"/>
          <w:szCs w:val="24"/>
        </w:rPr>
        <w:t xml:space="preserve">Synthetic biology, which designs and constructs new biological systems, increasingly relies on mathematical modeling for circuit design, optimization, and failure prediction. Models predict whether engineered genetic circuits will function as intended, identify parameter regimes that ensure robust performance, and guide iterative design-build-test-learn cycles that accelerate development.</w:t>
      </w:r>
    </w:p>
    <w:p>
      <w:pPr>
        <w:spacing w:after="120" w:line="360" w:lineRule="auto"/>
        <w:ind w:firstLine="720"/>
        <w:jc w:val="both"/>
      </w:pPr>
      <w:r>
        <w:rPr>
          <w:sz w:val="24"/>
          <w:szCs w:val="24"/>
        </w:rPr>
        <w:t xml:space="preserve">The future of biomathematics lies in increasingly close integration between mathematical theory, computational methods, and experimental biology. Advances in single-cell technologies, live imaging, and multi-omics measurements provide unprecedented data richness; advances in computing power and algorithm development enable simulation of previously intractable models; and advances in mathematical theory reveal new analytical tools for understanding biological complexity. Together, these developments promise a future where mathematical models serve not merely as descriptive tools but as genuinely predictive engines driving biological discovery and medical innovation.</w:t>
      </w:r>
    </w:p>
    <w:p>
      <w:pPr>
        <w:pStyle w:val="Heading2"/>
        <w:spacing w:before="200" w:after="100"/>
      </w:pPr>
      <w:r>
        <w:rPr>
          <w:b/>
          <w:sz w:val="28"/>
          <w:szCs w:val="28"/>
        </w:rPr>
        <w:t>Conclusion</w:t>
      </w:r>
    </w:p>
    <w:p>
      <w:pPr>
        <w:spacing w:after="120" w:line="360" w:lineRule="auto"/>
        <w:ind w:firstLine="720"/>
        <w:jc w:val="both"/>
      </w:pPr>
      <w:r>
        <w:rPr>
          <w:sz w:val="24"/>
          <w:szCs w:val="24"/>
        </w:rPr>
        <w:t xml:space="preserve">Differential equations and dynamical systems theory provide the mathematical foundation for understanding biological systems across all scales of organization. From molecular reactions governed by enzyme kinetics to ecosystem dynamics shaped by species interactions, from neural impulses propagating along axons to epidemics spreading through populations, the language of differential equations captures the essential mechanisms of biological change.</w:t>
      </w:r>
    </w:p>
    <w:p>
      <w:pPr>
        <w:spacing w:after="120" w:line="360" w:lineRule="auto"/>
        <w:ind w:firstLine="720"/>
        <w:jc w:val="both"/>
      </w:pPr>
      <w:r>
        <w:rPr>
          <w:sz w:val="24"/>
          <w:szCs w:val="24"/>
        </w:rPr>
        <w:t xml:space="preserve">The framework presented in this chapter—from foundational principles through dynamical systems theory to diverse biological applications and emerging computational approaches—demonstrates both the power and the limitations of mathematical modeling in biology. Models illuminate mechanisms, generate testable predictions, and reveal principles that purely experimental approaches cannot easily access. Yet models remain simplifications of biological reality, and their value depends critically on appropriate biological assumptions, careful mathematical analysis, and rigorous experimental validation.</w:t>
      </w:r>
    </w:p>
    <w:p>
      <w:pPr>
        <w:spacing w:after="120" w:line="360" w:lineRule="auto"/>
        <w:ind w:firstLine="720"/>
        <w:jc w:val="both"/>
      </w:pPr>
      <w:r>
        <w:rPr>
          <w:sz w:val="24"/>
          <w:szCs w:val="24"/>
        </w:rPr>
        <w:t xml:space="preserve">As biology becomes increasingly quantitative and data-rich, the demand for sophisticated mathematical tools will only grow. The next generation of biomathematicians must combine deep mathematical training with genuine biological understanding, computational expertise, and data science skills. The challenges ahead—multiscale integration, personalized medicine, synthetic biology design, and understanding emergent complexity—will require continued innovation at the interface of mathematics and biology, driven by the conviction that nature's complexity is not an obstacle to understanding but an invitation to develop richer mathematical frameworks worthy of the extraordinary phenomena they seek to describe.</w:t>
      </w:r>
    </w:p>
    <w:p>
      <w:pPr>
        <w:jc w:val="center"/>
        <w:spacing w:before="120" w:after="120"/>
      </w:pPr>
      <w:r>
        <w:rPr>
          <w:i/>
          <w:sz w:val="24"/>
          <w:szCs w:val="24"/>
        </w:rPr>
        <w:t>Chapter contributed to: Biomathematics: A New Horizon of Science and Engineering</w:t>
      </w:r>
    </w:p>
    <w:sectPr>
      <w:pgSz w:w="12240" w:h="15840"/>
      <w:pgMar w:top="1440" w:right="1800" w:bottom="1440" w:left="1800"/>
    </w:sectPr>
  </w:body>
</w:document>
</file>

<file path=word/styles.xml><?xml version="1.0" encoding="utf-8"?>
<w:styles xmlns:w="http://schemas.openxmlformats.org/wordprocessingml/2006/main">
  <w:docDefaults>
    <w:rPrDefault>
      <w:rPr>
        <w:rFonts w:ascii="Times New Roman" w:hAnsi="Times New Roman" w:cs="Times New Roman"/>
        <w:sz w:val="24"/>
        <w:szCs w:val="24"/>
      </w:rPr>
    </w:rPrDefault>
  </w:docDefaults>
  <w:style w:type="paragraph" w:styleId="Heading1">
    <w:name w:val="heading 1"/>
    <w:pPr>
      <w:spacing w:before="240" w:after="120"/>
    </w:pPr>
    <w:rPr>
      <w:b/>
      <w:sz w:val="32"/>
      <w:szCs w:val="32"/>
    </w:rPr>
  </w:style>
  <w:style w:type="paragraph" w:styleId="Heading2">
    <w:name w:val="heading 2"/>
    <w:pPr>
      <w:spacing w:before="200" w:after="100"/>
    </w:pPr>
    <w:rPr>
      <w:b/>
      <w:sz w:val="28"/>
      <w:szCs w:val="28"/>
    </w:rPr>
  </w:style>
  <w:style w:type="paragraph" w:styleId="Heading3">
    <w:name w:val="heading 3"/>
    <w:pPr>
      <w:spacing w:before="160" w:after="80"/>
    </w:pPr>
    <w:rPr>
      <w:b/>
      <w:sz w:val="26"/>
      <w:szCs w:val="26"/>
    </w:rPr>
  </w:style>
  <w:style w:type="paragraph" w:styleId="Heading4">
    <w:name w:val="heading 4"/>
    <w:pPr>
      <w:spacing w:before="120" w:after="60"/>
    </w:pPr>
    <w:rPr>
      <w:b/>
      <w:i/>
      <w:sz w:val="24"/>
      <w:szCs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