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sz w:val="30"/>
          <w:szCs w:val="30"/>
        </w:rPr>
        <w:t xml:space="preserve">Comparative Analysis of Microstructural Evolution and Mechanical Properties of AISI Grade 440 Stainless Steel Welds Fabricated by Metal Inert Gas Welding Using Austenitic 309L, Martensitic 410, and Super Duplex 2594 Filler Metals</w:t>
      </w:r>
    </w:p>
    <w:p/>
    <w:p>
      <w:pPr>
        <w:pStyle w:val="Heading1"/>
      </w:pPr>
      <w:r>
        <w:rPr>
          <w:b/>
          <w:sz w:val="28"/>
          <w:szCs w:val="28"/>
        </w:rPr>
        <w:t xml:space="preserve">Abstract</w:t>
      </w:r>
    </w:p>
    <w:p/>
    <w:p>
      <w:r>
        <w:t xml:space="preserve">In the present work, the microstructural evolution, hardness distribution, impact toughness and fracture behaviour of multi-pass welded SS440 martensitic stainless steel with three different filler metals (F309L, F410 and F2594) have been investigated. The constitution of the weld metal was predicted using the Schaeffler constitution diagram, and the solidification behaviour was predicted using the pseudo-binary solidification diagram, both with the aid of chromium and nickel equivalents calculated with a single, consistent set of equivalence formulae. The F309L weld metal solidified in the austenitic–ferritic (AF) mode with Cr_eq/Ni_eq = 1.46, the F2594 weld metal solidified in the ferritic–austenitic (FA) mode with Cr_eq/Ni_eq = 1.62, and the F410 weld metal solidified in the fully ferritic (F) mode with Cr_eq/Ni_eq = 3.19, subsequently transforming to a predominantly martensitic (plus ferrite) structure at room temperature. The cross-sections of the FZ and HAZ were examined using optical microscopy and SEM, which showed columnar dendrites, ferritic–austenitic duplex regions, martensitic regions, and carbide and intermetallic precipitates. The weld-zone hardness of F410 was the highest (345–365 VHN), whereas soft austenite was the predominant phase in the weld-zone of F309L, giving the lowest hardness (195–220 VHN). The F2594 weld had intermediate hardness values of 285–310 VHN and a balanced duplex microstructure. The toughness of the F2594 weld was higher than that of the base metal (FZ ~275 J, HAZ ~290 J versus base ~260 J) as revealed by the Charpy impact test. The fracture mechanism of F2594 welds was confirmed as ductile microvoid-coalescence fracture arising from its duplex ferritic–austenitic structure, while the fracture mechanism of F410 welds was confirmed as quasi-cleavage brittle fracture arising from its martensitic structure. The results show that filler metal F2594 provides the best toughness, moderate hardness and stable ductile fracture behaviour when welding the SS440 material.</w:t>
      </w:r>
    </w:p>
    <w:p/>
    <w:p>
      <w:r>
        <w:rPr>
          <w:b/>
        </w:rPr>
        <w:t xml:space="preserve">Keywords:</w:t>
      </w:r>
      <w:r>
        <w:t xml:space="preserve"> AISI 440 martensitic stainless steel; MIG welding; filler metal; Schaeffler diagram; microstructure; impact toughness; fractography</w:t>
      </w:r>
    </w:p>
    <w:p/>
    <w:p>
      <w:pPr>
        <w:pStyle w:val="Heading1"/>
      </w:pPr>
      <w:r>
        <w:rPr>
          <w:b/>
          <w:sz w:val="28"/>
          <w:szCs w:val="28"/>
        </w:rPr>
        <w:t xml:space="preserve">1. Introduction</w:t>
      </w:r>
    </w:p>
    <w:p/>
    <w:p>
      <w:r>
        <w:t xml:space="preserve">Martensitic stainless steels find applications in engineering components that require high strength and wear resistance, good hardenability, and moderate corrosion resistance. Because of these characteristics, they are extensively employed in the production of surgical tools, valves, bearings, pump shafts, turbines, hydraulic rams, and other uses [1, 2]. AISI 440 stainless steel has high carbon and chromium content, and after appropriate heat treatment, it has excellent hardness, corrosion resistance and abrasion resistance [3]. Therefore, AISI 440 steel is predominantly used in engineering applications where high wear resistance is desired in a corrosive environment [4, 5].</w:t>
      </w:r>
    </w:p>
    <w:p/>
    <w:p>
      <w:r>
        <w:t xml:space="preserve">In spite of possessing excellent tribological and mechanical properties, the welding of AISI 440 steel is challenging because of its martensitic transformation characteristics as well as its high carbon content. During welding, rapid cooling of the HAZ and FZ can create untempered martensite, which can cause high residual stresses and lower toughness and hardness. This makes the welded joint more prone to solidification cracking. For AISI 440 steel, the diffusionless transformation to martensite is induced by the rapid cooling [6]. This is desirable for high strength after suitable heat treatment, but can be problematic when welding. The HAZ is a region of heterogeneous microstructure that is formed during fusion welding due to the high thermal gradient and localized heating. Temperatures in the areas close to the weld line exceed the austenitization temperature, causing grain growth. These coarsened areas are harder and less ductile after cooling, and the hardness differences enhance the risk of cold cracking [7, 8].</w:t>
      </w:r>
    </w:p>
    <w:p/>
    <w:p>
      <w:r>
        <w:t xml:space="preserve">Moreover, this heat cycle leads to further microstructural degradation in welding. The coarsening of grains in the heat-affected zone close to the solidus temperature reduces the toughness of the material [9]. Furthermore, in multi-pass welds or during post-weld heat treatment, embrittling intermetallic phases like the sigma phase can be formed, which can further reduce the toughness of the welds [10]. Owing to these metallurgical instabilities, the welded joint becomes weaker and less stable than the base metal, which is a serious problem for the long-term structural integrity of AISI 440. Therefore, it is essential to use a strong base metal/filler metal combination to reduce the risk of cold cracking, provide adequate toughness and hardness control, and provide corrosion resistance without excessive preheat and post-weld heat treatment [11, 12].</w:t>
      </w:r>
    </w:p>
    <w:p/>
    <w:p>
      <w:r>
        <w:t xml:space="preserve">Metal inert gas (MIG) welding is widely used in manufacturing due to its high deposition rate, its ability to make continuous welds and its good process control. In the case of MIG welding, however, the high heat input and fast thermal cycles can have a significant impact on the solidification behaviour and mechanical properties of the stainless steel welds, and the parameters have a significant impact on the performance of the welds. The problems associated with MIG welding of martensitic steels are severe due to their tendency to form brittle phases, hydrogen-induced cracking and excessive grain growth. In addition to the welding parameters, the metallurgical properties and chemical composition of the filler materials are important factors affecting the integrity, mechanical properties and microstructure of the final weld [13, 14].</w:t>
      </w:r>
    </w:p>
    <w:p/>
    <w:p>
      <w:r>
        <w:t xml:space="preserve">The choice of filler metal is highly critical for welding martensitic stainless steels, due to its effect on solidification mode, dilution, phase transformation and microstructural development [2]. The influence of three different filler metals, ER309L, ER410 and ER2594, is examined in the present study. The austenitic filler ER309L has good corrosion resistance and can reduce the susceptibility to cracking, so it is suitable for welding dissimilar stainless steels. Research has shown that ER309L welds tend to have higher toughness in the fusion zone compared to martensitic welds, but this can cause microstructural variations at the fusion zone due to dilution effects [15, 16]. If a martensitic material like AISI 440 is welded using ER309L, a two-phase structure is formed, usually austenite and a small amount of delta ferrite, plus a narrow and partially diluted zone at the fusion front. This austenitic matrix prevents the formation of untempered martensite, which is a major cause of cold cracking [17].</w:t>
      </w:r>
    </w:p>
    <w:p/>
    <w:p>
      <w:r>
        <w:t xml:space="preserve">The martensitic filler ER410 is used to produce ferritic and martensitic phases, which can increase the hardness of the weld metal, but can cause micro-cracking when used with incorrect parameters [18]. Furthermore, the production of hard untempered martensite during cooling decreases ductility and toughness and increases the risk of weld cracking [19]. The super duplex filler ER2594 has been the subject of much interest as it is formulated to produce a two-phase microstructure (austenite and ferrite) that offers a desirable balance of good toughness, high strength and excellent resistance to stress-corrosion cracking. The phase balance and properties of super duplex welds, however, are highly dependent on the heat input, chemical dilution during welding and cooling rate [20, 21]. ER2594 has a high chromium, molybdenum, nitrogen and nickel content, which helps to make it highly pitting resistant [21].</w:t>
      </w:r>
    </w:p>
    <w:p/>
    <w:p>
      <w:r>
        <w:t xml:space="preserve">Although significant progress has been made in welding metallurgy, the fillers ER309L, ER410 and ER2594 have not been systematically compared for the MIG welding of AISI 440 grade under the same process parameters. In the present study, the microstructural evolution and mechanical properties of the welds made with these three filler metals in AISI Grade 440 stainless steel are investigated. The microstructural features, phase evolution and elemental distribution in the weld region were evaluated by metallographic examination, SEM, EDS and XRD. Mechanical performance was evaluated by hardness and impact tests.</w:t>
      </w:r>
    </w:p>
    <w:p/>
    <w:p>
      <w:pPr>
        <w:pStyle w:val="Heading1"/>
      </w:pPr>
      <w:r>
        <w:rPr>
          <w:b/>
          <w:sz w:val="28"/>
          <w:szCs w:val="28"/>
        </w:rPr>
        <w:t xml:space="preserve">2. Materials and Methods</w:t>
      </w:r>
    </w:p>
    <w:p/>
    <w:p>
      <w:r>
        <w:t xml:space="preserve">American Iron and Steel Institute (AISI) grade 440 martensitic stainless steel plates of 300 mm × 75 mm × 12 mm were used as the substrate for the experimental investigation. The filler metals used were martensitic stainless steel 410, austenitic stainless steel 309L and super duplex stainless steel 2594. The diameter of the filler was selected as 1.2 mm to be compatible with the MIG welding process. Austenitic 309L was selected for its high nickel and chromium content, offering excellent corrosion resistance and ductility. The metallurgical compatibility of the martensitic filler 410 with the base metal (martensitic AISI 440) was the reason for its choice. Super duplex 2594 was chosen for its balanced ferritic–austenitic microstructure, pitting corrosion resistance, and high mechanical strength. The chemical composition of the base metal and filler metals was determined by spectrographic analysis at IAHT Ludhiana and the results are presented in Table 1. The mechanical properties of the base metal and filler materials are given in Table 2.</w:t>
      </w:r>
    </w:p>
    <w:p/>
    <w:p>
      <w:r>
        <w:rPr>
          <w:b/>
        </w:rPr>
        <w:t xml:space="preserve">Table 1.</w:t>
      </w:r>
      <w:r>
        <w:t xml:space="preserve"> Chemical composition (wt%) of the AISI 440 base metal and the three filler metals, with chromium and nickel equivalents calculated using Cr_eq = Cr + Mo + 1.5Si and Ni_eq = Ni + 30C + 0.5Mn + 30N (applied consistently to every row).</w:t>
      </w:r>
    </w:p>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50"/>
        <w:gridCol w:w="850"/>
        <w:gridCol w:w="850"/>
        <w:gridCol w:w="850"/>
        <w:gridCol w:w="850"/>
        <w:gridCol w:w="850"/>
        <w:gridCol w:w="850"/>
        <w:gridCol w:w="850"/>
        <w:gridCol w:w="850"/>
        <w:gridCol w:w="850"/>
        <w:gridCol w:w="850"/>
      </w:tblGrid>
      <w:tr>
        <w:trPr>
          <w:tblHeader/>
        </w:trPr>
        <w:tc>
          <w:tcPr>
            <w:tcW w:w="850" w:type="dxa"/>
            <w:shd w:val="clear" w:color="auto" w:fill="D9E2F3"/>
            <w:vAlign w:val="center"/>
          </w:tcPr>
          <w:p>
            <w:pPr>
              <w:spacing w:after="20" w:line="240" w:lineRule="auto"/>
              <w:jc w:val="center"/>
            </w:pPr>
            <w:r>
              <w:rPr>
                <w:b/>
                <w:sz w:val="18"/>
                <w:szCs w:val="18"/>
              </w:rPr>
              <w:t xml:space="preserve">Material</w:t>
            </w:r>
          </w:p>
        </w:tc>
        <w:tc>
          <w:tcPr>
            <w:tcW w:w="850" w:type="dxa"/>
            <w:shd w:val="clear" w:color="auto" w:fill="D9E2F3"/>
            <w:vAlign w:val="center"/>
          </w:tcPr>
          <w:p>
            <w:pPr>
              <w:spacing w:after="20" w:line="240" w:lineRule="auto"/>
              <w:jc w:val="center"/>
            </w:pPr>
            <w:r>
              <w:rPr>
                <w:b/>
                <w:sz w:val="18"/>
                <w:szCs w:val="18"/>
              </w:rPr>
              <w:t xml:space="preserve">C</w:t>
            </w:r>
          </w:p>
        </w:tc>
        <w:tc>
          <w:tcPr>
            <w:tcW w:w="850" w:type="dxa"/>
            <w:shd w:val="clear" w:color="auto" w:fill="D9E2F3"/>
            <w:vAlign w:val="center"/>
          </w:tcPr>
          <w:p>
            <w:pPr>
              <w:spacing w:after="20" w:line="240" w:lineRule="auto"/>
              <w:jc w:val="center"/>
            </w:pPr>
            <w:r>
              <w:rPr>
                <w:b/>
                <w:sz w:val="18"/>
                <w:szCs w:val="18"/>
              </w:rPr>
              <w:t xml:space="preserve">Cr</w:t>
            </w:r>
          </w:p>
        </w:tc>
        <w:tc>
          <w:tcPr>
            <w:tcW w:w="850" w:type="dxa"/>
            <w:shd w:val="clear" w:color="auto" w:fill="D9E2F3"/>
            <w:vAlign w:val="center"/>
          </w:tcPr>
          <w:p>
            <w:pPr>
              <w:spacing w:after="20" w:line="240" w:lineRule="auto"/>
              <w:jc w:val="center"/>
            </w:pPr>
            <w:r>
              <w:rPr>
                <w:b/>
                <w:sz w:val="18"/>
                <w:szCs w:val="18"/>
              </w:rPr>
              <w:t xml:space="preserve">Ni</w:t>
            </w:r>
          </w:p>
        </w:tc>
        <w:tc>
          <w:tcPr>
            <w:tcW w:w="850" w:type="dxa"/>
            <w:shd w:val="clear" w:color="auto" w:fill="D9E2F3"/>
            <w:vAlign w:val="center"/>
          </w:tcPr>
          <w:p>
            <w:pPr>
              <w:spacing w:after="20" w:line="240" w:lineRule="auto"/>
              <w:jc w:val="center"/>
            </w:pPr>
            <w:r>
              <w:rPr>
                <w:b/>
                <w:sz w:val="18"/>
                <w:szCs w:val="18"/>
              </w:rPr>
              <w:t xml:space="preserve">Mo</w:t>
            </w:r>
          </w:p>
        </w:tc>
        <w:tc>
          <w:tcPr>
            <w:tcW w:w="850" w:type="dxa"/>
            <w:shd w:val="clear" w:color="auto" w:fill="D9E2F3"/>
            <w:vAlign w:val="center"/>
          </w:tcPr>
          <w:p>
            <w:pPr>
              <w:spacing w:after="20" w:line="240" w:lineRule="auto"/>
              <w:jc w:val="center"/>
            </w:pPr>
            <w:r>
              <w:rPr>
                <w:b/>
                <w:sz w:val="18"/>
                <w:szCs w:val="18"/>
              </w:rPr>
              <w:t xml:space="preserve">Mn</w:t>
            </w:r>
          </w:p>
        </w:tc>
        <w:tc>
          <w:tcPr>
            <w:tcW w:w="850" w:type="dxa"/>
            <w:shd w:val="clear" w:color="auto" w:fill="D9E2F3"/>
            <w:vAlign w:val="center"/>
          </w:tcPr>
          <w:p>
            <w:pPr>
              <w:spacing w:after="20" w:line="240" w:lineRule="auto"/>
              <w:jc w:val="center"/>
            </w:pPr>
            <w:r>
              <w:rPr>
                <w:b/>
                <w:sz w:val="18"/>
                <w:szCs w:val="18"/>
              </w:rPr>
              <w:t xml:space="preserve">Si</w:t>
            </w:r>
          </w:p>
        </w:tc>
        <w:tc>
          <w:tcPr>
            <w:tcW w:w="850" w:type="dxa"/>
            <w:shd w:val="clear" w:color="auto" w:fill="D9E2F3"/>
            <w:vAlign w:val="center"/>
          </w:tcPr>
          <w:p>
            <w:pPr>
              <w:spacing w:after="20" w:line="240" w:lineRule="auto"/>
              <w:jc w:val="center"/>
            </w:pPr>
            <w:r>
              <w:rPr>
                <w:b/>
                <w:sz w:val="18"/>
                <w:szCs w:val="18"/>
              </w:rPr>
              <w:t xml:space="preserve">N</w:t>
            </w:r>
          </w:p>
        </w:tc>
        <w:tc>
          <w:tcPr>
            <w:tcW w:w="850" w:type="dxa"/>
            <w:shd w:val="clear" w:color="auto" w:fill="D9E2F3"/>
            <w:vAlign w:val="center"/>
          </w:tcPr>
          <w:p>
            <w:pPr>
              <w:spacing w:after="20" w:line="240" w:lineRule="auto"/>
              <w:jc w:val="center"/>
            </w:pPr>
            <w:r>
              <w:rPr>
                <w:b/>
                <w:sz w:val="18"/>
                <w:szCs w:val="18"/>
              </w:rPr>
              <w:t xml:space="preserve">Cr_eq</w:t>
            </w:r>
          </w:p>
        </w:tc>
        <w:tc>
          <w:tcPr>
            <w:tcW w:w="850" w:type="dxa"/>
            <w:shd w:val="clear" w:color="auto" w:fill="D9E2F3"/>
            <w:vAlign w:val="center"/>
          </w:tcPr>
          <w:p>
            <w:pPr>
              <w:spacing w:after="20" w:line="240" w:lineRule="auto"/>
              <w:jc w:val="center"/>
            </w:pPr>
            <w:r>
              <w:rPr>
                <w:b/>
                <w:sz w:val="18"/>
                <w:szCs w:val="18"/>
              </w:rPr>
              <w:t xml:space="preserve">Ni_eq</w:t>
            </w:r>
          </w:p>
        </w:tc>
        <w:tc>
          <w:tcPr>
            <w:tcW w:w="850" w:type="dxa"/>
            <w:shd w:val="clear" w:color="auto" w:fill="D9E2F3"/>
            <w:vAlign w:val="center"/>
          </w:tcPr>
          <w:p>
            <w:pPr>
              <w:spacing w:after="20" w:line="240" w:lineRule="auto"/>
              <w:jc w:val="center"/>
            </w:pPr>
            <w:r>
              <w:rPr>
                <w:b/>
                <w:sz w:val="18"/>
                <w:szCs w:val="18"/>
              </w:rPr>
              <w:t xml:space="preserve">Cr_eq/Ni_eq</w:t>
            </w:r>
          </w:p>
        </w:tc>
      </w:tr>
      <w:tr>
        <w:tc>
          <w:tcPr>
            <w:tcW w:w="850" w:type="dxa"/>
            <w:vAlign w:val="center"/>
          </w:tcPr>
          <w:p>
            <w:pPr>
              <w:spacing w:after="20" w:line="240" w:lineRule="auto"/>
              <w:jc w:val="center"/>
            </w:pPr>
            <w:r>
              <w:rPr>
                <w:sz w:val="18"/>
                <w:szCs w:val="18"/>
              </w:rPr>
              <w:t xml:space="preserve">SS 440</w:t>
            </w:r>
          </w:p>
        </w:tc>
        <w:tc>
          <w:tcPr>
            <w:tcW w:w="850" w:type="dxa"/>
            <w:vAlign w:val="center"/>
          </w:tcPr>
          <w:p>
            <w:pPr>
              <w:spacing w:after="20" w:line="240" w:lineRule="auto"/>
              <w:jc w:val="center"/>
            </w:pPr>
            <w:r>
              <w:rPr>
                <w:sz w:val="18"/>
                <w:szCs w:val="18"/>
              </w:rPr>
              <w:t xml:space="preserve">0.95</w:t>
            </w:r>
          </w:p>
        </w:tc>
        <w:tc>
          <w:tcPr>
            <w:tcW w:w="850" w:type="dxa"/>
            <w:vAlign w:val="center"/>
          </w:tcPr>
          <w:p>
            <w:pPr>
              <w:spacing w:after="20" w:line="240" w:lineRule="auto"/>
              <w:jc w:val="center"/>
            </w:pPr>
            <w:r>
              <w:rPr>
                <w:sz w:val="18"/>
                <w:szCs w:val="18"/>
              </w:rPr>
              <w:t xml:space="preserve">17</w:t>
            </w:r>
          </w:p>
        </w:tc>
        <w:tc>
          <w:tcPr>
            <w:tcW w:w="850" w:type="dxa"/>
            <w:vAlign w:val="center"/>
          </w:tcPr>
          <w:p>
            <w:pPr>
              <w:spacing w:after="20" w:line="240" w:lineRule="auto"/>
              <w:jc w:val="center"/>
            </w:pPr>
            <w:r>
              <w:rPr>
                <w:sz w:val="18"/>
                <w:szCs w:val="18"/>
              </w:rPr>
              <w:t xml:space="preserve">0.75</w:t>
            </w:r>
          </w:p>
        </w:tc>
        <w:tc>
          <w:tcPr>
            <w:tcW w:w="850" w:type="dxa"/>
            <w:vAlign w:val="center"/>
          </w:tcPr>
          <w:p>
            <w:pPr>
              <w:spacing w:after="20" w:line="240" w:lineRule="auto"/>
              <w:jc w:val="center"/>
            </w:pPr>
            <w:r>
              <w:rPr>
                <w:sz w:val="18"/>
                <w:szCs w:val="18"/>
              </w:rPr>
              <w:t xml:space="preserve">0.75</w:t>
            </w:r>
          </w:p>
        </w:tc>
        <w:tc>
          <w:tcPr>
            <w:tcW w:w="850" w:type="dxa"/>
            <w:vAlign w:val="center"/>
          </w:tcPr>
          <w:p>
            <w:pPr>
              <w:spacing w:after="20" w:line="240" w:lineRule="auto"/>
              <w:jc w:val="center"/>
            </w:pPr>
            <w:r>
              <w:rPr>
                <w:sz w:val="18"/>
                <w:szCs w:val="18"/>
              </w:rPr>
              <w:t xml:space="preserve">1.0</w:t>
            </w:r>
          </w:p>
        </w:tc>
        <w:tc>
          <w:tcPr>
            <w:tcW w:w="850" w:type="dxa"/>
            <w:vAlign w:val="center"/>
          </w:tcPr>
          <w:p>
            <w:pPr>
              <w:spacing w:after="20" w:line="240" w:lineRule="auto"/>
              <w:jc w:val="center"/>
            </w:pPr>
            <w:r>
              <w:rPr>
                <w:sz w:val="18"/>
                <w:szCs w:val="18"/>
              </w:rPr>
              <w:t xml:space="preserve">1.0</w:t>
            </w:r>
          </w:p>
        </w:tc>
        <w:tc>
          <w:tcPr>
            <w:tcW w:w="850" w:type="dxa"/>
            <w:vAlign w:val="center"/>
          </w:tcPr>
          <w:p>
            <w:pPr>
              <w:spacing w:after="20" w:line="240" w:lineRule="auto"/>
              <w:jc w:val="center"/>
            </w:pPr>
            <w:r>
              <w:rPr>
                <w:sz w:val="18"/>
                <w:szCs w:val="18"/>
              </w:rPr>
              <w:t xml:space="preserve">0.03</w:t>
            </w:r>
          </w:p>
        </w:tc>
        <w:tc>
          <w:tcPr>
            <w:tcW w:w="850" w:type="dxa"/>
            <w:vAlign w:val="center"/>
          </w:tcPr>
          <w:p>
            <w:pPr>
              <w:spacing w:after="20" w:line="240" w:lineRule="auto"/>
              <w:jc w:val="center"/>
            </w:pPr>
            <w:r>
              <w:rPr>
                <w:sz w:val="18"/>
                <w:szCs w:val="18"/>
              </w:rPr>
              <w:t xml:space="preserve">19.25</w:t>
            </w:r>
          </w:p>
        </w:tc>
        <w:tc>
          <w:tcPr>
            <w:tcW w:w="850" w:type="dxa"/>
            <w:vAlign w:val="center"/>
          </w:tcPr>
          <w:p>
            <w:pPr>
              <w:spacing w:after="20" w:line="240" w:lineRule="auto"/>
              <w:jc w:val="center"/>
            </w:pPr>
            <w:r>
              <w:rPr>
                <w:sz w:val="18"/>
                <w:szCs w:val="18"/>
              </w:rPr>
              <w:t xml:space="preserve">30.65</w:t>
            </w:r>
          </w:p>
        </w:tc>
        <w:tc>
          <w:tcPr>
            <w:tcW w:w="850" w:type="dxa"/>
            <w:vAlign w:val="center"/>
          </w:tcPr>
          <w:p>
            <w:pPr>
              <w:spacing w:after="20" w:line="240" w:lineRule="auto"/>
              <w:jc w:val="center"/>
            </w:pPr>
            <w:r>
              <w:rPr>
                <w:sz w:val="18"/>
                <w:szCs w:val="18"/>
              </w:rPr>
              <w:t xml:space="preserve">0.63</w:t>
            </w:r>
          </w:p>
        </w:tc>
      </w:tr>
      <w:tr>
        <w:tc>
          <w:tcPr>
            <w:tcW w:w="850" w:type="dxa"/>
            <w:vAlign w:val="center"/>
          </w:tcPr>
          <w:p>
            <w:pPr>
              <w:spacing w:after="20" w:line="240" w:lineRule="auto"/>
              <w:jc w:val="center"/>
            </w:pPr>
            <w:r>
              <w:rPr>
                <w:sz w:val="18"/>
                <w:szCs w:val="18"/>
              </w:rPr>
              <w:t xml:space="preserve">F 309L</w:t>
            </w:r>
          </w:p>
        </w:tc>
        <w:tc>
          <w:tcPr>
            <w:tcW w:w="850" w:type="dxa"/>
            <w:vAlign w:val="center"/>
          </w:tcPr>
          <w:p>
            <w:pPr>
              <w:spacing w:after="20" w:line="240" w:lineRule="auto"/>
              <w:jc w:val="center"/>
            </w:pPr>
            <w:r>
              <w:rPr>
                <w:sz w:val="18"/>
                <w:szCs w:val="18"/>
              </w:rPr>
              <w:t xml:space="preserve">0.03</w:t>
            </w:r>
          </w:p>
        </w:tc>
        <w:tc>
          <w:tcPr>
            <w:tcW w:w="850" w:type="dxa"/>
            <w:vAlign w:val="center"/>
          </w:tcPr>
          <w:p>
            <w:pPr>
              <w:spacing w:after="20" w:line="240" w:lineRule="auto"/>
              <w:jc w:val="center"/>
            </w:pPr>
            <w:r>
              <w:rPr>
                <w:sz w:val="18"/>
                <w:szCs w:val="18"/>
              </w:rPr>
              <w:t xml:space="preserve">24</w:t>
            </w:r>
          </w:p>
        </w:tc>
        <w:tc>
          <w:tcPr>
            <w:tcW w:w="850" w:type="dxa"/>
            <w:vAlign w:val="center"/>
          </w:tcPr>
          <w:p>
            <w:pPr>
              <w:spacing w:after="20" w:line="240" w:lineRule="auto"/>
              <w:jc w:val="center"/>
            </w:pPr>
            <w:r>
              <w:rPr>
                <w:sz w:val="18"/>
                <w:szCs w:val="18"/>
              </w:rPr>
              <w:t xml:space="preserve">13</w:t>
            </w:r>
          </w:p>
        </w:tc>
        <w:tc>
          <w:tcPr>
            <w:tcW w:w="850" w:type="dxa"/>
            <w:vAlign w:val="center"/>
          </w:tcPr>
          <w:p>
            <w:pPr>
              <w:spacing w:after="20" w:line="240" w:lineRule="auto"/>
              <w:jc w:val="center"/>
            </w:pPr>
            <w:r>
              <w:rPr>
                <w:sz w:val="18"/>
                <w:szCs w:val="18"/>
              </w:rPr>
              <w:t xml:space="preserve">0.3</w:t>
            </w:r>
          </w:p>
        </w:tc>
        <w:tc>
          <w:tcPr>
            <w:tcW w:w="850" w:type="dxa"/>
            <w:vAlign w:val="center"/>
          </w:tcPr>
          <w:p>
            <w:pPr>
              <w:spacing w:after="20" w:line="240" w:lineRule="auto"/>
              <w:jc w:val="center"/>
            </w:pPr>
            <w:r>
              <w:rPr>
                <w:sz w:val="18"/>
                <w:szCs w:val="18"/>
              </w:rPr>
              <w:t xml:space="preserve">1.8</w:t>
            </w:r>
          </w:p>
        </w:tc>
        <w:tc>
          <w:tcPr>
            <w:tcW w:w="850" w:type="dxa"/>
            <w:vAlign w:val="center"/>
          </w:tcPr>
          <w:p>
            <w:pPr>
              <w:spacing w:after="20" w:line="240" w:lineRule="auto"/>
              <w:jc w:val="center"/>
            </w:pPr>
            <w:r>
              <w:rPr>
                <w:sz w:val="18"/>
                <w:szCs w:val="18"/>
              </w:rPr>
              <w:t xml:space="preserve">0.5</w:t>
            </w:r>
          </w:p>
        </w:tc>
        <w:tc>
          <w:tcPr>
            <w:tcW w:w="850" w:type="dxa"/>
            <w:vAlign w:val="center"/>
          </w:tcPr>
          <w:p>
            <w:pPr>
              <w:spacing w:after="20" w:line="240" w:lineRule="auto"/>
              <w:jc w:val="center"/>
            </w:pPr>
            <w:r>
              <w:rPr>
                <w:sz w:val="18"/>
                <w:szCs w:val="18"/>
              </w:rPr>
              <w:t xml:space="preserve">0.08</w:t>
            </w:r>
          </w:p>
        </w:tc>
        <w:tc>
          <w:tcPr>
            <w:tcW w:w="850" w:type="dxa"/>
            <w:vAlign w:val="center"/>
          </w:tcPr>
          <w:p>
            <w:pPr>
              <w:spacing w:after="20" w:line="240" w:lineRule="auto"/>
              <w:jc w:val="center"/>
            </w:pPr>
            <w:r>
              <w:rPr>
                <w:sz w:val="18"/>
                <w:szCs w:val="18"/>
              </w:rPr>
              <w:t xml:space="preserve">25.05</w:t>
            </w:r>
          </w:p>
        </w:tc>
        <w:tc>
          <w:tcPr>
            <w:tcW w:w="850" w:type="dxa"/>
            <w:vAlign w:val="center"/>
          </w:tcPr>
          <w:p>
            <w:pPr>
              <w:spacing w:after="20" w:line="240" w:lineRule="auto"/>
              <w:jc w:val="center"/>
            </w:pPr>
            <w:r>
              <w:rPr>
                <w:sz w:val="18"/>
                <w:szCs w:val="18"/>
              </w:rPr>
              <w:t xml:space="preserve">17.20</w:t>
            </w:r>
          </w:p>
        </w:tc>
        <w:tc>
          <w:tcPr>
            <w:tcW w:w="850" w:type="dxa"/>
            <w:vAlign w:val="center"/>
          </w:tcPr>
          <w:p>
            <w:pPr>
              <w:spacing w:after="20" w:line="240" w:lineRule="auto"/>
              <w:jc w:val="center"/>
            </w:pPr>
            <w:r>
              <w:rPr>
                <w:sz w:val="18"/>
                <w:szCs w:val="18"/>
              </w:rPr>
              <w:t xml:space="preserve">1.46</w:t>
            </w:r>
          </w:p>
        </w:tc>
      </w:tr>
      <w:tr>
        <w:tc>
          <w:tcPr>
            <w:tcW w:w="850" w:type="dxa"/>
            <w:vAlign w:val="center"/>
          </w:tcPr>
          <w:p>
            <w:pPr>
              <w:spacing w:after="20" w:line="240" w:lineRule="auto"/>
              <w:jc w:val="center"/>
            </w:pPr>
            <w:r>
              <w:rPr>
                <w:sz w:val="18"/>
                <w:szCs w:val="18"/>
              </w:rPr>
              <w:t xml:space="preserve">F 410</w:t>
            </w:r>
          </w:p>
        </w:tc>
        <w:tc>
          <w:tcPr>
            <w:tcW w:w="850" w:type="dxa"/>
            <w:vAlign w:val="center"/>
          </w:tcPr>
          <w:p>
            <w:pPr>
              <w:spacing w:after="20" w:line="240" w:lineRule="auto"/>
              <w:jc w:val="center"/>
            </w:pPr>
            <w:r>
              <w:rPr>
                <w:sz w:val="18"/>
                <w:szCs w:val="18"/>
              </w:rPr>
              <w:t xml:space="preserve">0.08</w:t>
            </w:r>
          </w:p>
        </w:tc>
        <w:tc>
          <w:tcPr>
            <w:tcW w:w="850" w:type="dxa"/>
            <w:vAlign w:val="center"/>
          </w:tcPr>
          <w:p>
            <w:pPr>
              <w:spacing w:after="20" w:line="240" w:lineRule="auto"/>
              <w:jc w:val="center"/>
            </w:pPr>
            <w:r>
              <w:rPr>
                <w:sz w:val="18"/>
                <w:szCs w:val="18"/>
              </w:rPr>
              <w:t xml:space="preserve">12.5</w:t>
            </w:r>
          </w:p>
        </w:tc>
        <w:tc>
          <w:tcPr>
            <w:tcW w:w="850" w:type="dxa"/>
            <w:vAlign w:val="center"/>
          </w:tcPr>
          <w:p>
            <w:pPr>
              <w:spacing w:after="20" w:line="240" w:lineRule="auto"/>
              <w:jc w:val="center"/>
            </w:pPr>
            <w:r>
              <w:rPr>
                <w:sz w:val="18"/>
                <w:szCs w:val="18"/>
              </w:rPr>
              <w:t xml:space="preserve">0.6</w:t>
            </w:r>
          </w:p>
        </w:tc>
        <w:tc>
          <w:tcPr>
            <w:tcW w:w="850" w:type="dxa"/>
            <w:vAlign w:val="center"/>
          </w:tcPr>
          <w:p>
            <w:pPr>
              <w:spacing w:after="20" w:line="240" w:lineRule="auto"/>
              <w:jc w:val="center"/>
            </w:pPr>
            <w:r>
              <w:rPr>
                <w:sz w:val="18"/>
                <w:szCs w:val="18"/>
              </w:rPr>
              <w:t xml:space="preserve">0.3</w:t>
            </w:r>
          </w:p>
        </w:tc>
        <w:tc>
          <w:tcPr>
            <w:tcW w:w="850" w:type="dxa"/>
            <w:vAlign w:val="center"/>
          </w:tcPr>
          <w:p>
            <w:pPr>
              <w:spacing w:after="20" w:line="240" w:lineRule="auto"/>
              <w:jc w:val="center"/>
            </w:pPr>
            <w:r>
              <w:rPr>
                <w:sz w:val="18"/>
                <w:szCs w:val="18"/>
              </w:rPr>
              <w:t xml:space="preserve">0.6</w:t>
            </w:r>
          </w:p>
        </w:tc>
        <w:tc>
          <w:tcPr>
            <w:tcW w:w="850" w:type="dxa"/>
            <w:vAlign w:val="center"/>
          </w:tcPr>
          <w:p>
            <w:pPr>
              <w:spacing w:after="20" w:line="240" w:lineRule="auto"/>
              <w:jc w:val="center"/>
            </w:pPr>
            <w:r>
              <w:rPr>
                <w:sz w:val="18"/>
                <w:szCs w:val="18"/>
              </w:rPr>
              <w:t xml:space="preserve">0.4</w:t>
            </w:r>
          </w:p>
        </w:tc>
        <w:tc>
          <w:tcPr>
            <w:tcW w:w="850" w:type="dxa"/>
            <w:vAlign w:val="center"/>
          </w:tcPr>
          <w:p>
            <w:pPr>
              <w:spacing w:after="20" w:line="240" w:lineRule="auto"/>
              <w:jc w:val="center"/>
            </w:pPr>
            <w:r>
              <w:rPr>
                <w:sz w:val="18"/>
                <w:szCs w:val="18"/>
              </w:rPr>
              <w:t xml:space="preserve">0.03</w:t>
            </w:r>
          </w:p>
        </w:tc>
        <w:tc>
          <w:tcPr>
            <w:tcW w:w="850" w:type="dxa"/>
            <w:vAlign w:val="center"/>
          </w:tcPr>
          <w:p>
            <w:pPr>
              <w:spacing w:after="20" w:line="240" w:lineRule="auto"/>
              <w:jc w:val="center"/>
            </w:pPr>
            <w:r>
              <w:rPr>
                <w:sz w:val="18"/>
                <w:szCs w:val="18"/>
              </w:rPr>
              <w:t xml:space="preserve">13.40</w:t>
            </w:r>
          </w:p>
        </w:tc>
        <w:tc>
          <w:tcPr>
            <w:tcW w:w="850" w:type="dxa"/>
            <w:vAlign w:val="center"/>
          </w:tcPr>
          <w:p>
            <w:pPr>
              <w:spacing w:after="20" w:line="240" w:lineRule="auto"/>
              <w:jc w:val="center"/>
            </w:pPr>
            <w:r>
              <w:rPr>
                <w:sz w:val="18"/>
                <w:szCs w:val="18"/>
              </w:rPr>
              <w:t xml:space="preserve">4.20</w:t>
            </w:r>
          </w:p>
        </w:tc>
        <w:tc>
          <w:tcPr>
            <w:tcW w:w="850" w:type="dxa"/>
            <w:vAlign w:val="center"/>
          </w:tcPr>
          <w:p>
            <w:pPr>
              <w:spacing w:after="20" w:line="240" w:lineRule="auto"/>
              <w:jc w:val="center"/>
            </w:pPr>
            <w:r>
              <w:rPr>
                <w:sz w:val="18"/>
                <w:szCs w:val="18"/>
              </w:rPr>
              <w:t xml:space="preserve">3.19</w:t>
            </w:r>
          </w:p>
        </w:tc>
      </w:tr>
      <w:tr>
        <w:tc>
          <w:tcPr>
            <w:tcW w:w="850" w:type="dxa"/>
            <w:vAlign w:val="center"/>
          </w:tcPr>
          <w:p>
            <w:pPr>
              <w:spacing w:after="20" w:line="240" w:lineRule="auto"/>
              <w:jc w:val="center"/>
            </w:pPr>
            <w:r>
              <w:rPr>
                <w:sz w:val="18"/>
                <w:szCs w:val="18"/>
              </w:rPr>
              <w:t xml:space="preserve">F 2594</w:t>
            </w:r>
          </w:p>
        </w:tc>
        <w:tc>
          <w:tcPr>
            <w:tcW w:w="850" w:type="dxa"/>
            <w:vAlign w:val="center"/>
          </w:tcPr>
          <w:p>
            <w:pPr>
              <w:spacing w:after="20" w:line="240" w:lineRule="auto"/>
              <w:jc w:val="center"/>
            </w:pPr>
            <w:r>
              <w:rPr>
                <w:sz w:val="18"/>
                <w:szCs w:val="18"/>
              </w:rPr>
              <w:t xml:space="preserve">0.03</w:t>
            </w:r>
          </w:p>
        </w:tc>
        <w:tc>
          <w:tcPr>
            <w:tcW w:w="850" w:type="dxa"/>
            <w:vAlign w:val="center"/>
          </w:tcPr>
          <w:p>
            <w:pPr>
              <w:spacing w:after="20" w:line="240" w:lineRule="auto"/>
              <w:jc w:val="center"/>
            </w:pPr>
            <w:r>
              <w:rPr>
                <w:sz w:val="18"/>
                <w:szCs w:val="18"/>
              </w:rPr>
              <w:t xml:space="preserve">25</w:t>
            </w:r>
          </w:p>
        </w:tc>
        <w:tc>
          <w:tcPr>
            <w:tcW w:w="850" w:type="dxa"/>
            <w:vAlign w:val="center"/>
          </w:tcPr>
          <w:p>
            <w:pPr>
              <w:spacing w:after="20" w:line="240" w:lineRule="auto"/>
              <w:jc w:val="center"/>
            </w:pPr>
            <w:r>
              <w:rPr>
                <w:sz w:val="18"/>
                <w:szCs w:val="18"/>
              </w:rPr>
              <w:t xml:space="preserve">9</w:t>
            </w:r>
          </w:p>
        </w:tc>
        <w:tc>
          <w:tcPr>
            <w:tcW w:w="850" w:type="dxa"/>
            <w:vAlign w:val="center"/>
          </w:tcPr>
          <w:p>
            <w:pPr>
              <w:spacing w:after="20" w:line="240" w:lineRule="auto"/>
              <w:jc w:val="center"/>
            </w:pPr>
            <w:r>
              <w:rPr>
                <w:sz w:val="18"/>
                <w:szCs w:val="18"/>
              </w:rPr>
              <w:t xml:space="preserve">4.0</w:t>
            </w:r>
          </w:p>
        </w:tc>
        <w:tc>
          <w:tcPr>
            <w:tcW w:w="850" w:type="dxa"/>
            <w:vAlign w:val="center"/>
          </w:tcPr>
          <w:p>
            <w:pPr>
              <w:spacing w:after="20" w:line="240" w:lineRule="auto"/>
              <w:jc w:val="center"/>
            </w:pPr>
            <w:r>
              <w:rPr>
                <w:sz w:val="18"/>
                <w:szCs w:val="18"/>
              </w:rPr>
              <w:t xml:space="preserve">0.8</w:t>
            </w:r>
          </w:p>
        </w:tc>
        <w:tc>
          <w:tcPr>
            <w:tcW w:w="850" w:type="dxa"/>
            <w:vAlign w:val="center"/>
          </w:tcPr>
          <w:p>
            <w:pPr>
              <w:spacing w:after="20" w:line="240" w:lineRule="auto"/>
              <w:jc w:val="center"/>
            </w:pPr>
            <w:r>
              <w:rPr>
                <w:sz w:val="18"/>
                <w:szCs w:val="18"/>
              </w:rPr>
              <w:t xml:space="preserve">0.5</w:t>
            </w:r>
          </w:p>
        </w:tc>
        <w:tc>
          <w:tcPr>
            <w:tcW w:w="850" w:type="dxa"/>
            <w:vAlign w:val="center"/>
          </w:tcPr>
          <w:p>
            <w:pPr>
              <w:spacing w:after="20" w:line="240" w:lineRule="auto"/>
              <w:jc w:val="center"/>
            </w:pPr>
            <w:r>
              <w:rPr>
                <w:sz w:val="18"/>
                <w:szCs w:val="18"/>
              </w:rPr>
              <w:t xml:space="preserve">0.27</w:t>
            </w:r>
          </w:p>
        </w:tc>
        <w:tc>
          <w:tcPr>
            <w:tcW w:w="850" w:type="dxa"/>
            <w:vAlign w:val="center"/>
          </w:tcPr>
          <w:p>
            <w:pPr>
              <w:spacing w:after="20" w:line="240" w:lineRule="auto"/>
              <w:jc w:val="center"/>
            </w:pPr>
            <w:r>
              <w:rPr>
                <w:sz w:val="18"/>
                <w:szCs w:val="18"/>
              </w:rPr>
              <w:t xml:space="preserve">29.75</w:t>
            </w:r>
          </w:p>
        </w:tc>
        <w:tc>
          <w:tcPr>
            <w:tcW w:w="850" w:type="dxa"/>
            <w:vAlign w:val="center"/>
          </w:tcPr>
          <w:p>
            <w:pPr>
              <w:spacing w:after="20" w:line="240" w:lineRule="auto"/>
              <w:jc w:val="center"/>
            </w:pPr>
            <w:r>
              <w:rPr>
                <w:sz w:val="18"/>
                <w:szCs w:val="18"/>
              </w:rPr>
              <w:t xml:space="preserve">18.40</w:t>
            </w:r>
          </w:p>
        </w:tc>
        <w:tc>
          <w:tcPr>
            <w:tcW w:w="850" w:type="dxa"/>
            <w:vAlign w:val="center"/>
          </w:tcPr>
          <w:p>
            <w:pPr>
              <w:spacing w:after="20" w:line="240" w:lineRule="auto"/>
              <w:jc w:val="center"/>
            </w:pPr>
            <w:r>
              <w:rPr>
                <w:sz w:val="18"/>
                <w:szCs w:val="18"/>
              </w:rPr>
              <w:t xml:space="preserve">1.62</w:t>
            </w:r>
          </w:p>
        </w:tc>
      </w:tr>
    </w:tbl>
    <w:p/>
    <w:p/>
    <w:p>
      <w:r>
        <w:rPr>
          <w:b/>
        </w:rPr>
        <w:t xml:space="preserve">Table 2.</w:t>
      </w:r>
      <w:r>
        <w:t xml:space="preserve"> Mechanical properties of the AISI 440 base metal and the three filler metals in the as-supplied / all-weld-metal coupon condition. These values characterise the feedstock and reference coupons and are distinct from the welded-joint FZ and HAZ properties reported in Sections 3.2 and 3.3.</w:t>
      </w:r>
    </w:p>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60"/>
        <w:gridCol w:w="1560"/>
        <w:gridCol w:w="1560"/>
        <w:gridCol w:w="1560"/>
        <w:gridCol w:w="1560"/>
        <w:gridCol w:w="1560"/>
      </w:tblGrid>
      <w:tr>
        <w:trPr>
          <w:tblHeader/>
        </w:trPr>
        <w:tc>
          <w:tcPr>
            <w:tcW w:w="1560" w:type="dxa"/>
            <w:shd w:val="clear" w:color="auto" w:fill="D9E2F3"/>
            <w:vAlign w:val="center"/>
          </w:tcPr>
          <w:p>
            <w:pPr>
              <w:spacing w:after="20" w:line="240" w:lineRule="auto"/>
              <w:jc w:val="center"/>
            </w:pPr>
            <w:r>
              <w:rPr>
                <w:b/>
                <w:sz w:val="18"/>
                <w:szCs w:val="18"/>
              </w:rPr>
              <w:t xml:space="preserve">Material</w:t>
            </w:r>
          </w:p>
        </w:tc>
        <w:tc>
          <w:tcPr>
            <w:tcW w:w="1560" w:type="dxa"/>
            <w:shd w:val="clear" w:color="auto" w:fill="D9E2F3"/>
            <w:vAlign w:val="center"/>
          </w:tcPr>
          <w:p>
            <w:pPr>
              <w:spacing w:after="20" w:line="240" w:lineRule="auto"/>
              <w:jc w:val="center"/>
            </w:pPr>
            <w:r>
              <w:rPr>
                <w:b/>
                <w:sz w:val="18"/>
                <w:szCs w:val="18"/>
              </w:rPr>
              <w:t xml:space="preserve">Yield strength (MPa)</w:t>
            </w:r>
          </w:p>
        </w:tc>
        <w:tc>
          <w:tcPr>
            <w:tcW w:w="1560" w:type="dxa"/>
            <w:shd w:val="clear" w:color="auto" w:fill="D9E2F3"/>
            <w:vAlign w:val="center"/>
          </w:tcPr>
          <w:p>
            <w:pPr>
              <w:spacing w:after="20" w:line="240" w:lineRule="auto"/>
              <w:jc w:val="center"/>
            </w:pPr>
            <w:r>
              <w:rPr>
                <w:b/>
                <w:sz w:val="18"/>
                <w:szCs w:val="18"/>
              </w:rPr>
              <w:t xml:space="preserve">Tensile strength (MPa)</w:t>
            </w:r>
          </w:p>
        </w:tc>
        <w:tc>
          <w:tcPr>
            <w:tcW w:w="1560" w:type="dxa"/>
            <w:shd w:val="clear" w:color="auto" w:fill="D9E2F3"/>
            <w:vAlign w:val="center"/>
          </w:tcPr>
          <w:p>
            <w:pPr>
              <w:spacing w:after="20" w:line="240" w:lineRule="auto"/>
              <w:jc w:val="center"/>
            </w:pPr>
            <w:r>
              <w:rPr>
                <w:b/>
                <w:sz w:val="18"/>
                <w:szCs w:val="18"/>
              </w:rPr>
              <w:t xml:space="preserve">Elongation (%)</w:t>
            </w:r>
          </w:p>
        </w:tc>
        <w:tc>
          <w:tcPr>
            <w:tcW w:w="1560" w:type="dxa"/>
            <w:shd w:val="clear" w:color="auto" w:fill="D9E2F3"/>
            <w:vAlign w:val="center"/>
          </w:tcPr>
          <w:p>
            <w:pPr>
              <w:spacing w:after="20" w:line="240" w:lineRule="auto"/>
              <w:jc w:val="center"/>
            </w:pPr>
            <w:r>
              <w:rPr>
                <w:b/>
                <w:sz w:val="18"/>
                <w:szCs w:val="18"/>
              </w:rPr>
              <w:t xml:space="preserve">Hardness (HV)</w:t>
            </w:r>
          </w:p>
        </w:tc>
        <w:tc>
          <w:tcPr>
            <w:tcW w:w="1560" w:type="dxa"/>
            <w:shd w:val="clear" w:color="auto" w:fill="D9E2F3"/>
            <w:vAlign w:val="center"/>
          </w:tcPr>
          <w:p>
            <w:pPr>
              <w:spacing w:after="20" w:line="240" w:lineRule="auto"/>
              <w:jc w:val="center"/>
            </w:pPr>
            <w:r>
              <w:rPr>
                <w:b/>
                <w:sz w:val="18"/>
                <w:szCs w:val="18"/>
              </w:rPr>
              <w:t xml:space="preserve">Impact toughness (J)</w:t>
            </w:r>
          </w:p>
        </w:tc>
      </w:tr>
      <w:tr>
        <w:tc>
          <w:tcPr>
            <w:tcW w:w="1560" w:type="dxa"/>
            <w:vAlign w:val="center"/>
          </w:tcPr>
          <w:p>
            <w:pPr>
              <w:spacing w:after="20" w:line="240" w:lineRule="auto"/>
              <w:jc w:val="center"/>
            </w:pPr>
            <w:r>
              <w:rPr>
                <w:sz w:val="18"/>
                <w:szCs w:val="18"/>
              </w:rPr>
              <w:t xml:space="preserve">SS440 (base)</w:t>
            </w:r>
          </w:p>
        </w:tc>
        <w:tc>
          <w:tcPr>
            <w:tcW w:w="1560" w:type="dxa"/>
            <w:vAlign w:val="center"/>
          </w:tcPr>
          <w:p>
            <w:pPr>
              <w:spacing w:after="20" w:line="240" w:lineRule="auto"/>
              <w:jc w:val="center"/>
            </w:pPr>
            <w:r>
              <w:rPr>
                <w:sz w:val="18"/>
                <w:szCs w:val="18"/>
              </w:rPr>
              <w:t xml:space="preserve">450</w:t>
            </w:r>
          </w:p>
        </w:tc>
        <w:tc>
          <w:tcPr>
            <w:tcW w:w="1560" w:type="dxa"/>
            <w:vAlign w:val="center"/>
          </w:tcPr>
          <w:p>
            <w:pPr>
              <w:spacing w:after="20" w:line="240" w:lineRule="auto"/>
              <w:jc w:val="center"/>
            </w:pPr>
            <w:r>
              <w:rPr>
                <w:sz w:val="18"/>
                <w:szCs w:val="18"/>
              </w:rPr>
              <w:t xml:space="preserve">760</w:t>
            </w:r>
          </w:p>
        </w:tc>
        <w:tc>
          <w:tcPr>
            <w:tcW w:w="1560" w:type="dxa"/>
            <w:vAlign w:val="center"/>
          </w:tcPr>
          <w:p>
            <w:pPr>
              <w:spacing w:after="20" w:line="240" w:lineRule="auto"/>
              <w:jc w:val="center"/>
            </w:pPr>
            <w:r>
              <w:rPr>
                <w:sz w:val="18"/>
                <w:szCs w:val="18"/>
              </w:rPr>
              <w:t xml:space="preserve">18</w:t>
            </w:r>
          </w:p>
        </w:tc>
        <w:tc>
          <w:tcPr>
            <w:tcW w:w="1560" w:type="dxa"/>
            <w:vAlign w:val="center"/>
          </w:tcPr>
          <w:p>
            <w:pPr>
              <w:spacing w:after="20" w:line="240" w:lineRule="auto"/>
              <w:jc w:val="center"/>
            </w:pPr>
            <w:r>
              <w:rPr>
                <w:sz w:val="18"/>
                <w:szCs w:val="18"/>
              </w:rPr>
              <w:t xml:space="preserve">160</w:t>
            </w:r>
          </w:p>
        </w:tc>
        <w:tc>
          <w:tcPr>
            <w:tcW w:w="1560" w:type="dxa"/>
            <w:vAlign w:val="center"/>
          </w:tcPr>
          <w:p>
            <w:pPr>
              <w:spacing w:after="20" w:line="240" w:lineRule="auto"/>
              <w:jc w:val="center"/>
            </w:pPr>
            <w:r>
              <w:rPr>
                <w:sz w:val="18"/>
                <w:szCs w:val="18"/>
              </w:rPr>
              <w:t xml:space="preserve">260</w:t>
            </w:r>
          </w:p>
        </w:tc>
      </w:tr>
      <w:tr>
        <w:tc>
          <w:tcPr>
            <w:tcW w:w="1560" w:type="dxa"/>
            <w:vAlign w:val="center"/>
          </w:tcPr>
          <w:p>
            <w:pPr>
              <w:spacing w:after="20" w:line="240" w:lineRule="auto"/>
              <w:jc w:val="center"/>
            </w:pPr>
            <w:r>
              <w:rPr>
                <w:sz w:val="18"/>
                <w:szCs w:val="18"/>
              </w:rPr>
              <w:t xml:space="preserve">F309L</w:t>
            </w:r>
          </w:p>
        </w:tc>
        <w:tc>
          <w:tcPr>
            <w:tcW w:w="1560" w:type="dxa"/>
            <w:vAlign w:val="center"/>
          </w:tcPr>
          <w:p>
            <w:pPr>
              <w:spacing w:after="20" w:line="240" w:lineRule="auto"/>
              <w:jc w:val="center"/>
            </w:pPr>
            <w:r>
              <w:rPr>
                <w:sz w:val="18"/>
                <w:szCs w:val="18"/>
              </w:rPr>
              <w:t xml:space="preserve">350</w:t>
            </w:r>
          </w:p>
        </w:tc>
        <w:tc>
          <w:tcPr>
            <w:tcW w:w="1560" w:type="dxa"/>
            <w:vAlign w:val="center"/>
          </w:tcPr>
          <w:p>
            <w:pPr>
              <w:spacing w:after="20" w:line="240" w:lineRule="auto"/>
              <w:jc w:val="center"/>
            </w:pPr>
            <w:r>
              <w:rPr>
                <w:sz w:val="18"/>
                <w:szCs w:val="18"/>
              </w:rPr>
              <w:t xml:space="preserve">560</w:t>
            </w:r>
          </w:p>
        </w:tc>
        <w:tc>
          <w:tcPr>
            <w:tcW w:w="1560" w:type="dxa"/>
            <w:vAlign w:val="center"/>
          </w:tcPr>
          <w:p>
            <w:pPr>
              <w:spacing w:after="20" w:line="240" w:lineRule="auto"/>
              <w:jc w:val="center"/>
            </w:pPr>
            <w:r>
              <w:rPr>
                <w:sz w:val="18"/>
                <w:szCs w:val="18"/>
              </w:rPr>
              <w:t xml:space="preserve">35</w:t>
            </w:r>
          </w:p>
        </w:tc>
        <w:tc>
          <w:tcPr>
            <w:tcW w:w="1560" w:type="dxa"/>
            <w:vAlign w:val="center"/>
          </w:tcPr>
          <w:p>
            <w:pPr>
              <w:spacing w:after="20" w:line="240" w:lineRule="auto"/>
              <w:jc w:val="center"/>
            </w:pPr>
            <w:r>
              <w:rPr>
                <w:sz w:val="18"/>
                <w:szCs w:val="18"/>
              </w:rPr>
              <w:t xml:space="preserve">180</w:t>
            </w:r>
          </w:p>
        </w:tc>
        <w:tc>
          <w:tcPr>
            <w:tcW w:w="1560" w:type="dxa"/>
            <w:vAlign w:val="center"/>
          </w:tcPr>
          <w:p>
            <w:pPr>
              <w:spacing w:after="20" w:line="240" w:lineRule="auto"/>
              <w:jc w:val="center"/>
            </w:pPr>
            <w:r>
              <w:rPr>
                <w:sz w:val="18"/>
                <w:szCs w:val="18"/>
              </w:rPr>
              <w:t xml:space="preserve">90</w:t>
            </w:r>
          </w:p>
        </w:tc>
      </w:tr>
      <w:tr>
        <w:tc>
          <w:tcPr>
            <w:tcW w:w="1560" w:type="dxa"/>
            <w:vAlign w:val="center"/>
          </w:tcPr>
          <w:p>
            <w:pPr>
              <w:spacing w:after="20" w:line="240" w:lineRule="auto"/>
              <w:jc w:val="center"/>
            </w:pPr>
            <w:r>
              <w:rPr>
                <w:sz w:val="18"/>
                <w:szCs w:val="18"/>
              </w:rPr>
              <w:t xml:space="preserve">F410</w:t>
            </w:r>
          </w:p>
        </w:tc>
        <w:tc>
          <w:tcPr>
            <w:tcW w:w="1560" w:type="dxa"/>
            <w:vAlign w:val="center"/>
          </w:tcPr>
          <w:p>
            <w:pPr>
              <w:spacing w:after="20" w:line="240" w:lineRule="auto"/>
              <w:jc w:val="center"/>
            </w:pPr>
            <w:r>
              <w:rPr>
                <w:sz w:val="18"/>
                <w:szCs w:val="18"/>
              </w:rPr>
              <w:t xml:space="preserve">450</w:t>
            </w:r>
          </w:p>
        </w:tc>
        <w:tc>
          <w:tcPr>
            <w:tcW w:w="1560" w:type="dxa"/>
            <w:vAlign w:val="center"/>
          </w:tcPr>
          <w:p>
            <w:pPr>
              <w:spacing w:after="20" w:line="240" w:lineRule="auto"/>
              <w:jc w:val="center"/>
            </w:pPr>
            <w:r>
              <w:rPr>
                <w:sz w:val="18"/>
                <w:szCs w:val="18"/>
              </w:rPr>
              <w:t xml:space="preserve">620</w:t>
            </w:r>
          </w:p>
        </w:tc>
        <w:tc>
          <w:tcPr>
            <w:tcW w:w="1560" w:type="dxa"/>
            <w:vAlign w:val="center"/>
          </w:tcPr>
          <w:p>
            <w:pPr>
              <w:spacing w:after="20" w:line="240" w:lineRule="auto"/>
              <w:jc w:val="center"/>
            </w:pPr>
            <w:r>
              <w:rPr>
                <w:sz w:val="18"/>
                <w:szCs w:val="18"/>
              </w:rPr>
              <w:t xml:space="preserve">20</w:t>
            </w:r>
          </w:p>
        </w:tc>
        <w:tc>
          <w:tcPr>
            <w:tcW w:w="1560" w:type="dxa"/>
            <w:vAlign w:val="center"/>
          </w:tcPr>
          <w:p>
            <w:pPr>
              <w:spacing w:after="20" w:line="240" w:lineRule="auto"/>
              <w:jc w:val="center"/>
            </w:pPr>
            <w:r>
              <w:rPr>
                <w:sz w:val="18"/>
                <w:szCs w:val="18"/>
              </w:rPr>
              <w:t xml:space="preserve">300</w:t>
            </w:r>
          </w:p>
        </w:tc>
        <w:tc>
          <w:tcPr>
            <w:tcW w:w="1560" w:type="dxa"/>
            <w:vAlign w:val="center"/>
          </w:tcPr>
          <w:p>
            <w:pPr>
              <w:spacing w:after="20" w:line="240" w:lineRule="auto"/>
              <w:jc w:val="center"/>
            </w:pPr>
            <w:r>
              <w:rPr>
                <w:sz w:val="18"/>
                <w:szCs w:val="18"/>
              </w:rPr>
              <w:t xml:space="preserve">55</w:t>
            </w:r>
          </w:p>
        </w:tc>
      </w:tr>
      <w:tr>
        <w:tc>
          <w:tcPr>
            <w:tcW w:w="1560" w:type="dxa"/>
            <w:vAlign w:val="center"/>
          </w:tcPr>
          <w:p>
            <w:pPr>
              <w:spacing w:after="20" w:line="240" w:lineRule="auto"/>
              <w:jc w:val="center"/>
            </w:pPr>
            <w:r>
              <w:rPr>
                <w:sz w:val="18"/>
                <w:szCs w:val="18"/>
              </w:rPr>
              <w:t xml:space="preserve">F2594</w:t>
            </w:r>
          </w:p>
        </w:tc>
        <w:tc>
          <w:tcPr>
            <w:tcW w:w="1560" w:type="dxa"/>
            <w:vAlign w:val="center"/>
          </w:tcPr>
          <w:p>
            <w:pPr>
              <w:spacing w:after="20" w:line="240" w:lineRule="auto"/>
              <w:jc w:val="center"/>
            </w:pPr>
            <w:r>
              <w:rPr>
                <w:sz w:val="18"/>
                <w:szCs w:val="18"/>
              </w:rPr>
              <w:t xml:space="preserve">650</w:t>
            </w:r>
          </w:p>
        </w:tc>
        <w:tc>
          <w:tcPr>
            <w:tcW w:w="1560" w:type="dxa"/>
            <w:vAlign w:val="center"/>
          </w:tcPr>
          <w:p>
            <w:pPr>
              <w:spacing w:after="20" w:line="240" w:lineRule="auto"/>
              <w:jc w:val="center"/>
            </w:pPr>
            <w:r>
              <w:rPr>
                <w:sz w:val="18"/>
                <w:szCs w:val="18"/>
              </w:rPr>
              <w:t xml:space="preserve">820</w:t>
            </w:r>
          </w:p>
        </w:tc>
        <w:tc>
          <w:tcPr>
            <w:tcW w:w="1560" w:type="dxa"/>
            <w:vAlign w:val="center"/>
          </w:tcPr>
          <w:p>
            <w:pPr>
              <w:spacing w:after="20" w:line="240" w:lineRule="auto"/>
              <w:jc w:val="center"/>
            </w:pPr>
            <w:r>
              <w:rPr>
                <w:sz w:val="18"/>
                <w:szCs w:val="18"/>
              </w:rPr>
              <w:t xml:space="preserve">25</w:t>
            </w:r>
          </w:p>
        </w:tc>
        <w:tc>
          <w:tcPr>
            <w:tcW w:w="1560" w:type="dxa"/>
            <w:vAlign w:val="center"/>
          </w:tcPr>
          <w:p>
            <w:pPr>
              <w:spacing w:after="20" w:line="240" w:lineRule="auto"/>
              <w:jc w:val="center"/>
            </w:pPr>
            <w:r>
              <w:rPr>
                <w:sz w:val="18"/>
                <w:szCs w:val="18"/>
              </w:rPr>
              <w:t xml:space="preserve">290</w:t>
            </w:r>
          </w:p>
        </w:tc>
        <w:tc>
          <w:tcPr>
            <w:tcW w:w="1560" w:type="dxa"/>
            <w:vAlign w:val="center"/>
          </w:tcPr>
          <w:p>
            <w:pPr>
              <w:spacing w:after="20" w:line="240" w:lineRule="auto"/>
              <w:jc w:val="center"/>
            </w:pPr>
            <w:r>
              <w:rPr>
                <w:sz w:val="18"/>
                <w:szCs w:val="18"/>
              </w:rPr>
              <w:t xml:space="preserve">65</w:t>
            </w:r>
          </w:p>
        </w:tc>
      </w:tr>
    </w:tbl>
    <w:p/>
    <w:p/>
    <w:p>
      <w:r>
        <w:t xml:space="preserve">The welding parameters for MIG welding were determined by combining welding guidelines for martensitic stainless steels with preliminary trials. Experiments were carried out using DCEP (direct current electrode positive) polarity and a shielding-gas flow rate of 7 L/min for arc stability and atmospheric protection. A preheat and interpass temperature of 150 °C was maintained throughout. Each joint was completed in three passes (one root pass followed by two filler passes). All the welding parameters are provided in Table 3.</w:t>
      </w:r>
    </w:p>
    <w:p/>
    <w:p>
      <w:r>
        <w:rPr>
          <w:b/>
        </w:rPr>
        <w:t xml:space="preserve">Table 3.</w:t>
      </w:r>
      <w:r>
        <w:t xml:space="preserve"> MIG welding parameters used in the present study.</w:t>
      </w:r>
    </w:p>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80"/>
        <w:gridCol w:w="4680"/>
      </w:tblGrid>
      <w:tr>
        <w:trPr>
          <w:tblHeader/>
        </w:trPr>
        <w:tc>
          <w:tcPr>
            <w:tcW w:w="4680" w:type="dxa"/>
            <w:shd w:val="clear" w:color="auto" w:fill="D9E2F3"/>
            <w:vAlign w:val="center"/>
          </w:tcPr>
          <w:p>
            <w:pPr>
              <w:spacing w:after="20" w:line="240" w:lineRule="auto"/>
              <w:jc w:val="center"/>
            </w:pPr>
            <w:r>
              <w:rPr>
                <w:b/>
                <w:sz w:val="18"/>
                <w:szCs w:val="18"/>
              </w:rPr>
              <w:t xml:space="preserve">Welding parameter</w:t>
            </w:r>
          </w:p>
        </w:tc>
        <w:tc>
          <w:tcPr>
            <w:tcW w:w="4680" w:type="dxa"/>
            <w:shd w:val="clear" w:color="auto" w:fill="D9E2F3"/>
            <w:vAlign w:val="center"/>
          </w:tcPr>
          <w:p>
            <w:pPr>
              <w:spacing w:after="20" w:line="240" w:lineRule="auto"/>
              <w:jc w:val="center"/>
            </w:pPr>
            <w:r>
              <w:rPr>
                <w:b/>
                <w:sz w:val="18"/>
                <w:szCs w:val="18"/>
              </w:rPr>
              <w:t xml:space="preserve">Value / Description</w:t>
            </w:r>
          </w:p>
        </w:tc>
      </w:tr>
      <w:tr>
        <w:tc>
          <w:tcPr>
            <w:tcW w:w="4680" w:type="dxa"/>
            <w:vAlign w:val="center"/>
          </w:tcPr>
          <w:p>
            <w:pPr>
              <w:spacing w:after="20" w:line="240" w:lineRule="auto"/>
              <w:jc w:val="center"/>
            </w:pPr>
            <w:r>
              <w:rPr>
                <w:sz w:val="18"/>
                <w:szCs w:val="18"/>
              </w:rPr>
              <w:t xml:space="preserve">Flow rate of shielding gas</w:t>
            </w:r>
          </w:p>
        </w:tc>
        <w:tc>
          <w:tcPr>
            <w:tcW w:w="4680" w:type="dxa"/>
            <w:vAlign w:val="center"/>
          </w:tcPr>
          <w:p>
            <w:pPr>
              <w:spacing w:after="20" w:line="240" w:lineRule="auto"/>
              <w:jc w:val="center"/>
            </w:pPr>
            <w:r>
              <w:rPr>
                <w:sz w:val="18"/>
                <w:szCs w:val="18"/>
              </w:rPr>
              <w:t xml:space="preserve">7 L/min</w:t>
            </w:r>
          </w:p>
        </w:tc>
      </w:tr>
      <w:tr>
        <w:tc>
          <w:tcPr>
            <w:tcW w:w="4680" w:type="dxa"/>
            <w:vAlign w:val="center"/>
          </w:tcPr>
          <w:p>
            <w:pPr>
              <w:spacing w:after="20" w:line="240" w:lineRule="auto"/>
              <w:jc w:val="center"/>
            </w:pPr>
            <w:r>
              <w:rPr>
                <w:sz w:val="18"/>
                <w:szCs w:val="18"/>
              </w:rPr>
              <w:t xml:space="preserve">Polarity</w:t>
            </w:r>
          </w:p>
        </w:tc>
        <w:tc>
          <w:tcPr>
            <w:tcW w:w="4680" w:type="dxa"/>
            <w:vAlign w:val="center"/>
          </w:tcPr>
          <w:p>
            <w:pPr>
              <w:spacing w:after="20" w:line="240" w:lineRule="auto"/>
              <w:jc w:val="center"/>
            </w:pPr>
            <w:r>
              <w:rPr>
                <w:sz w:val="18"/>
                <w:szCs w:val="18"/>
              </w:rPr>
              <w:t xml:space="preserve">DCEP</w:t>
            </w:r>
          </w:p>
        </w:tc>
      </w:tr>
      <w:tr>
        <w:tc>
          <w:tcPr>
            <w:tcW w:w="4680" w:type="dxa"/>
            <w:vAlign w:val="center"/>
          </w:tcPr>
          <w:p>
            <w:pPr>
              <w:spacing w:after="20" w:line="240" w:lineRule="auto"/>
              <w:jc w:val="center"/>
            </w:pPr>
            <w:r>
              <w:rPr>
                <w:sz w:val="18"/>
                <w:szCs w:val="18"/>
              </w:rPr>
              <w:t xml:space="preserve">Preheat / interpass temperature</w:t>
            </w:r>
          </w:p>
        </w:tc>
        <w:tc>
          <w:tcPr>
            <w:tcW w:w="4680" w:type="dxa"/>
            <w:vAlign w:val="center"/>
          </w:tcPr>
          <w:p>
            <w:pPr>
              <w:spacing w:after="20" w:line="240" w:lineRule="auto"/>
              <w:jc w:val="center"/>
            </w:pPr>
            <w:r>
              <w:rPr>
                <w:sz w:val="18"/>
                <w:szCs w:val="18"/>
              </w:rPr>
              <w:t xml:space="preserve">150 °C</w:t>
            </w:r>
          </w:p>
        </w:tc>
      </w:tr>
      <w:tr>
        <w:tc>
          <w:tcPr>
            <w:tcW w:w="4680" w:type="dxa"/>
            <w:vAlign w:val="center"/>
          </w:tcPr>
          <w:p>
            <w:pPr>
              <w:spacing w:after="20" w:line="240" w:lineRule="auto"/>
              <w:jc w:val="center"/>
            </w:pPr>
            <w:r>
              <w:rPr>
                <w:sz w:val="18"/>
                <w:szCs w:val="18"/>
              </w:rPr>
              <w:t xml:space="preserve">Number of passes</w:t>
            </w:r>
          </w:p>
        </w:tc>
        <w:tc>
          <w:tcPr>
            <w:tcW w:w="4680" w:type="dxa"/>
            <w:vAlign w:val="center"/>
          </w:tcPr>
          <w:p>
            <w:pPr>
              <w:spacing w:after="20" w:line="240" w:lineRule="auto"/>
              <w:jc w:val="center"/>
            </w:pPr>
            <w:r>
              <w:rPr>
                <w:sz w:val="18"/>
                <w:szCs w:val="18"/>
              </w:rPr>
              <w:t xml:space="preserve">3 (1 root + 2 filler)</w:t>
            </w:r>
          </w:p>
        </w:tc>
      </w:tr>
      <w:tr>
        <w:tc>
          <w:tcPr>
            <w:tcW w:w="4680" w:type="dxa"/>
            <w:vAlign w:val="center"/>
          </w:tcPr>
          <w:p>
            <w:pPr>
              <w:spacing w:after="20" w:line="240" w:lineRule="auto"/>
              <w:jc w:val="center"/>
            </w:pPr>
            <w:r>
              <w:rPr>
                <w:sz w:val="18"/>
                <w:szCs w:val="18"/>
              </w:rPr>
              <w:t xml:space="preserve">Root-pass voltage (V)</w:t>
            </w:r>
          </w:p>
        </w:tc>
        <w:tc>
          <w:tcPr>
            <w:tcW w:w="4680" w:type="dxa"/>
            <w:vAlign w:val="center"/>
          </w:tcPr>
          <w:p>
            <w:pPr>
              <w:spacing w:after="20" w:line="240" w:lineRule="auto"/>
              <w:jc w:val="center"/>
            </w:pPr>
            <w:r>
              <w:rPr>
                <w:sz w:val="18"/>
                <w:szCs w:val="18"/>
              </w:rPr>
              <w:t xml:space="preserve">14</w:t>
            </w:r>
          </w:p>
        </w:tc>
      </w:tr>
      <w:tr>
        <w:tc>
          <w:tcPr>
            <w:tcW w:w="4680" w:type="dxa"/>
            <w:vAlign w:val="center"/>
          </w:tcPr>
          <w:p>
            <w:pPr>
              <w:spacing w:after="20" w:line="240" w:lineRule="auto"/>
              <w:jc w:val="center"/>
            </w:pPr>
            <w:r>
              <w:rPr>
                <w:sz w:val="18"/>
                <w:szCs w:val="18"/>
              </w:rPr>
              <w:t xml:space="preserve">Root-pass current (A)</w:t>
            </w:r>
          </w:p>
        </w:tc>
        <w:tc>
          <w:tcPr>
            <w:tcW w:w="4680" w:type="dxa"/>
            <w:vAlign w:val="center"/>
          </w:tcPr>
          <w:p>
            <w:pPr>
              <w:spacing w:after="20" w:line="240" w:lineRule="auto"/>
              <w:jc w:val="center"/>
            </w:pPr>
            <w:r>
              <w:rPr>
                <w:sz w:val="18"/>
                <w:szCs w:val="18"/>
              </w:rPr>
              <w:t xml:space="preserve">150</w:t>
            </w:r>
          </w:p>
        </w:tc>
      </w:tr>
      <w:tr>
        <w:tc>
          <w:tcPr>
            <w:tcW w:w="4680" w:type="dxa"/>
            <w:vAlign w:val="center"/>
          </w:tcPr>
          <w:p>
            <w:pPr>
              <w:spacing w:after="20" w:line="240" w:lineRule="auto"/>
              <w:jc w:val="center"/>
            </w:pPr>
            <w:r>
              <w:rPr>
                <w:sz w:val="18"/>
                <w:szCs w:val="18"/>
              </w:rPr>
              <w:t xml:space="preserve">Welding speed during root pass (mm/min)</w:t>
            </w:r>
          </w:p>
        </w:tc>
        <w:tc>
          <w:tcPr>
            <w:tcW w:w="4680" w:type="dxa"/>
            <w:vAlign w:val="center"/>
          </w:tcPr>
          <w:p>
            <w:pPr>
              <w:spacing w:after="20" w:line="240" w:lineRule="auto"/>
              <w:jc w:val="center"/>
            </w:pPr>
            <w:r>
              <w:rPr>
                <w:sz w:val="18"/>
                <w:szCs w:val="18"/>
              </w:rPr>
              <w:t xml:space="preserve">90</w:t>
            </w:r>
          </w:p>
        </w:tc>
      </w:tr>
      <w:tr>
        <w:tc>
          <w:tcPr>
            <w:tcW w:w="4680" w:type="dxa"/>
            <w:vAlign w:val="center"/>
          </w:tcPr>
          <w:p>
            <w:pPr>
              <w:spacing w:after="20" w:line="240" w:lineRule="auto"/>
              <w:jc w:val="center"/>
            </w:pPr>
            <w:r>
              <w:rPr>
                <w:sz w:val="18"/>
                <w:szCs w:val="18"/>
              </w:rPr>
              <w:t xml:space="preserve">Average heat input during root pass (kJ/mm)</w:t>
            </w:r>
          </w:p>
        </w:tc>
        <w:tc>
          <w:tcPr>
            <w:tcW w:w="4680" w:type="dxa"/>
            <w:vAlign w:val="center"/>
          </w:tcPr>
          <w:p>
            <w:pPr>
              <w:spacing w:after="20" w:line="240" w:lineRule="auto"/>
              <w:jc w:val="center"/>
            </w:pPr>
            <w:r>
              <w:rPr>
                <w:sz w:val="18"/>
                <w:szCs w:val="18"/>
              </w:rPr>
              <w:t xml:space="preserve">1.12</w:t>
            </w:r>
          </w:p>
        </w:tc>
      </w:tr>
      <w:tr>
        <w:tc>
          <w:tcPr>
            <w:tcW w:w="4680" w:type="dxa"/>
            <w:vAlign w:val="center"/>
          </w:tcPr>
          <w:p>
            <w:pPr>
              <w:spacing w:after="20" w:line="240" w:lineRule="auto"/>
              <w:jc w:val="center"/>
            </w:pPr>
            <w:r>
              <w:rPr>
                <w:sz w:val="18"/>
                <w:szCs w:val="18"/>
              </w:rPr>
              <w:t xml:space="preserve">Filler-pass voltage (V)</w:t>
            </w:r>
          </w:p>
        </w:tc>
        <w:tc>
          <w:tcPr>
            <w:tcW w:w="4680" w:type="dxa"/>
            <w:vAlign w:val="center"/>
          </w:tcPr>
          <w:p>
            <w:pPr>
              <w:spacing w:after="20" w:line="240" w:lineRule="auto"/>
              <w:jc w:val="center"/>
            </w:pPr>
            <w:r>
              <w:rPr>
                <w:sz w:val="18"/>
                <w:szCs w:val="18"/>
              </w:rPr>
              <w:t xml:space="preserve">12</w:t>
            </w:r>
          </w:p>
        </w:tc>
      </w:tr>
      <w:tr>
        <w:tc>
          <w:tcPr>
            <w:tcW w:w="4680" w:type="dxa"/>
            <w:vAlign w:val="center"/>
          </w:tcPr>
          <w:p>
            <w:pPr>
              <w:spacing w:after="20" w:line="240" w:lineRule="auto"/>
              <w:jc w:val="center"/>
            </w:pPr>
            <w:r>
              <w:rPr>
                <w:sz w:val="18"/>
                <w:szCs w:val="18"/>
              </w:rPr>
              <w:t xml:space="preserve">Filler-pass current (A)</w:t>
            </w:r>
          </w:p>
        </w:tc>
        <w:tc>
          <w:tcPr>
            <w:tcW w:w="4680" w:type="dxa"/>
            <w:vAlign w:val="center"/>
          </w:tcPr>
          <w:p>
            <w:pPr>
              <w:spacing w:after="20" w:line="240" w:lineRule="auto"/>
              <w:jc w:val="center"/>
            </w:pPr>
            <w:r>
              <w:rPr>
                <w:sz w:val="18"/>
                <w:szCs w:val="18"/>
              </w:rPr>
              <w:t xml:space="preserve">135</w:t>
            </w:r>
          </w:p>
        </w:tc>
      </w:tr>
      <w:tr>
        <w:tc>
          <w:tcPr>
            <w:tcW w:w="4680" w:type="dxa"/>
            <w:vAlign w:val="center"/>
          </w:tcPr>
          <w:p>
            <w:pPr>
              <w:spacing w:after="20" w:line="240" w:lineRule="auto"/>
              <w:jc w:val="center"/>
            </w:pPr>
            <w:r>
              <w:rPr>
                <w:sz w:val="18"/>
                <w:szCs w:val="18"/>
              </w:rPr>
              <w:t xml:space="preserve">Filler-pass welding speed (mm/min)</w:t>
            </w:r>
          </w:p>
        </w:tc>
        <w:tc>
          <w:tcPr>
            <w:tcW w:w="4680" w:type="dxa"/>
            <w:vAlign w:val="center"/>
          </w:tcPr>
          <w:p>
            <w:pPr>
              <w:spacing w:after="20" w:line="240" w:lineRule="auto"/>
              <w:jc w:val="center"/>
            </w:pPr>
            <w:r>
              <w:rPr>
                <w:sz w:val="18"/>
                <w:szCs w:val="18"/>
              </w:rPr>
              <w:t xml:space="preserve">80</w:t>
            </w:r>
          </w:p>
        </w:tc>
      </w:tr>
      <w:tr>
        <w:tc>
          <w:tcPr>
            <w:tcW w:w="4680" w:type="dxa"/>
            <w:vAlign w:val="center"/>
          </w:tcPr>
          <w:p>
            <w:pPr>
              <w:spacing w:after="20" w:line="240" w:lineRule="auto"/>
              <w:jc w:val="center"/>
            </w:pPr>
            <w:r>
              <w:rPr>
                <w:sz w:val="18"/>
                <w:szCs w:val="18"/>
              </w:rPr>
              <w:t xml:space="preserve">Filler-pass average heat input (kJ/mm, per pass)</w:t>
            </w:r>
          </w:p>
        </w:tc>
        <w:tc>
          <w:tcPr>
            <w:tcW w:w="4680" w:type="dxa"/>
            <w:vAlign w:val="center"/>
          </w:tcPr>
          <w:p>
            <w:pPr>
              <w:spacing w:after="20" w:line="240" w:lineRule="auto"/>
              <w:jc w:val="center"/>
            </w:pPr>
            <w:r>
              <w:rPr>
                <w:sz w:val="18"/>
                <w:szCs w:val="18"/>
              </w:rPr>
              <w:t xml:space="preserve">0.97</w:t>
            </w:r>
          </w:p>
        </w:tc>
      </w:tr>
      <w:tr>
        <w:tc>
          <w:tcPr>
            <w:tcW w:w="4680" w:type="dxa"/>
            <w:vAlign w:val="center"/>
          </w:tcPr>
          <w:p>
            <w:pPr>
              <w:spacing w:after="20" w:line="240" w:lineRule="auto"/>
              <w:jc w:val="center"/>
            </w:pPr>
            <w:r>
              <w:rPr>
                <w:sz w:val="18"/>
                <w:szCs w:val="18"/>
              </w:rPr>
              <w:t xml:space="preserve">Cumulative heat input over 3 passes (kJ/mm)</w:t>
            </w:r>
          </w:p>
        </w:tc>
        <w:tc>
          <w:tcPr>
            <w:tcW w:w="4680" w:type="dxa"/>
            <w:vAlign w:val="center"/>
          </w:tcPr>
          <w:p>
            <w:pPr>
              <w:spacing w:after="20" w:line="240" w:lineRule="auto"/>
              <w:jc w:val="center"/>
            </w:pPr>
            <w:r>
              <w:rPr>
                <w:sz w:val="18"/>
                <w:szCs w:val="18"/>
              </w:rPr>
              <w:t xml:space="preserve">3.06</w:t>
            </w:r>
          </w:p>
        </w:tc>
      </w:tr>
    </w:tbl>
    <w:p/>
    <w:p/>
    <w:p>
      <w:r>
        <w:t xml:space="preserve">In order to quantify the energy input during welding, the heat-input values were calculated using Eq. (1):</w:t>
      </w:r>
    </w:p>
    <w:p/>
    <w:p>
      <w:r>
        <w:t xml:space="preserve">Heat Input (kJ/mm) = (η × V × I) / (S × 1000)   (1)</w:t>
      </w:r>
    </w:p>
    <w:p/>
    <w:p>
      <w:r>
        <w:t xml:space="preserve">where η is the arc efficiency (assumed to be 0.8), V is the voltage, I is the current in amperes, and S is the welding speed in mm/s. With the stated parameters this gives 1.12 kJ/mm for the root pass and 0.97 kJ/mm for each filler pass; the cumulative heat input over the one root and two filler passes is therefore 1.12 + 2 × 0.97 ≈ 3.06 kJ/mm. The arc efficiency value of η = 0.8 was selected based on the available literature on the gas metal arc welding (GMAW/MIG) process. DuPont found that the arc efficiencies range from 0.75 to 0.85 for MIG welding [22]. Other parameters such as voltage, current and travel speed were also recommended from the literature for MIG welding of 12 mm thick martensitic stainless steel [12, 23].</w:t>
      </w:r>
    </w:p>
    <w:p/>
    <w:p>
      <w:r>
        <w:t xml:space="preserve">In order to maintain the integrity of the weld and to ensure penetration, a plate of AISI grade SS440 stainless steel of size 300 mm × 75 mm × 12 mm was first machined to form a single-V groove with a 60° included angle and 2 mm root gap as shown in Fig. 1. Afterwards, butt joints were fabricated using MIG welding, as shown in Fig. 2. The choice of MIG welding was made because of its ease of use in industry, high deposition rate, stable arc performance and ease of automation. Prior to welding, all surfaces were properly cleaned to remove contaminants (oxides and oils). The trials were repeated three times to obtain accurate results. Therefore, nine weld coupons were produced (three coupons for each type of filler metal).</w:t>
      </w:r>
    </w:p>
    <w:p/>
    <w:p>
      <w:r>
        <w:t xml:space="preserve">Fig. 1. Single-V groove joint preparation of the AISI 440 plate (60° included angle, 2 mm root gap).</w:t>
      </w:r>
    </w:p>
    <w:p/>
    <w:p>
      <w:r>
        <w:t xml:space="preserve">Fig. 2. MIG-welded butt joint configuration of the AISI 440 plates.</w:t>
      </w:r>
    </w:p>
    <w:p/>
    <w:p>
      <w:r>
        <w:t xml:space="preserve">After welding, specimens were prepared to perform the various tests. To perform the Charpy impact test at the fusion zone (FZ) and heat-affected zone (HAZ), two specimens were prepared per coupon with dimensions of 55 mm × 10 mm × 10 mm. A V-groove was then cut at the centre at a 45° angle as shown in Fig. 3. To study the microstructure, transverse weld specimens with dimensions of 25 mm × 10 mm × 10 mm were cut from each coupon. In order to obtain a mirror-like surface, each sample was polished sequentially with emery papers (grit sizes: 100, 150, 400, 800, 1200, 1500, 2000, and 3000) and finally polished using a 0.3 µm alumina suspension. Before conducting the microstructural studies on an inverted metallurgical microscope and by scanning electron microscopy, each specimen was chemically etched in a solution of 10% oxalic acid so that the grain boundaries were properly exposed.</w:t>
      </w:r>
    </w:p>
    <w:p/>
    <w:p>
      <w:r>
        <w:t xml:space="preserve">Fig. 3. Charpy impact test specimen: (a) 3D view and (b) front view.</w:t>
      </w:r>
    </w:p>
    <w:p/>
    <w:p>
      <w:pPr>
        <w:pStyle w:val="Heading2"/>
      </w:pPr>
      <w:r>
        <w:rPr>
          <w:b/>
          <w:sz w:val="24"/>
          <w:szCs w:val="24"/>
        </w:rPr>
        <w:t xml:space="preserve">2.1 Microstructural and Mechanical Characterization</w:t>
      </w:r>
    </w:p>
    <w:p/>
    <w:p>
      <w:r>
        <w:t xml:space="preserve">A metallographic specimen containing all the important weld regions, i.e., base metal (BM), heat-affected zone (HAZ), and fusion zone (FZ), in a single plane was prepared for this purpose. The samples were gradually ground on silicon-carbide abrasive papers of grades 400 to 1200 and then polished with alumina suspension (0.3 µm) in distilled water to give a mirror-like surface finish. Electrochemical etching for the microstructural study of the AISI 440 martensitic stainless steel welds was carried out in Nital reagent at a current density of 1.6 A/cm² and a DC voltage of 6 V for 10–15 s. This etching technique enhanced the visibility of the grain boundaries and enabled the visualization of the secondary-phase constituents of the weld microstructure. Microstructural analysis was carried out by optical microscopy (OM) with a Dewiter metallurgical microscope and by SEM for detailed morphological and phase analysis. The weld microstructure was analyzed in detail with special attention to features developed during welding, such as columnar dendritic structures, phase transformations in the fusion zone, grain coarsening, and carbide precipitation in the HAZ caused by the large temperature difference during welding.</w:t>
      </w:r>
    </w:p>
    <w:p/>
    <w:p>
      <w:r>
        <w:t xml:space="preserve">Vickers microhardness and Charpy impact tests were used to assess the mechanical properties of the welded joints. For the transverse cross-section of the weld, microhardness mapping was performed using a loading force of 500 gf and a dwell time of 10 s. A continuous hardness-distribution profile was obtained across the microstructural gradient by making indentations at 0.25 mm intervals across the BM, HAZ, and weld zone (WZ). The impact toughness was determined by the Charpy V-notch test as per ASTM E23 / ISO 148-1. Standard specimens of 55 mm × 10 mm × 10 mm with a 2 mm deep V-notch of 45° angle and 0.25 mm root radius were cut from the BM, HAZ, and FZ regions. The notch position was chosen carefully to ensure it was set in the middle of the FZ for weld-metal specimens and in the near vicinity of the fusion boundary (within the coarse-grained HAZ) for HAZ specimens. In order to correlate the absorbed impact energy with the fracture morphology and failure mechanisms, post-fracture fractography was also performed using SEM, thus establishing a correlation between the microstructural evolution and the dynamic load-bearing behaviour of the welded joints.</w:t>
      </w:r>
    </w:p>
    <w:p/>
    <w:p>
      <w:pPr>
        <w:pStyle w:val="Heading1"/>
      </w:pPr>
      <w:r>
        <w:rPr>
          <w:b/>
          <w:sz w:val="28"/>
          <w:szCs w:val="28"/>
        </w:rPr>
        <w:t xml:space="preserve">3. Results and Discussion</w:t>
      </w:r>
    </w:p>
    <w:p/>
    <w:p>
      <w:pPr>
        <w:pStyle w:val="Heading2"/>
      </w:pPr>
      <w:r>
        <w:rPr>
          <w:b/>
          <w:sz w:val="24"/>
          <w:szCs w:val="24"/>
        </w:rPr>
        <w:t xml:space="preserve">3.1 Prediction of Weld Metal Constitution and Solidification Mode</w:t>
      </w:r>
    </w:p>
    <w:p/>
    <w:p>
      <w:r>
        <w:t xml:space="preserve">The Schaeffler constitution diagram shown in Fig. 4(a) was used to predict the stainless steel weld microstructures using the chromium-equivalent (Cr_eq) and nickel-equivalent (Ni_eq) values. The equivalents were computed with a single consistent pair of formulae, Cr_eq = Cr + Mo + 1.5Si and Ni_eq = Ni + 30C + 0.5Mn + 30N, applied to every alloy in Table 1 so that the four materials can be compared on the same basis [24]. The compositions were used to determine the alloy positions. The very high carbon content of SS440 is a strong austenite promoter (Ni_eq ≈ 30.65), which together with Cr_eq ≈ 19.25 gives Cr_eq/Ni_eq ≈ 0.63 and places the as-solidified weld metal in the primary-austenite (A) region; on cooling, this high-carbon composition subsequently transforms to the martensitic structure that characterises the AISI 440 base metal. The F309L and F2594 alloys lie in the austenite + ferrite (A + F) region, indicating mixed microstructures with both ferrite and austenite phases. F410 (Cr_eq ≈ 13.4, Ni_eq ≈ 4.2) lies in the martensite + ferrite (M + F) region, which indicates that the weld metal will be predominantly martensitic.</w:t>
      </w:r>
    </w:p>
    <w:p/>
    <w:p>
      <w:r>
        <w:t xml:space="preserve">The pseudo-binary solidification diagram (Fig. 4(b)) was also used to predict the solidification mode based on the Cr_eq/Ni_eq ratio. The solidification mode of SS440 (ratio 0.63) is austenitic (A); that of F309L (ratio 1.46) is austenitic–ferritic (AF); F2594 (ratio 1.62) solidifies in the ferritic–austenitic (FA) mode; and F410 (ratio 3.19) solidifies as fully ferritic (F) and then transforms to a predominantly martensitic (plus retained ferrite) structure at room temperature. These differences in solidification mode have a significant impact on the final solidification structure, hardness and toughness of the welds.</w:t>
      </w:r>
    </w:p>
    <w:p/>
    <w:p>
      <w:r>
        <w:t xml:space="preserve">Fig. 4. (a) Schaeffler constitution diagram and (b) pseudo-binary solidification diagram showing the predicted positions and solidification modes of the SS440 base metal and the F309L, F410, and F2594 weld metals.</w:t>
      </w:r>
    </w:p>
    <w:p/>
    <w:p>
      <w:pPr>
        <w:pStyle w:val="Heading2"/>
      </w:pPr>
      <w:r>
        <w:rPr>
          <w:b/>
          <w:sz w:val="24"/>
          <w:szCs w:val="24"/>
        </w:rPr>
        <w:t xml:space="preserve">3.2 Microhardness Distribution</w:t>
      </w:r>
    </w:p>
    <w:p/>
    <w:p>
      <w:r>
        <w:t xml:space="preserve">The microhardness distribution (Fig. 5) confirms the phase constitution predicted by the Schaeffler and pseudo-binary diagrams (Fig. 4). The weld-zone hardness of F410 was higher (around 345–365 VHN) in the fusion zone (0–2 mm from the weld centre) than for the other two filler metals. This high hardness is believed to be due to the formation of carbon-supersaturated martensite in the weld metal during the rapid cooling typical of low-nickel-content martensitic stainless steels [25–28]. The duplex ferritic–austenitic structure obtained from the FA solidification mode of F2594 led to intermediate hardness values between 285 and 310 VHN [29–31]. The weld-zone hardness of F309L was the lowest, around 195–220 VHN, due to the absence of a martensitic transformation and the presence of soft FCC austenite [32–34].</w:t>
      </w:r>
    </w:p>
    <w:p/>
    <w:p>
      <w:r>
        <w:t xml:space="preserve">The hardness values in the HAZ were found to approach the base-metal hardness of ~155–170 VHN at a distance of ~2.1–2.3 mm from the weld centre. This softening response is known to be related to carbide coarsening and over-tempering resulting from the multiple heating and cooling cycles associated with multi-pass welding [26–28, 35].</w:t>
      </w:r>
    </w:p>
    <w:p/>
    <w:p>
      <w:r>
        <w:t xml:space="preserve">Fig. 5. Vickers microhardness distribution across the base metal, HAZ, and weld zone for the F309L, F410, and F2594 welds.</w:t>
      </w:r>
    </w:p>
    <w:p/>
    <w:p>
      <w:pPr>
        <w:pStyle w:val="Heading2"/>
      </w:pPr>
      <w:r>
        <w:rPr>
          <w:b/>
          <w:sz w:val="24"/>
          <w:szCs w:val="24"/>
        </w:rPr>
        <w:t xml:space="preserve">3.3 Impact Toughness</w:t>
      </w:r>
    </w:p>
    <w:p/>
    <w:p>
      <w:r>
        <w:t xml:space="preserve">The impact toughness values in Fig. 6 also corroborate the differences in the observed microstructures and hardness values. The impact toughness of F2594 in the FZ (~275 J) and HAZ (~290 J) was the highest and was higher than the base-metal toughness (~260 J). The crack-arresting property of the ferrite–austenite phase interfaces in the duplex structure is the reason for this enhanced toughness [31, 36, 37]. The impact toughness of F410 exhibited intermediate values (~237 J in the FZ and ~252 J in the HAZ), which is consistent with the limited toughness that is often found in martensitic weld structures [4, 11]. The impact toughness of F309L was lower (~228 J in the FZ and ~223 J in the HAZ), mainly due to intermetallic precipitation and thermal-cycling effects in the austenitic weld matrix during multi-pass welding [32–34, 38].</w:t>
      </w:r>
    </w:p>
    <w:p/>
    <w:p>
      <w:r>
        <w:t xml:space="preserve">For all filler materials, the HAZ had slightly higher or equal toughness compared with the fusion zone. This behaviour indicates that the interpass temperature of 150 °C used in the present study is appropriate for tempering the HAZ and alleviating the residual-stress concentration in the thermally affected zone [27, 35, 37].</w:t>
      </w:r>
    </w:p>
    <w:p/>
    <w:p>
      <w:r>
        <w:t xml:space="preserve">Fig. 6. Charpy impact toughness of the fusion zone and heat-affected zone for the F309L, F410, and F2594 welds compared with the base metal.</w:t>
      </w:r>
    </w:p>
    <w:p/>
    <w:p>
      <w:pPr>
        <w:pStyle w:val="Heading2"/>
      </w:pPr>
      <w:r>
        <w:rPr>
          <w:b/>
          <w:sz w:val="24"/>
          <w:szCs w:val="24"/>
        </w:rPr>
        <w:t xml:space="preserve">3.4 Fractography and Microstructure–Property Correlation</w:t>
      </w:r>
    </w:p>
    <w:p/>
    <w:p>
      <w:r>
        <w:t xml:space="preserve">Fig. 7. SEM fractographs of the Charpy impact fracture surfaces: (a) F309L FZ, (b) F309L HAZ, (c) F410 FZ, (d) F410 HAZ, (e) F2594 FZ, and (f) F2594 HAZ.</w:t>
      </w:r>
    </w:p>
    <w:p/>
    <w:p>
      <w:r>
        <w:t xml:space="preserve">The fractographic analysis in Fig. 7 gives an understanding of the fracture behaviour in the FZ and HAZ of the SS440 weldments produced with the three filler metals. The relationships between phases, fracture and properties are consistent when combined with the impact-strength measurements (Fig. 6), the hardness profiles (Fig. 5) and the corresponding SEM microstructures (Fig. 8). The FZ fracture surface of the F309L weld in Fig. 7(a) shows well-developed deep dimples and a clear cellular dimple pattern at ×1000, which are unambiguous characteristics of ductile microvoid-coalescence (MVC) fracture that originates at fine intermetallic precipitate sites within the austenitic weld matrix. This cellular pattern is typical of nucleation and growth of microvoids followed by coalescence at the finely dispersed intermetallic precipitates observed in the austenite matrix in Fig. 8(a) and is consistent with the AF solidification mode predicted in Fig. 4(b) [32] for F309L. The HAZ fracture surface of F309L in Fig. 7(b) is a wave-like, undulating surface with granular features near the partially transformed base metal, typical of a mixed ductile–brittle fracture mode. The SEM microstructure in Fig. 8(b) [33] shows that this behaviour is associated with chromium-rich carbide precipitation at the grain boundaries. The mixed fracture mode is responsible for the slight reduction in impact strength of the HAZ (~223 J) compared to the FZ (~228 J), and the comparatively low hardness (195–220 VHN) is due to the predominantly austenitic matrix with reasonable toughness [39].</w:t>
      </w:r>
    </w:p>
    <w:p/>
    <w:p>
      <w:r>
        <w:t xml:space="preserve">The FZ fracture surface of the F410 weld shown in Fig. 7(c) exhibits rough, granular features with irregular morphologies at ×1500, typical of quasi-cleavage and brittle intergranular fracture in a weld structure containing a high proportion of martensite. This microstructure is obtained when F410 lies in the M + F region of the Schaeffler diagram and has a high Cr_eq/Ni_eq ratio of 3.19. The SEM microstructure (Fig. 8(c)) reveals precipitates at the grain boundaries, fine intermetallic particles, and coarser intermetallic clusters dispersed in the martensitic matrix. The precipitates are formed due to the rapid cooling during multi-pass welding and act as preferential crack-initiation sites, directly affecting the quasi-cleavage fracture appearance and the reduced impact strength of the FZ (~237 J) [38]. At ×2500 magnification, the HAZ fracture surface in Fig. 7(d) also exhibits a well-developed cleavage-like appearance, suggesting further brittle fracture in the HAZ. The SEM images in Fig. 8(d) show the presence of secondary intermetallic phases and fine precipitates in the partially tempered martensitic matrix. The extremely high hardness (345–365 VHN) of the weld is well matched with this martensitic microstructure and brittle fracture response, which are intrinsic properties of carbon-supersaturated martensitic stainless steel welds [37].</w:t>
      </w:r>
    </w:p>
    <w:p/>
    <w:p>
      <w:r>
        <w:t xml:space="preserve">Fig. 8. SEM microstructures of the weld regions: (a) F309L FZ, (b) F309L HAZ, (c) F410 FZ, (d) F410 HAZ, (e) F2594 FZ, and (f) F2594 HAZ.</w:t>
      </w:r>
    </w:p>
    <w:p/>
    <w:p>
      <w:r>
        <w:t xml:space="preserve">The F2594 weld system has the best combination of microstructure, fracture properties and mechanical properties of the fillers studied. The fracture surface of the FZ sample at ×1500 magnification in Fig. 7(e) exhibits a very uniform and finely interconnected cellular dimple network typical of fully ductile MVC fracture with high energy-absorption capacity. The duplex austenitic–ferritic microstructure offers several crack-deflection interfaces and phase-boundary blunting mechanisms that favour this fracture mode [27]. The SEM microstructure in Fig. 8(e) shows that the columnar dendrites and needle-like ferritic structures formed during FA-mode solidification (Cr_eq/Ni_eq = 1.62) are well developed and that there is no coarse clustering of intermetallic precipitates that could cause cracking [31]. The austenite islands in the ferritic dendritic matrix are the main toughening mechanism, which has been reported in ER2594 weld deposits [29] and is attributed to the slowing of crack propagation by localized plastic deformation.</w:t>
      </w:r>
    </w:p>
    <w:p/>
    <w:p>
      <w:r>
        <w:t xml:space="preserve">The HAZ fracture surface in Fig. 7(f) has a mixed morphology, with tearing ridges and locally ductile fracture features, suggesting that the majority of the material was still ductile. The SEM microstructures in Fig. 8(f) reveal needle-like dendrites with fine secondary precipitates in interdendritic regions, which are believed to be secondary austenite (γ₂) formed by solid-state transformation during cooling [30]. These features directly account for the highest impact-strength values found for the F2594 welds (~275 J in the FZ and ~290 J in the HAZ, the latter higher than the base metal at ~260 J) and the intermediate hardness range (285–310 VHN) that corresponds to a balanced duplex constitution [39].</w:t>
      </w:r>
    </w:p>
    <w:p/>
    <w:p>
      <w:r>
        <w:t xml:space="preserve">Therefore, the overall correlation between the predicted solidification mode, precipitate morphology, fracture mode, and mechanical response clearly shows that F2594 is the most appropriate filler metal for SS440 weldments, offering the best toughness, moderate hardness, and stable ductile fracture mode in both the FZ and HAZ of the weldments.</w:t>
      </w:r>
    </w:p>
    <w:p/>
    <w:p>
      <w:pPr>
        <w:pStyle w:val="Heading1"/>
      </w:pPr>
      <w:r>
        <w:rPr>
          <w:b/>
          <w:sz w:val="28"/>
          <w:szCs w:val="28"/>
        </w:rPr>
        <w:t xml:space="preserve">4. Conclusions</w:t>
      </w:r>
    </w:p>
    <w:p/>
    <w:p>
      <w:r>
        <w:t xml:space="preserve">The microstructural evolution, hardness distribution, impact toughness, and fracture behaviour of multi-pass MIG welds of AISI 440 martensitic stainless steel were investigated using F309L, F410, and F2594 filler metals under identical welding parameters. The main conclusions are:</w:t>
      </w:r>
    </w:p>
    <w:p/>
    <w:p>
      <w:r>
        <w:t xml:space="preserve">1. Using a single, consistent set of chromium- and nickel-equivalent formulae, the Schaeffler and pseudo-binary diagrams predicted an AF solidification mode for F309L (Cr_eq/Ni_eq = 1.46), an FA mode for F2594 (Cr_eq/Ni_eq = 1.62), and a fully ferritic mode for F410 (Cr_eq/Ni_eq = 3.19) that transforms to a predominantly martensitic weld metal at room temperature; the high-carbon SS440 base metal (Cr_eq/Ni_eq = 0.63) solidifies austenitically and then transforms to martensite. These predictions were confirmed by OM and SEM observations.</w:t>
      </w:r>
    </w:p>
    <w:p>
      <w:r>
        <w:t xml:space="preserve">2. F410 produced the highest weld-zone hardness (345–365 VHN) due to carbon-supersaturated martensite, F2594 showed intermediate hardness (285–310 VHN) from its balanced duplex structure, and F309L showed the lowest hardness (195–220 VHN) due to its soft austenitic matrix.</w:t>
      </w:r>
    </w:p>
    <w:p>
      <w:r>
        <w:t xml:space="preserve">3. F2594 delivered the highest impact toughness (FZ ~275 J, HAZ ~290 J), exceeding the base metal (~260 J), owing to crack arrest at ferrite–austenite interfaces; F410 (FZ ~237 J, HAZ ~252 J) and F309L (FZ ~228 J, HAZ ~223 J) were lower.</w:t>
      </w:r>
    </w:p>
    <w:p>
      <w:r>
        <w:t xml:space="preserve">4. Fractography confirmed ductile microvoid coalescence in F2594 welds, attributed to the duplex ferritic–austenitic structure, and quasi-cleavage brittle fracture in F410 welds, attributed to the martensitic structure, consistent with their respective microstructures and hardness levels.</w:t>
      </w:r>
    </w:p>
    <w:p>
      <w:r>
        <w:t xml:space="preserve">5. Overall, F2594 is the most suitable filler metal for welding SS440, offering the best balance of toughness, moderate hardness, and stable ductile fracture behaviour in both the FZ and HAZ.</w:t>
      </w:r>
    </w:p>
    <w:p/>
    <w:p>
      <w:pPr>
        <w:pStyle w:val="Heading1"/>
      </w:pPr>
      <w:r>
        <w:rPr>
          <w:b/>
          <w:sz w:val="28"/>
          <w:szCs w:val="28"/>
        </w:rPr>
        <w:t xml:space="preserve">References</w:t>
      </w:r>
    </w:p>
    <w:p/>
    <w:p>
      <w:r>
        <w:t xml:space="preserve">[1] G. Mahesh, D. Valavan, N. Baskar, A.B.H. Bejaxhin, Parameter impacts of martensitic structure on tensile strength and hardness of TIG welded SS410 with characterized SEM consequences, Mater. Today Proc. (2023) 750–759.</w:t>
      </w:r>
    </w:p>
    <w:p/>
    <w:p>
      <w:r>
        <w:t xml:space="preserve">[2] J.C. Lippold, D.J. Kotecki, Welding Metallurgy and Weldability of Stainless Steels, Wiley, 2005.</w:t>
      </w:r>
    </w:p>
    <w:p/>
    <w:p>
      <w:r>
        <w:t xml:space="preserve">[3] M. Kim, K. Lee, Effect of heat treatment on microstructure, mechanical property and corrosion behavior of STS 440C martensitic stainless steel, Korean J. Mater. Res. 31 (2021) 29–37.</w:t>
      </w:r>
    </w:p>
    <w:p/>
    <w:p>
      <w:r>
        <w:t xml:space="preserve">[4] V.M. Rodríguez, V.H. López-Morelos, V.K. Nadimpalli, D. Bue Pedersen, A. Ruiz, M.A.J. Somers, Effect of heat treatment processes on the microstructure and mechanical properties of spray-formed 440C martensitic stainless steel, Steel Res. Int. 94 (2023) 2200749. https://doi.org/10.1002/srin.202200749.</w:t>
      </w:r>
    </w:p>
    <w:p/>
    <w:p>
      <w:r>
        <w:t xml:space="preserve">[5] J.R. Davis, Stainless Steels, ASM International, 1994.</w:t>
      </w:r>
    </w:p>
    <w:p/>
    <w:p>
      <w:r>
        <w:t xml:space="preserve">[6] E. Figueiredo, A. Cruz, A. Guerra, F. Lucena, C. Bolfarini, G. Koga, Uncovering pitfalls in martensitic stainless steel weld repairs, Eng. Fail. Anal. 182 (2025) 110133. https://doi.org/10.1016/j.engfailanal.2025.110133.</w:t>
      </w:r>
    </w:p>
    <w:p/>
    <w:p>
      <w:r>
        <w:t xml:space="preserve">[7] J. Cao, Y. Wang, X. Liu, G. Xu, X. Zeng, K. Wei, Single-pass high-power laser-arc hybrid welding of thick stainless steel clad plates: microstructure and mechanical properties, J. Mater. Res. Technol. 30 (2024) 5733–5745.</w:t>
      </w:r>
    </w:p>
    <w:p/>
    <w:p>
      <w:r>
        <w:t xml:space="preserve">[8] R. Khan, U. Das, A.K. Pathak, D. Tiwari, Study of microstructure and mechanical properties of ferritic stainless steel (AISI 430) weldment using ER309L and ER430 electrodes by MIG welding process, Int. J. Eng. Res. Technol. 5 (2016).</w:t>
      </w:r>
    </w:p>
    <w:p/>
    <w:p>
      <w:r>
        <w:t xml:space="preserve">[9] J. L'hostis, L. Thuinet, E. Cadel, M.-N. Avettand-Fènoël, Multiscale characterization of WAAMed martensitic stainless steel: correlation between experimental AM thermal cycles, microstructural evolution and mechanical properties, Acta Mater. 291 (2025) 120972.</w:t>
      </w:r>
    </w:p>
    <w:p/>
    <w:p>
      <w:r>
        <w:t xml:space="preserve">[10] C. Lee, Y. Lee, C. Lee, S. Hong, Precipitation behavior of the sigma phase with Ni and Mn content variations in superaustenitic stainless steel weld metal, Mater. Charact. 144 (2018) 148–154. https://doi.org/10.1016/j.matchar.2018.07.006.</w:t>
      </w:r>
    </w:p>
    <w:p/>
    <w:p>
      <w:r>
        <w:t xml:space="preserve">[11] L. Sharma, A. Jakhar, N. Singh, K. Sharma, The effect of 309L, 2594 and 410 fillers on the mechanical and microstructural behaviour of SS410, SS430 and SS440 MIG welds, Adv. Mater. Process. Technol. (2026) 1–18.</w:t>
      </w:r>
    </w:p>
    <w:p/>
    <w:p>
      <w:r>
        <w:t xml:space="preserve">[12] S. Kou, Welding Metallurgy, 2nd ed., Wiley, New Jersey, USA, 2003, pp. 223–225.</w:t>
      </w:r>
    </w:p>
    <w:p/>
    <w:p>
      <w:r>
        <w:t xml:space="preserve">[13] ASM Handbook, Volume 6: Welding, Brazing, and Soldering, ASM International, 1993, p. 254.</w:t>
      </w:r>
    </w:p>
    <w:p/>
    <w:p>
      <w:r>
        <w:t xml:space="preserve">[14] K.H. Lo, C.H. Shek, J.K.L. Lai, Recent developments in stainless steels, Mater. Sci. Eng. R Rep. 65 (2009) 39–104.</w:t>
      </w:r>
    </w:p>
    <w:p/>
    <w:p>
      <w:r>
        <w:t xml:space="preserve">[15] M.F. Mamat, E. Hamzah, Z. Ibrahim, R.A. Majid, A. Bahador, Effect of filler metals on the microstructures and mechanical properties of dissimilar low carbon steel and 316L stainless steel welded joints, Mater. Sci. Forum, Trans Tech Publ., 2015, pp. 57–62.</w:t>
      </w:r>
    </w:p>
    <w:p/>
    <w:p>
      <w:r>
        <w:t xml:space="preserve">[16] P. Kumar, L. Sharma, S. Juneja, To study the metallurgical and mechanical properties of SMAW dissimilar weld joints between AISI 1020 carbon steel and AISI 410 martensitic stainless steel using three distinct fillers, J. Mater. Eng. Struct. (JMES) 13 (2026) 135–146.</w:t>
      </w:r>
    </w:p>
    <w:p/>
    <w:p>
      <w:r>
        <w:t xml:space="preserve">[17] S.B. Zhou, F. Hu, W. Zhou, L. Cheng, C.Y. Hu, K.M. Wu, Effect of retained austenite on impact toughness and fracture behavior of medium carbon submicron-structured bainitic steel, J. Mater. Res. Technol. 14 (2021) 1021–1034.</w:t>
      </w:r>
    </w:p>
    <w:p/>
    <w:p>
      <w:r>
        <w:t xml:space="preserve">[18] J. Shen, R. Gonçalves, Y.T. Choi, J.G. Lopes, J. Yang, N. Schell, H.S. Kim, J.P. Oliveira, Microstructure and mechanical properties of gas metal arc welded CoCrFeMnNi joints using a 410 stainless steel filler metal, Mater. Sci. Eng. A 857 (2022) 144025.</w:t>
      </w:r>
    </w:p>
    <w:p/>
    <w:p>
      <w:r>
        <w:t xml:space="preserve">[19] R. Gunn, Duplex Stainless Steels: Microstructure, Properties and Applications, Elsevier, 1997.</w:t>
      </w:r>
    </w:p>
    <w:p/>
    <w:p>
      <w:r>
        <w:t xml:space="preserve">[20] L. Karlsson, Welding duplex stainless steels — a review of current recommendations, Zavar. i Zavarene Konstr. (2018) 29–35.</w:t>
      </w:r>
    </w:p>
    <w:p/>
    <w:p>
      <w:r>
        <w:t xml:space="preserve">[21] J.-O. Nilsson, Super duplex stainless steels, Mater. Sci. Technol. 8 (1992) 685–700.</w:t>
      </w:r>
    </w:p>
    <w:p/>
    <w:p>
      <w:r>
        <w:t xml:space="preserve">[22] J.N. DuPont, A.R. Marder, Thermal efficiency of arc welding processes, Weld. J. (Incl. Weld. Res. Suppl.) 74 (1995) 406s–416s.</w:t>
      </w:r>
    </w:p>
    <w:p/>
    <w:p>
      <w:r>
        <w:t xml:space="preserve">[23] B.J. Lawson, Compositional optimization, mechanical properties, and tempering response in Type 410 stainless steel welds, 2019.</w:t>
      </w:r>
    </w:p>
    <w:p/>
    <w:p>
      <w:r>
        <w:t xml:space="preserve">[24] J.M. Vitek, Predictive tools for the solidification microstructure of stainless steel welds, J. Mater. Eng. Perform. 30 (2021) 882–895. https://doi.org/10.1007/s11665-020-05378-3.</w:t>
      </w:r>
    </w:p>
    <w:p/>
    <w:p>
      <w:r>
        <w:t xml:space="preserve">[25] M.A.V. Bermejo, Predictive tools for the cooling rate-dependent microstructure of stainless steel, J. Mater. Res. Technol. 30 (2024) 4112–4128. https://doi.org/10.1016/j.jmrt.2024.05.362.</w:t>
      </w:r>
    </w:p>
    <w:p/>
    <w:p>
      <w:r>
        <w:t xml:space="preserve">[26] S. Kumar, A.S. Shahi, V. Sharma, Effect of heat input on microstructure and mechanical properties of martensitic stainless steel welds, J. Manuf. Process. 75 (2022) 748–763. https://doi.org/10.1016/j.jmapro.2022.01.048.</w:t>
      </w:r>
    </w:p>
    <w:p/>
    <w:p>
      <w:r>
        <w:t xml:space="preserve">[27] A. Sinha, G. Dak, Weldability and microstructural evolution in high-carbon martensitic stainless steels, Mater. Today Proc. 72 (2023) 1410–1418. https://doi.org/10.1016/j.matpr.2022.09.137.</w:t>
      </w:r>
    </w:p>
    <w:p/>
    <w:p>
      <w:r>
        <w:t xml:space="preserve">[28] P. Shukla, R. Patel, V. Badheka, Mechanical and microstructural characterization of super duplex stainless steel weld deposits using ER2594 filler, J. Manuf. Sci. Eng. 145 (2023) 041009. https://doi.org/10.1115/1.4056421.</w:t>
      </w:r>
    </w:p>
    <w:p/>
    <w:p>
      <w:r>
        <w:t xml:space="preserve">[29] N. Guo, Y. Fu, Y. Wang, Q. Meng, Y. Zhu, Microstructure and mechanical properties of CMT welded joints of duplex stainless steel with different Cr_eq/Ni_eq ratios, Constr. Build. Mater. 316 (2022) 125799. https://doi.org/10.1016/j.conbuildmat.2021.125799.</w:t>
      </w:r>
    </w:p>
    <w:p/>
    <w:p>
      <w:r>
        <w:t xml:space="preserve">[30] S.H. Jeon, S.T. Kim, I.S. Lee, J.H. Park, Y.S. Park, Effect of heat input on microstructure and toughness of super duplex stainless steel welds using 2594-type filler, Corros. Sci. 208 (2023) 110661. https://doi.org/10.1016/j.corsci.2022.110661.</w:t>
      </w:r>
    </w:p>
    <w:p/>
    <w:p>
      <w:r>
        <w:t xml:space="preserve">[31] Z. Li, Y. Wang, H. Zhang, Influence of filler metal type on microstructure and mechanical properties of multi-pass MIG welded austenitic stainless steel joints, Mater. Sci. Eng. A 832 (2022) 142448. https://doi.org/10.1016/j.msea.2021.142448.</w:t>
      </w:r>
    </w:p>
    <w:p/>
    <w:p>
      <w:r>
        <w:t xml:space="preserve">[32] A.J. Ramirez, J.C. Lippold, Solidification cracking and phase transformation in austenitic stainless steel welds: revisiting the pseudo-binary diagram, Weld. J. 100 (2021) 89s–103s. https://doi.org/10.29391/2021.100.009.</w:t>
      </w:r>
    </w:p>
    <w:p/>
    <w:p>
      <w:r>
        <w:t xml:space="preserve">[33] J. Li, X. Chen, X. Yin, H. Fu, Microhardness and impact toughness evolution across weld zones of austenitic stainless steel under multi-pass MIG welding, J. Iron Steel Res. Int. 31 (2024) 145–157. https://doi.org/10.1007/s42243-023-01098-5.</w:t>
      </w:r>
    </w:p>
    <w:p/>
    <w:p>
      <w:r>
        <w:t xml:space="preserve">[34] S.H. Baghjari, S.A. Akbari Mousavi, Effects of pulsed GTAW parameters and heat input on microstructure and mechanical properties of AISI 420 stainless steel welds, Mater. Des. 198 (2021) 109329. https://doi.org/10.1016/j.matdes.2020.109329.</w:t>
      </w:r>
    </w:p>
    <w:p/>
    <w:p>
      <w:r>
        <w:t xml:space="preserve">[35] P. Shukla, R. Patel, V. Badheka, S. Kumar, Mechanical and microstructural characterization of super duplex stainless steel weld deposits using ER2594 filler, J. Mater. Eng. Perform. 32 (2023) 6210–6224. https://doi.org/10.1007/s11665-022-07600-y.</w:t>
      </w:r>
    </w:p>
    <w:p/>
    <w:p>
      <w:r>
        <w:t xml:space="preserve">[36] D. Thibault, P. Bocher, M. Thomas, M. Gharghouri, Residual stress and microstructure in martensitic stainless steel multi-pass weldments, J. Mater. Process. Technol. 301 (2022) 117453. https://doi.org/10.1016/j.jmatprotec.2021.117453.</w:t>
      </w:r>
    </w:p>
    <w:p/>
    <w:p>
      <w:r>
        <w:t xml:space="preserve">[37] M. Divya, C.R. Das, Weld microstructure and hardness evaluation of martensitic stainless steels with dissimilar filler metals, Int. J. Adv. Manuf. Technol. 118 (2022) 3451–3463. https://doi.org/10.1007/s00170-021-08059-2.</w:t>
      </w:r>
    </w:p>
    <w:p/>
    <w:p>
      <w:r>
        <w:t xml:space="preserve">[38] T.E. Abioye, H. Zuhailawati, H. Aiza, A.S. Anasyida, B.K. Dhindaw, Influence of filler variation on microstructural evolution and mechanical properties of ferritic stainless steel weldments, Mater. Chem. Phys. 295 (2023) 127079. https://doi.org/10.1016/j.matchemphys.2022.127079.</w:t>
      </w:r>
    </w:p>
    <w:p/>
    <w:p>
      <w:r>
        <w:t xml:space="preserve">[39] M. Pohl, O. Storz, T. Glogowski, Kinetics of intermetallic phase precipitation in manual metal arc welded duplex stainless steels, Metals (Basel) 13 (2023) 1987. https://doi.org/10.3390/met13121987.</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Title">
    <w:name w:val="Title"/>
    <w:rPr>
      <w:b/>
      <w:sz w:val="30"/>
      <w:szCs w:val="30"/>
      <w:rFonts w:ascii="Times New Roman" w:hAnsi="Times New Roman"/>
    </w:rPr>
    <w:pPr>
      <w:spacing w:after="240"/>
      <w:jc w:val="center"/>
    </w:pPr>
  </w:style>
  <w:style w:type="paragraph" w:styleId="Heading1">
    <w:name w:val="heading 1"/>
    <w:rPr>
      <w:b/>
      <w:sz w:val="28"/>
      <w:szCs w:val="28"/>
      <w:rFonts w:ascii="Times New Roman" w:hAnsi="Times New Roman"/>
    </w:rPr>
    <w:pPr>
      <w:spacing w:before="360" w:after="120"/>
    </w:pPr>
  </w:style>
  <w:style w:type="paragraph" w:styleId="Heading2">
    <w:name w:val="heading 2"/>
    <w:rPr>
      <w:b/>
      <w:sz w:val="24"/>
      <w:szCs w:val="24"/>
      <w:rFonts w:ascii="Times New Roman" w:hAnsi="Times New Roman"/>
    </w:rPr>
    <w:pPr>
      <w:spacing w:before="240" w:after="120"/>
    </w:p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