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4. Artificial Intelligence in Drug Discovery</w:t>
      </w:r>
    </w:p>
    <w:p>
      <w:pPr>
        <w:pStyle w:val="Heading1"/>
      </w:pPr>
      <w:r>
        <w:t xml:space="preserve">Abstract</w:t>
      </w:r>
    </w:p>
    <w:p>
      <w:pPr>
        <w:pStyle w:val="Abstract"/>
      </w:pPr>
      <w:r>
        <w:t xml:space="preserve">The discovery and development of a new therapeutic agent remains one of the most expensive, lengthy, and failure-prone endeavours in modern science, routinely demanding more than a decade of effort and capital investment that frequently exceeds two billion United States dollars per approved medicine. Attrition is pervasive: the overwhelming majority of candidate molecules that enter preclinical evaluation never reach patients, and clinical-stage failures driven by insufficient efficacy or unacceptable toxicity impose enormous scientific and economic costs. Against this backdrop, artificial intelligence has emerged as a transformative methodology capable of reshaping every stage of the discovery pipeline, from the earliest identification of a disease-relevant biological target through to the optimisation of a clinical candidate and the strategic repositioning of existing drugs. This chapter provides a comprehensive and critical account of how machine learning, deep learning, and allied computational paradigms are being deployed across three tightly coupled domains: target identification and validation, virtual screening and drug–target interaction prediction, and lead identification, optimisation, and drug repurposing. We examine the algorithmic foundations that underpin contemporary methods, including graph neural networks, transformer architectures, generative models, and reinforcement learning, and we situate these techniques within the practical realities of pharmaceutical research, where data heterogeneity, interpretability, experimental validation, and regulatory acceptance all constrain what is achievable. We further consider the integration of multi-omics data, structural biology, and knowledge graphs, and we discuss representative case studies in which computational predictions have translated into experimentally confirmed outcomes. Throughout, the emphasis is on a balanced appraisal that acknowledges both the genuine acceleration that these tools provide and the persistent limitations that temper uncritical enthusiasm. The chapter closes by outlining the trajectory of the field towards increasingly autonomous, closed-loop discovery systems in which computational design, robotic synthesis, and high-throughput experimentation are unified into self-improving platforms that promise to compress discovery timelines and expand the reach of therapeutic innovation.</w:t>
      </w:r>
    </w:p>
    <w:p>
      <w:pPr>
        <w:pStyle w:val="Heading1"/>
      </w:pPr>
      <w:r>
        <w:t xml:space="preserve">4.1 AI-Based Target Identification and Validation</w:t>
      </w:r>
    </w:p>
    <w:p>
      <w:pPr>
        <w:pStyle w:val="Heading2"/>
      </w:pPr>
      <w:r>
        <w:t xml:space="preserve">4.1.1 The Central Role of the Biological Target</w:t>
      </w:r>
    </w:p>
    <w:p>
      <w:pPr>
        <w:pStyle w:val="Normal"/>
      </w:pPr>
      <w:r>
        <w:t xml:space="preserve">The identification of a suitable biological target lies at the foundation of rational drug discovery, because the therapeutic hypothesis that a given molecular entity—most often a protein, but sometimes a nucleic acid or a larger macromolecular assembly—can be modulated to produce clinical benefit determines the entire downstream trajectory of a programme [1]. Historically, target selection relied on painstaking accumulation of biochemical, genetic, and physiological evidence, a process that could unfold over decades and that was frequently biased towards well-characterised gene families such as G-protein-coupled receptors, kinases, and ion channels [2]. The consequence of this bias is that a large fraction of the human proteome remains therapeutically unexplored, and many diseases with clear unmet need lack validated points of pharmacological intervention. Artificial intelligence offers a systematic route to broaden this search space by learning from the ever-expanding corpus of biological data and by generating testable hypotheses that human investigators might not otherwise prioritise [3].</w:t>
      </w:r>
    </w:p>
    <w:p>
      <w:pPr>
        <w:pStyle w:val="Normal"/>
      </w:pPr>
      <w:r>
        <w:t xml:space="preserve">The essential premise is that disease is, at the molecular level, a perturbation of complex networks, and that the signatures of these perturbations are encoded across genomic, transcriptomic, proteomic, and clinical data streams [4]. Machine learning excels at detecting subtle, high-dimensional patterns within such data, and it is precisely this capacity that makes it well suited to the task of nominating candidate targets whose modulation is likely to reverse a pathological state. The transition from a purely hypothesis-driven paradigm to a data-driven one does not eliminate the need for biological reasoning; rather, it augments human expertise with computational hypothesis generation at a scale and speed that were previously unattainable [5].</w:t>
      </w:r>
    </w:p>
    <w:p>
      <w:pPr>
        <w:pStyle w:val="Normal"/>
      </w:pPr>
      <w:r>
        <w:t xml:space="preserve">It is worth dwelling on why target selection is so consequential and so error-prone. Empirical analyses of clinical attrition have repeatedly shown that the largest single category of late-stage failure is insufficient efficacy, and efficacy failure is, in most cases, ultimately a failure of the underlying therapeutic hypothesis—that is, a failure of the target [1]. A molecule may bind its intended target with exquisite potency and selectivity, may possess flawless pharmacokinetic properties, and may be entirely safe, and yet the drug will fail if modulation of that target does not, in fact, alter the course of the disease in humans. No amount of downstream chemical excellence can rescue a poorly chosen target. This asymmetry places an enormous premium on getting the target right at the outset, and it explains why so much of the value that artificial intelligence can contribute is concentrated at this earliest stage of the pipeline [3]. A modest improvement in the probability that a nominated target is genuinely causal for disease compounds through every subsequent stage, ultimately exerting a disproportionate influence on the productivity of the entire enterprise [5].</w:t>
      </w:r>
    </w:p>
    <w:p>
      <w:pPr>
        <w:pStyle w:val="Heading2"/>
      </w:pPr>
      <w:r>
        <w:t xml:space="preserve">4.1.2 Genomic and Multi-Omics Approaches to Target Discovery</w:t>
      </w:r>
    </w:p>
    <w:p>
      <w:pPr>
        <w:pStyle w:val="Normal"/>
      </w:pPr>
      <w:r>
        <w:t xml:space="preserve">The most robust evidence for a causal relationship between a gene and a disease frequently arises from human genetics, and it is now well established that drug targets supported by human genetic evidence are substantially more likely to succeed in clinical development than those lacking such support [6]. Genome-wide association studies have catalogued vast numbers of variants associated with disease phenotypes, yet translating these statistical associations into actionable target hypotheses is a formidable challenge because most variants reside in non-coding regions and exert their effects through complex regulatory mechanisms [7]. Machine learning methods, including deep neural networks trained to predict the functional consequences of genetic variation, have proven valuable in prioritising causal variants and in linking them to the genes whose expression or function they modulate [8].</w:t>
      </w:r>
    </w:p>
    <w:p>
      <w:pPr>
        <w:pStyle w:val="Normal"/>
      </w:pPr>
      <w:r>
        <w:t xml:space="preserve">Beyond genomics, the integration of multiple omics layers provides a far richer picture of disease biology than any single data type can offer in isolation. Transcriptomic profiling reveals how gene expression is altered in disease states; proteomic and phosphoproteomic analyses capture the abundance and activation status of the effector molecules themselves; and metabolomic data illuminate the downstream biochemical consequences of these changes [9]. The computational challenge lies in fusing these heterogeneous, high-dimensional, and often noisy data streams into a coherent representation from which target hypotheses can be extracted. Multi-omics integration frameworks based on techniques such as matrix factorisation, autoencoders, and multi-view learning have been developed precisely for this purpose, and they have enabled the discovery of disease-associated modules that would be invisible to single-omics analysis [10]. </w:t>
      </w:r>
      <w:r>
        <w:rPr>
          <w:b/>
        </w:rPr>
        <w:t xml:space="preserve">Table 1</w:t>
      </w:r>
      <w:r>
        <w:t xml:space="preserve"> summarises the principal data modalities exploited in AI-driven target discovery together with their characteristic strengths and limitations.</w:t>
      </w:r>
    </w:p>
    <w:p>
      <w:pPr>
        <w:pStyle w:val="TableCaption"/>
      </w:pPr>
      <w:r>
        <w:rPr>
          <w:b/>
        </w:rPr>
        <w:t xml:space="preserve">Table 1.</w:t>
      </w:r>
      <w:r>
        <w:t xml:space="preserve"> Principal data modalities exploited in AI-driven target identification and validation.</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pPr>
            <w:r>
              <w:rPr>
                <w:b/>
              </w:rPr>
              <w:t xml:space="preserve">Data Modality</w:t>
            </w:r>
          </w:p>
        </w:tc>
        <w:tc>
          <w:tcPr>
            <w:tcW w:w="2300" w:type="dxa"/>
            <w:shd w:val="clear" w:color="auto" w:fill="D9E2F3"/>
          </w:tcPr>
          <w:p>
            <w:pPr>
              <w:jc w:val="center"/>
              <w:spacing w:after="40"/>
            </w:pPr>
            <w:r>
              <w:rPr>
                <w:b/>
              </w:rPr>
              <w:t xml:space="preserve">Information Captured</w:t>
            </w:r>
          </w:p>
        </w:tc>
        <w:tc>
          <w:tcPr>
            <w:tcW w:w="2300" w:type="dxa"/>
            <w:shd w:val="clear" w:color="auto" w:fill="D9E2F3"/>
          </w:tcPr>
          <w:p>
            <w:pPr>
              <w:jc w:val="center"/>
              <w:spacing w:after="40"/>
            </w:pPr>
            <w:r>
              <w:rPr>
                <w:b/>
              </w:rPr>
              <w:t xml:space="preserve">Principal Strengths</w:t>
            </w:r>
          </w:p>
        </w:tc>
        <w:tc>
          <w:tcPr>
            <w:tcW w:w="2300" w:type="dxa"/>
            <w:shd w:val="clear" w:color="auto" w:fill="D9E2F3"/>
          </w:tcPr>
          <w:p>
            <w:pPr>
              <w:jc w:val="center"/>
              <w:spacing w:after="40"/>
            </w:pPr>
            <w:r>
              <w:rPr>
                <w:b/>
              </w:rPr>
              <w:t xml:space="preserve">Key Limitations</w:t>
            </w:r>
          </w:p>
        </w:tc>
      </w:tr>
      <w:tr>
        <w:tc>
          <w:tcPr>
            <w:tcW w:w="2300" w:type="dxa"/>
          </w:tcPr>
          <w:p>
            <w:pPr>
              <w:spacing w:after="40"/>
            </w:pPr>
            <w:r>
              <w:t xml:space="preserve">Genomics (GWAS, WGS)</w:t>
            </w:r>
          </w:p>
        </w:tc>
        <w:tc>
          <w:tcPr>
            <w:tcW w:w="2300" w:type="dxa"/>
          </w:tcPr>
          <w:p>
            <w:pPr>
              <w:spacing w:after="40"/>
            </w:pPr>
            <w:r>
              <w:t xml:space="preserve">Germline variation associated with disease</w:t>
            </w:r>
          </w:p>
        </w:tc>
        <w:tc>
          <w:tcPr>
            <w:tcW w:w="2300" w:type="dxa"/>
          </w:tcPr>
          <w:p>
            <w:pPr>
              <w:spacing w:after="40"/>
            </w:pPr>
            <w:r>
              <w:t xml:space="preserve">Strong causal grounding; not confounded by disease state</w:t>
            </w:r>
          </w:p>
        </w:tc>
        <w:tc>
          <w:tcPr>
            <w:tcW w:w="2300" w:type="dxa"/>
          </w:tcPr>
          <w:p>
            <w:pPr>
              <w:spacing w:after="40"/>
            </w:pPr>
            <w:r>
              <w:t xml:space="preserve">Non-coding variants hard to interpret; small effect sizes</w:t>
            </w:r>
          </w:p>
        </w:tc>
      </w:tr>
      <w:tr>
        <w:tc>
          <w:tcPr>
            <w:tcW w:w="2300" w:type="dxa"/>
          </w:tcPr>
          <w:p>
            <w:pPr>
              <w:spacing w:after="40"/>
            </w:pPr>
            <w:r>
              <w:t xml:space="preserve">Transcriptomics</w:t>
            </w:r>
          </w:p>
        </w:tc>
        <w:tc>
          <w:tcPr>
            <w:tcW w:w="2300" w:type="dxa"/>
          </w:tcPr>
          <w:p>
            <w:pPr>
              <w:spacing w:after="40"/>
            </w:pPr>
            <w:r>
              <w:t xml:space="preserve">Gene expression levels and dynamics</w:t>
            </w:r>
          </w:p>
        </w:tc>
        <w:tc>
          <w:tcPr>
            <w:tcW w:w="2300" w:type="dxa"/>
          </w:tcPr>
          <w:p>
            <w:pPr>
              <w:spacing w:after="40"/>
            </w:pPr>
            <w:r>
              <w:t xml:space="preserve">Captures cellular state and regulation</w:t>
            </w:r>
          </w:p>
        </w:tc>
        <w:tc>
          <w:tcPr>
            <w:tcW w:w="2300" w:type="dxa"/>
          </w:tcPr>
          <w:p>
            <w:pPr>
              <w:spacing w:after="40"/>
            </w:pPr>
            <w:r>
              <w:t xml:space="preserve">Confounded by reverse causation; batch effects</w:t>
            </w:r>
          </w:p>
        </w:tc>
      </w:tr>
      <w:tr>
        <w:tc>
          <w:tcPr>
            <w:tcW w:w="2300" w:type="dxa"/>
          </w:tcPr>
          <w:p>
            <w:pPr>
              <w:spacing w:after="40"/>
            </w:pPr>
            <w:r>
              <w:t xml:space="preserve">Proteomics</w:t>
            </w:r>
          </w:p>
        </w:tc>
        <w:tc>
          <w:tcPr>
            <w:tcW w:w="2300" w:type="dxa"/>
          </w:tcPr>
          <w:p>
            <w:pPr>
              <w:spacing w:after="40"/>
            </w:pPr>
            <w:r>
              <w:t xml:space="preserve">Protein abundance and modification</w:t>
            </w:r>
          </w:p>
        </w:tc>
        <w:tc>
          <w:tcPr>
            <w:tcW w:w="2300" w:type="dxa"/>
          </w:tcPr>
          <w:p>
            <w:pPr>
              <w:spacing w:after="40"/>
            </w:pPr>
            <w:r>
              <w:t xml:space="preserve">Measures functional effectors directly</w:t>
            </w:r>
          </w:p>
        </w:tc>
        <w:tc>
          <w:tcPr>
            <w:tcW w:w="2300" w:type="dxa"/>
          </w:tcPr>
          <w:p>
            <w:pPr>
              <w:spacing w:after="40"/>
            </w:pPr>
            <w:r>
              <w:t xml:space="preserve">Limited depth; technically demanding</w:t>
            </w:r>
          </w:p>
        </w:tc>
      </w:tr>
      <w:tr>
        <w:tc>
          <w:tcPr>
            <w:tcW w:w="2300" w:type="dxa"/>
          </w:tcPr>
          <w:p>
            <w:pPr>
              <w:spacing w:after="40"/>
            </w:pPr>
            <w:r>
              <w:t xml:space="preserve">Metabolomics</w:t>
            </w:r>
          </w:p>
        </w:tc>
        <w:tc>
          <w:tcPr>
            <w:tcW w:w="2300" w:type="dxa"/>
          </w:tcPr>
          <w:p>
            <w:pPr>
              <w:spacing w:after="40"/>
            </w:pPr>
            <w:r>
              <w:t xml:space="preserve">Small-molecule biochemical readouts</w:t>
            </w:r>
          </w:p>
        </w:tc>
        <w:tc>
          <w:tcPr>
            <w:tcW w:w="2300" w:type="dxa"/>
          </w:tcPr>
          <w:p>
            <w:pPr>
              <w:spacing w:after="40"/>
            </w:pPr>
            <w:r>
              <w:t xml:space="preserve">Reflects integrated pathway activity</w:t>
            </w:r>
          </w:p>
        </w:tc>
        <w:tc>
          <w:tcPr>
            <w:tcW w:w="2300" w:type="dxa"/>
          </w:tcPr>
          <w:p>
            <w:pPr>
              <w:spacing w:after="40"/>
            </w:pPr>
            <w:r>
              <w:t xml:space="preserve">Difficult annotation; high variability</w:t>
            </w:r>
          </w:p>
        </w:tc>
      </w:tr>
      <w:tr>
        <w:tc>
          <w:tcPr>
            <w:tcW w:w="2300" w:type="dxa"/>
          </w:tcPr>
          <w:p>
            <w:pPr>
              <w:spacing w:after="40"/>
            </w:pPr>
            <w:r>
              <w:t xml:space="preserve">Single-cell omics</w:t>
            </w:r>
          </w:p>
        </w:tc>
        <w:tc>
          <w:tcPr>
            <w:tcW w:w="2300" w:type="dxa"/>
          </w:tcPr>
          <w:p>
            <w:pPr>
              <w:spacing w:after="40"/>
            </w:pPr>
            <w:r>
              <w:t xml:space="preserve">Cell-resolved molecular profiles</w:t>
            </w:r>
          </w:p>
        </w:tc>
        <w:tc>
          <w:tcPr>
            <w:tcW w:w="2300" w:type="dxa"/>
          </w:tcPr>
          <w:p>
            <w:pPr>
              <w:spacing w:after="40"/>
            </w:pPr>
            <w:r>
              <w:t xml:space="preserve">Resolves cellular heterogeneity</w:t>
            </w:r>
          </w:p>
        </w:tc>
        <w:tc>
          <w:tcPr>
            <w:tcW w:w="2300" w:type="dxa"/>
          </w:tcPr>
          <w:p>
            <w:pPr>
              <w:spacing w:after="40"/>
            </w:pPr>
            <w:r>
              <w:t xml:space="preserve">Sparse, noisy data; high cost</w:t>
            </w:r>
          </w:p>
        </w:tc>
      </w:tr>
      <w:tr>
        <w:tc>
          <w:tcPr>
            <w:tcW w:w="2300" w:type="dxa"/>
          </w:tcPr>
          <w:p>
            <w:pPr>
              <w:spacing w:after="40"/>
            </w:pPr>
            <w:r>
              <w:t xml:space="preserve">Knowledge graphs</w:t>
            </w:r>
          </w:p>
        </w:tc>
        <w:tc>
          <w:tcPr>
            <w:tcW w:w="2300" w:type="dxa"/>
          </w:tcPr>
          <w:p>
            <w:pPr>
              <w:spacing w:after="40"/>
            </w:pPr>
            <w:r>
              <w:t xml:space="preserve">Curated relationships among entities</w:t>
            </w:r>
          </w:p>
        </w:tc>
        <w:tc>
          <w:tcPr>
            <w:tcW w:w="2300" w:type="dxa"/>
          </w:tcPr>
          <w:p>
            <w:pPr>
              <w:spacing w:after="40"/>
            </w:pPr>
            <w:r>
              <w:t xml:space="preserve">Integrates prior knowledge at scale</w:t>
            </w:r>
          </w:p>
        </w:tc>
        <w:tc>
          <w:tcPr>
            <w:tcW w:w="2300" w:type="dxa"/>
          </w:tcPr>
          <w:p>
            <w:pPr>
              <w:spacing w:after="40"/>
            </w:pPr>
            <w:r>
              <w:t xml:space="preserve">Inherits literature bias; incomplete coverage</w:t>
            </w:r>
          </w:p>
        </w:tc>
      </w:tr>
    </w:tbl>
    <w:p/>
    <w:p>
      <w:pPr>
        <w:pStyle w:val="Normal"/>
      </w:pPr>
      <w:r>
        <w:t xml:space="preserve">The advent of single-cell technologies has further transformed the landscape by resolving cellular heterogeneity that is masked in bulk measurements [11]. Diseases such as cancer and neurodegeneration are characterised by the interplay of distinct cell populations, and the ability to identify targets that act selectively within a pathological cell state—while sparing healthy cells—represents a decisive advance in therapeutic precision. Machine learning methods for clustering, trajectory inference, and cell-type deconvolution are indispensable in extracting this information, and they increasingly feed directly into target-nomination pipelines [12].</w:t>
      </w:r>
    </w:p>
    <w:p>
      <w:pPr>
        <w:pStyle w:val="Normal"/>
      </w:pPr>
      <w:r>
        <w:t xml:space="preserve">As indicated in </w:t>
      </w:r>
      <w:r>
        <w:rPr>
          <w:b/>
        </w:rPr>
        <w:t xml:space="preserve">Table 1</w:t>
      </w:r>
      <w:r>
        <w:t xml:space="preserve">, each omics modality carries a distinctive balance of information content and technical limitation, and the art of multi-omics target discovery lies in combining them so that the strengths of one compensate for the weaknesses of another. Genomic data, for instance, offer the strongest causal grounding because germline genetic variation precedes disease and cannot be confounded by reverse causation, yet genomics is largely silent on the dynamic, context-dependent regulation that governs cellular behaviour. Transcriptomic and proteomic data capture that dynamism but are readily confounded by the very disease processes they are meant to illuminate, since it is often impossible to distinguish molecular changes that cause disease from those that merely accompany it. The computational integration of these modalities, when done rigorously, seeks to triangulate towards hypotheses that are supported by convergent evidence across independent data types, and it is this convergence—rather than any single spectacular signal—that confers confidence in a nominated target [9]. Deep learning architectures that learn shared latent representations across modalities have proven particularly adept at capturing such convergent signals, though they demand careful regularisation to avoid overfitting to the idiosyncrasies of small clinical cohorts [10].</w:t>
      </w:r>
    </w:p>
    <w:p>
      <w:pPr>
        <w:pStyle w:val="Heading2"/>
      </w:pPr>
      <w:r>
        <w:t xml:space="preserve">4.1.3 Network Biology and Knowledge Graphs</w:t>
      </w:r>
    </w:p>
    <w:p>
      <w:pPr>
        <w:pStyle w:val="Normal"/>
      </w:pPr>
      <w:r>
        <w:t xml:space="preserve">A complementary and powerful perspective treats biological systems as networks in which nodes represent genes, proteins, metabolites, or diseases, and edges represent the myriad relationships among them, including physical interactions, regulatory influences, and shared functional annotations [13]. Within this framework, target identification becomes a problem of network analysis: candidate targets are those whose perturbation is predicted to propagate through the network in a manner that restores a healthy phenotype. Graph-based machine learning, and in particular graph neural networks, has proven exceptionally well suited to reasoning over these structures because it can learn node representations that capture both local connectivity and global topological context [14].</w:t>
      </w:r>
    </w:p>
    <w:p>
      <w:pPr>
        <w:pStyle w:val="Normal"/>
      </w:pPr>
      <w:r>
        <w:t xml:space="preserve">Biomedical knowledge graphs, which assemble facts extracted from the scientific literature and curated databases into a unified relational structure, have become a central resource for computational target discovery [15]. By embedding the entities of such a graph into a continuous vector space, machine learning models can perform link prediction—inferring previously unknown relationships, such as a candidate association between a gene and a disease—with remarkable accuracy [16]. This capability underlies many contemporary target-discovery platforms, and it exemplifies how the systematic organisation of prior knowledge, combined with representation learning, can surface hypotheses that would elude manual review of the literature [17]. Natural language processing plays an essential enabling role here, because the extraction of structured relationships from the unstructured text of millions of publications is itself a machine learning task of considerable difficulty [18].</w:t>
      </w:r>
    </w:p>
    <w:p>
      <w:pPr>
        <w:pStyle w:val="Normal"/>
      </w:pPr>
      <w:r>
        <w:t xml:space="preserve">The power of the knowledge-graph paradigm derives from its capacity to reason transitively across chains of evidence that no individual investigator would ever assemble by hand. A gene may be linked to a disease not by any direct assertion in the literature, but through an indirect path—the gene participates in a pathway, the pathway is perturbed in a related condition, and that condition shares a molecular signature with the disease of interest. Graph-embedding methods learn to weigh such indirect evidence and to rank the resulting hypotheses, effectively performing at scale the kind of associative reasoning that underlies scientific insight. It must be acknowledged, however, that a knowledge graph is only as good as the knowledge it encodes, and it inevitably inherits the biases of the literature from which it is drawn: well-studied genes accumulate many edges and are therefore easy to connect to new diseases, whereas the understudied genes that may harbour the most valuable untapped opportunities remain sparsely connected and correspondingly difficult for the algorithms to reach [3]. Correcting for this rich-get-richer dynamic, so that the analysis does not merely rediscover what is already popular, is an active and important area of methodological development [17].</w:t>
      </w:r>
    </w:p>
    <w:p>
      <w:pPr>
        <w:pStyle w:val="Normal"/>
      </w:pPr>
      <w:r>
        <w:t xml:space="preserve">The community-scale target-discovery platforms that have emerged in recent years embody the integration of all these strands. They aggregate genetic associations, expression data, pathway memberships, animal-model phenotypes, and literature-derived relationships into a single scored assessment of the evidence linking each gene to each disease, and they expose this assessment through interfaces that allow biologists to interrogate and prioritise candidates systematically [17]. Such platforms do not, and cannot, deliver validated targets, but they transform the initial stages of target discovery from an idiosyncratic and largely manual process into a transparent, reproducible, and auditable one, and in doing so they materially improve the odds that the targets ultimately selected for prosecution are supported by the weight of available evidence [19].</w:t>
      </w:r>
    </w:p>
    <w:p>
      <w:pPr>
        <w:pStyle w:val="Heading2"/>
      </w:pPr>
      <w:r>
        <w:t xml:space="preserve">4.1.4 Target Validation and Assessment of Tractability</w:t>
      </w:r>
    </w:p>
    <w:p>
      <w:pPr>
        <w:pStyle w:val="Normal"/>
      </w:pPr>
      <w:r>
        <w:t xml:space="preserve">Identifying a candidate target is only the first step; the target must then be validated, meaning that convincing evidence must be assembled that modulating it will produce the desired therapeutic effect without unacceptable harm [19]. Artificial intelligence contributes to validation in several ways. Predictive models can estimate the likely consequences of inhibiting or activating a target by integrating evidence from genetic knockouts, expression patterns across tissues, and known phenotypic associations [20]. Crucially, the same models can flag safety concerns early, for instance by identifying targets whose broad tissue expression or involvement in essential physiological processes suggests a high risk of mechanism-based toxicity [21].</w:t>
      </w:r>
    </w:p>
    <w:p>
      <w:pPr>
        <w:pStyle w:val="Normal"/>
      </w:pPr>
      <w:r>
        <w:t xml:space="preserve">The concept of target tractability—whether a target is amenable to modulation by a given therapeutic modality, be it a small molecule, an antibody, or an emerging modality such as a targeted protein degrader—is also increasingly assessed with computational methods [22]. Tractability is a modality-dependent property: a target that presents no suitable pocket for a small molecule may nonetheless be accessible to an antibody if it bears an extracellular epitope, or to a degrader if it can be recruited to the cellular machinery for protein disposal, or to an oligonucleotide therapeutic that acts at the level of its messenger RNA. The expansion of the therapeutic modality repertoire has consequently enlarged the set of tractable targets, and computational assessment must keep pace by evaluating tractability across all the modalities in the modern armamentarium rather than defaulting to the historical assumption that a target is only as good as its small-molecule pocket. This broadening is one of the ways in which artificial intelligence is helping to open the so-called undruggable fraction of the proteome, by identifying which of the previously neglected modalities might render a given target accessible [23]. Structural bioinformatics and, more recently, highly accurate protein structure prediction have made it possible to evaluate whether a target possesses a druggable binding pocket even in the absence of an experimentally determined structure [23]. The transformative accuracy achieved by deep-learning-based structure prediction has effectively removed a long-standing bottleneck, because reliable structural models are now available for essentially the entire human proteome, greatly expanding the set of targets that can be pursued through structure-based approaches [24]. </w:t>
      </w:r>
      <w:r>
        <w:rPr>
          <w:b/>
        </w:rPr>
        <w:t xml:space="preserve">Figure 1</w:t>
      </w:r>
      <w:r>
        <w:t xml:space="preserve"> illustrates the integrated workflow by which multi-omics data, network analysis, and structural assessment converge to nominate and validate candidate targets.</w:t>
      </w:r>
    </w:p>
    <w:p>
      <w:pPr>
        <w:jc w:val="center"/>
        <w:spacing w:before="200" w:after="60"/>
      </w:pPr>
      <w:r>
        <w:drawing>
          <wp:inline xmlns:wp="http://schemas.openxmlformats.org/drawingml/2006/wordprocessingDrawing" distT="0" distB="0" distL="0" distR="0">
            <wp:extent cx="5715000" cy="3752850"/>
            <wp:docPr id="1" name="Figure_1_Target_Identification.png"/>
            <a:graphic xmlns:a="http://schemas.openxmlformats.org/drawingml/2006/main">
              <a:graphicData uri="http://schemas.openxmlformats.org/drawingml/2006/picture">
                <pic:pic xmlns:pic="http://schemas.openxmlformats.org/drawingml/2006/picture">
                  <pic:nvPicPr>
                    <pic:cNvPr id="0" name="Figure_1_Target_Identification.png"/>
                    <pic:cNvPicPr/>
                  </pic:nvPicPr>
                  <pic:blipFill>
                    <a:blip r:embed="rId2"/>
                    <a:stretch>
                      <a:fillRect/>
                    </a:stretch>
                  </pic:blipFill>
                  <pic:spPr>
                    <a:xfrm>
                      <a:off x="0" y="0"/>
                      <a:ext cx="5715000" cy="3752850"/>
                    </a:xfrm>
                    <a:prstGeom prst="rect">
                      <a:avLst/>
                    </a:prstGeom>
                  </pic:spPr>
                </pic:pic>
              </a:graphicData>
            </a:graphic>
          </wp:inline>
        </w:drawing>
      </w:r>
    </w:p>
    <w:p>
      <w:pPr>
        <w:pStyle w:val="FigureCaption"/>
      </w:pPr>
      <w:r>
        <w:t xml:space="preserve">Figure 1. Integrated AI workflow for target identification and validation, in which multi-omics and knowledge inputs are fused by machine learning models, ranked and assessed for tractability, and iteratively refined through experimental feedback.</w:t>
      </w:r>
    </w:p>
    <w:p>
      <w:pPr>
        <w:pStyle w:val="Normal"/>
      </w:pPr>
      <w:r>
        <w:t xml:space="preserve">Despite these advances, target validation remains the domain in which computational prediction and biological reality most frequently diverge, and it would be a serious error to regard an AI-nominated target as validated in any meaningful sense until it has withstood rigorous experimental scrutiny [25]. The most productive posture is one in which computational methods sharpen and prioritise the experimental programme rather than substituting for it, ensuring that scarce laboratory resources are directed towards the hypotheses with the greatest prior probability of success [26].</w:t>
      </w:r>
    </w:p>
    <w:p>
      <w:pPr>
        <w:pStyle w:val="Normal"/>
      </w:pPr>
      <w:r>
        <w:t xml:space="preserve">The workflow depicted in </w:t>
      </w:r>
      <w:r>
        <w:rPr>
          <w:b/>
        </w:rPr>
        <w:t xml:space="preserve">Figure 1</w:t>
      </w:r>
      <w:r>
        <w:t xml:space="preserve"> should therefore be understood not as a linear pipeline that terminates in a validated target, but as an iterative cycle in which computational nomination and experimental interrogation continually inform one another. A candidate emerging from the integrative analysis is subjected to functional experiments—genetic perturbation through knockdown or knockout, chemical probing where suitable tool compounds exist, and phenotypic assays in disease-relevant model systems—and the results of these experiments are returned to the computational layer, where they refine the models and re-rank the remaining candidates. This tight coupling of prediction and experiment is the hallmark of mature computational target discovery, and it stands in contrast to the naive expectation that an algorithm might simply output a list of validated targets ready for drug discovery. The reproducibility crisis that has afflicted preclinical biology serves as a sobering reminder that even carefully executed experiments can mislead, and it reinforces the case for demanding convergent evidence from multiple orthogonal lines of enquiry before committing the substantial resources required to prosecute a target through a full discovery campaign [25].</w:t>
      </w:r>
    </w:p>
    <w:p>
      <w:pPr>
        <w:pStyle w:val="Heading1"/>
      </w:pPr>
      <w:r>
        <w:t xml:space="preserve">4.2 Virtual Screening and Drug–Target Interaction Prediction</w:t>
      </w:r>
    </w:p>
    <w:p>
      <w:pPr>
        <w:pStyle w:val="Heading2"/>
      </w:pPr>
      <w:r>
        <w:t xml:space="preserve">4.2.1 From Physical Screening to Computational Triage</w:t>
      </w:r>
    </w:p>
    <w:p>
      <w:pPr>
        <w:pStyle w:val="Normal"/>
      </w:pPr>
      <w:r>
        <w:t xml:space="preserve">Once a validated target is in hand, the search for molecules that bind and modulate it begins. Traditional high-throughput screening involves the physical assay of large chemical libraries, an approach that is powerful but costly, slow, and limited by the finite size of the compound collections that can practically be tested [27]. Even the largest institutional screening collections number in the low millions of compounds, a figure that, however impressive in absolute terms, represents an infinitesimal sample of the drug-like chemical space that in principle exists. Moreover, the composition of historical screening libraries reflects the synthetic and commercial priorities of the past, so that they are enriched in certain well-trodden regions of chemistry and impoverished in others, with the consequence that physical screening systematically fails to sample vast tracts of potentially fruitful chemical space [29]. Virtual screening reframes this challenge as a computational one, in which enormous virtual libraries—now routinely comprising billions of enumerated but not yet synthesised molecules—are triaged in silico to identify the small subset most likely to exhibit the desired activity [28]. The scale of accessible chemical space is staggering; estimates of the number of synthetically feasible drug-like molecules exceed the number of atoms in the observable galaxy, and only computational methods can hope to navigate such vastness [29].</w:t>
      </w:r>
    </w:p>
    <w:p>
      <w:pPr>
        <w:pStyle w:val="Normal"/>
      </w:pPr>
      <w:r>
        <w:t xml:space="preserve">Virtual screening is conventionally divided into structure-based and ligand-based paradigms. Structure-based methods exploit the three-dimensional structure of the target to predict how candidate molecules will dock into its binding site, whereas ligand-based methods infer activity from the chemical similarity between candidate molecules and compounds already known to be active [30]. Both paradigms have been profoundly reshaped by artificial intelligence, which has improved the accuracy of scoring functions, accelerated the evaluation of vast libraries, and enabled the extraction of subtle structure–activity relationships from historical screening data [31]. </w:t>
      </w:r>
      <w:r>
        <w:rPr>
          <w:b/>
        </w:rPr>
        <w:t xml:space="preserve">Table 2</w:t>
      </w:r>
      <w:r>
        <w:t xml:space="preserve"> compares the principal virtual screening strategies with respect to their data requirements, computational cost, and typical applications.</w:t>
      </w:r>
    </w:p>
    <w:p>
      <w:pPr>
        <w:pStyle w:val="TableCaption"/>
      </w:pPr>
      <w:r>
        <w:rPr>
          <w:b/>
        </w:rPr>
        <w:t xml:space="preserve">Table 2.</w:t>
      </w:r>
      <w:r>
        <w:t xml:space="preserve"> Comparison of principal virtual screening strategies enhanced by artificial intelligence.</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c>
          <w:tcPr>
            <w:tcW w:w="1840" w:type="dxa"/>
            <w:shd w:val="clear" w:color="auto" w:fill="D9E2F3"/>
          </w:tcPr>
          <w:p>
            <w:pPr>
              <w:jc w:val="center"/>
              <w:spacing w:after="40"/>
            </w:pPr>
            <w:r>
              <w:rPr>
                <w:b/>
              </w:rPr>
              <w:t xml:space="preserve">Strategy</w:t>
            </w:r>
          </w:p>
        </w:tc>
        <w:tc>
          <w:tcPr>
            <w:tcW w:w="1840" w:type="dxa"/>
            <w:shd w:val="clear" w:color="auto" w:fill="D9E2F3"/>
          </w:tcPr>
          <w:p>
            <w:pPr>
              <w:jc w:val="center"/>
              <w:spacing w:after="40"/>
            </w:pPr>
            <w:r>
              <w:rPr>
                <w:b/>
              </w:rPr>
              <w:t xml:space="preserve">Requires Target Structure</w:t>
            </w:r>
          </w:p>
        </w:tc>
        <w:tc>
          <w:tcPr>
            <w:tcW w:w="1840" w:type="dxa"/>
            <w:shd w:val="clear" w:color="auto" w:fill="D9E2F3"/>
          </w:tcPr>
          <w:p>
            <w:pPr>
              <w:jc w:val="center"/>
              <w:spacing w:after="40"/>
            </w:pPr>
            <w:r>
              <w:rPr>
                <w:b/>
              </w:rPr>
              <w:t xml:space="preserve">Requires Known Actives</w:t>
            </w:r>
          </w:p>
        </w:tc>
        <w:tc>
          <w:tcPr>
            <w:tcW w:w="1840" w:type="dxa"/>
            <w:shd w:val="clear" w:color="auto" w:fill="D9E2F3"/>
          </w:tcPr>
          <w:p>
            <w:pPr>
              <w:jc w:val="center"/>
              <w:spacing w:after="40"/>
            </w:pPr>
            <w:r>
              <w:rPr>
                <w:b/>
              </w:rPr>
              <w:t xml:space="preserve">Typical Computational Cost</w:t>
            </w:r>
          </w:p>
        </w:tc>
        <w:tc>
          <w:tcPr>
            <w:tcW w:w="1840" w:type="dxa"/>
            <w:shd w:val="clear" w:color="auto" w:fill="D9E2F3"/>
          </w:tcPr>
          <w:p>
            <w:pPr>
              <w:jc w:val="center"/>
              <w:spacing w:after="40"/>
            </w:pPr>
            <w:r>
              <w:rPr>
                <w:b/>
              </w:rPr>
              <w:t xml:space="preserve">Representative Use Case</w:t>
            </w:r>
          </w:p>
        </w:tc>
      </w:tr>
      <w:tr>
        <w:tc>
          <w:tcPr>
            <w:tcW w:w="1840" w:type="dxa"/>
          </w:tcPr>
          <w:p>
            <w:pPr>
              <w:spacing w:after="40"/>
            </w:pPr>
            <w:r>
              <w:t xml:space="preserve">Molecular docking (classical)</w:t>
            </w:r>
          </w:p>
        </w:tc>
        <w:tc>
          <w:tcPr>
            <w:tcW w:w="1840" w:type="dxa"/>
          </w:tcPr>
          <w:p>
            <w:pPr>
              <w:spacing w:after="40"/>
            </w:pPr>
            <w:r>
              <w:t xml:space="preserve">Yes</w:t>
            </w:r>
          </w:p>
        </w:tc>
        <w:tc>
          <w:tcPr>
            <w:tcW w:w="1840" w:type="dxa"/>
          </w:tcPr>
          <w:p>
            <w:pPr>
              <w:spacing w:after="40"/>
            </w:pPr>
            <w:r>
              <w:t xml:space="preserve">No</w:t>
            </w:r>
          </w:p>
        </w:tc>
        <w:tc>
          <w:tcPr>
            <w:tcW w:w="1840" w:type="dxa"/>
          </w:tcPr>
          <w:p>
            <w:pPr>
              <w:spacing w:after="40"/>
            </w:pPr>
            <w:r>
              <w:t xml:space="preserve">Moderate per compound</w:t>
            </w:r>
          </w:p>
        </w:tc>
        <w:tc>
          <w:tcPr>
            <w:tcW w:w="1840" w:type="dxa"/>
          </w:tcPr>
          <w:p>
            <w:pPr>
              <w:spacing w:after="40"/>
            </w:pPr>
            <w:r>
              <w:t xml:space="preserve">Fragment-based and pocket-focused screens</w:t>
            </w:r>
          </w:p>
        </w:tc>
      </w:tr>
      <w:tr>
        <w:tc>
          <w:tcPr>
            <w:tcW w:w="1840" w:type="dxa"/>
          </w:tcPr>
          <w:p>
            <w:pPr>
              <w:spacing w:after="40"/>
            </w:pPr>
            <w:r>
              <w:t xml:space="preserve">ML scoring functions</w:t>
            </w:r>
          </w:p>
        </w:tc>
        <w:tc>
          <w:tcPr>
            <w:tcW w:w="1840" w:type="dxa"/>
          </w:tcPr>
          <w:p>
            <w:pPr>
              <w:spacing w:after="40"/>
            </w:pPr>
            <w:r>
              <w:t xml:space="preserve">Yes</w:t>
            </w:r>
          </w:p>
        </w:tc>
        <w:tc>
          <w:tcPr>
            <w:tcW w:w="1840" w:type="dxa"/>
          </w:tcPr>
          <w:p>
            <w:pPr>
              <w:spacing w:after="40"/>
            </w:pPr>
            <w:r>
              <w:t xml:space="preserve">Yes (for training)</w:t>
            </w:r>
          </w:p>
        </w:tc>
        <w:tc>
          <w:tcPr>
            <w:tcW w:w="1840" w:type="dxa"/>
          </w:tcPr>
          <w:p>
            <w:pPr>
              <w:spacing w:after="40"/>
            </w:pPr>
            <w:r>
              <w:t xml:space="preserve">Low at inference</w:t>
            </w:r>
          </w:p>
        </w:tc>
        <w:tc>
          <w:tcPr>
            <w:tcW w:w="1840" w:type="dxa"/>
          </w:tcPr>
          <w:p>
            <w:pPr>
              <w:spacing w:after="40"/>
            </w:pPr>
            <w:r>
              <w:t xml:space="preserve">Re-scoring docking poses at scale</w:t>
            </w:r>
          </w:p>
        </w:tc>
      </w:tr>
      <w:tr>
        <w:tc>
          <w:tcPr>
            <w:tcW w:w="1840" w:type="dxa"/>
          </w:tcPr>
          <w:p>
            <w:pPr>
              <w:spacing w:after="40"/>
            </w:pPr>
            <w:r>
              <w:t xml:space="preserve">Ligand-based similarity</w:t>
            </w:r>
          </w:p>
        </w:tc>
        <w:tc>
          <w:tcPr>
            <w:tcW w:w="1840" w:type="dxa"/>
          </w:tcPr>
          <w:p>
            <w:pPr>
              <w:spacing w:after="40"/>
            </w:pPr>
            <w:r>
              <w:t xml:space="preserve">No</w:t>
            </w:r>
          </w:p>
        </w:tc>
        <w:tc>
          <w:tcPr>
            <w:tcW w:w="1840" w:type="dxa"/>
          </w:tcPr>
          <w:p>
            <w:pPr>
              <w:spacing w:after="40"/>
            </w:pPr>
            <w:r>
              <w:t xml:space="preserve">Yes</w:t>
            </w:r>
          </w:p>
        </w:tc>
        <w:tc>
          <w:tcPr>
            <w:tcW w:w="1840" w:type="dxa"/>
          </w:tcPr>
          <w:p>
            <w:pPr>
              <w:spacing w:after="40"/>
            </w:pPr>
            <w:r>
              <w:t xml:space="preserve">Very low</w:t>
            </w:r>
          </w:p>
        </w:tc>
        <w:tc>
          <w:tcPr>
            <w:tcW w:w="1840" w:type="dxa"/>
          </w:tcPr>
          <w:p>
            <w:pPr>
              <w:spacing w:after="40"/>
            </w:pPr>
            <w:r>
              <w:t xml:space="preserve">Scaffold hopping from known ligands</w:t>
            </w:r>
          </w:p>
        </w:tc>
      </w:tr>
      <w:tr>
        <w:tc>
          <w:tcPr>
            <w:tcW w:w="1840" w:type="dxa"/>
          </w:tcPr>
          <w:p>
            <w:pPr>
              <w:spacing w:after="40"/>
            </w:pPr>
            <w:r>
              <w:t xml:space="preserve">QSAR / ML classifiers</w:t>
            </w:r>
          </w:p>
        </w:tc>
        <w:tc>
          <w:tcPr>
            <w:tcW w:w="1840" w:type="dxa"/>
          </w:tcPr>
          <w:p>
            <w:pPr>
              <w:spacing w:after="40"/>
            </w:pPr>
            <w:r>
              <w:t xml:space="preserve">No</w:t>
            </w:r>
          </w:p>
        </w:tc>
        <w:tc>
          <w:tcPr>
            <w:tcW w:w="1840" w:type="dxa"/>
          </w:tcPr>
          <w:p>
            <w:pPr>
              <w:spacing w:after="40"/>
            </w:pPr>
            <w:r>
              <w:t xml:space="preserve">Yes</w:t>
            </w:r>
          </w:p>
        </w:tc>
        <w:tc>
          <w:tcPr>
            <w:tcW w:w="1840" w:type="dxa"/>
          </w:tcPr>
          <w:p>
            <w:pPr>
              <w:spacing w:after="40"/>
            </w:pPr>
            <w:r>
              <w:t xml:space="preserve">Low</w:t>
            </w:r>
          </w:p>
        </w:tc>
        <w:tc>
          <w:tcPr>
            <w:tcW w:w="1840" w:type="dxa"/>
          </w:tcPr>
          <w:p>
            <w:pPr>
              <w:spacing w:after="40"/>
            </w:pPr>
            <w:r>
              <w:t xml:space="preserve">Activity prediction within a series</w:t>
            </w:r>
          </w:p>
        </w:tc>
      </w:tr>
      <w:tr>
        <w:tc>
          <w:tcPr>
            <w:tcW w:w="1840" w:type="dxa"/>
          </w:tcPr>
          <w:p>
            <w:pPr>
              <w:spacing w:after="40"/>
            </w:pPr>
            <w:r>
              <w:t xml:space="preserve">Deep DTI models</w:t>
            </w:r>
          </w:p>
        </w:tc>
        <w:tc>
          <w:tcPr>
            <w:tcW w:w="1840" w:type="dxa"/>
          </w:tcPr>
          <w:p>
            <w:pPr>
              <w:spacing w:after="40"/>
            </w:pPr>
            <w:r>
              <w:t xml:space="preserve">No</w:t>
            </w:r>
          </w:p>
        </w:tc>
        <w:tc>
          <w:tcPr>
            <w:tcW w:w="1840" w:type="dxa"/>
          </w:tcPr>
          <w:p>
            <w:pPr>
              <w:spacing w:after="40"/>
            </w:pPr>
            <w:r>
              <w:t xml:space="preserve">Yes</w:t>
            </w:r>
          </w:p>
        </w:tc>
        <w:tc>
          <w:tcPr>
            <w:tcW w:w="1840" w:type="dxa"/>
          </w:tcPr>
          <w:p>
            <w:pPr>
              <w:spacing w:after="40"/>
            </w:pPr>
            <w:r>
              <w:t xml:space="preserve">Low at inference</w:t>
            </w:r>
          </w:p>
        </w:tc>
        <w:tc>
          <w:tcPr>
            <w:tcW w:w="1840" w:type="dxa"/>
          </w:tcPr>
          <w:p>
            <w:pPr>
              <w:spacing w:after="40"/>
            </w:pPr>
            <w:r>
              <w:t xml:space="preserve">Proteome-wide interaction and off-target prediction</w:t>
            </w:r>
          </w:p>
        </w:tc>
      </w:tr>
      <w:tr>
        <w:tc>
          <w:tcPr>
            <w:tcW w:w="1840" w:type="dxa"/>
          </w:tcPr>
          <w:p>
            <w:pPr>
              <w:spacing w:after="40"/>
            </w:pPr>
            <w:r>
              <w:t xml:space="preserve">Ultra-large library docking</w:t>
            </w:r>
          </w:p>
        </w:tc>
        <w:tc>
          <w:tcPr>
            <w:tcW w:w="1840" w:type="dxa"/>
          </w:tcPr>
          <w:p>
            <w:pPr>
              <w:spacing w:after="40"/>
            </w:pPr>
            <w:r>
              <w:t xml:space="preserve">Yes</w:t>
            </w:r>
          </w:p>
        </w:tc>
        <w:tc>
          <w:tcPr>
            <w:tcW w:w="1840" w:type="dxa"/>
          </w:tcPr>
          <w:p>
            <w:pPr>
              <w:spacing w:after="40"/>
            </w:pPr>
            <w:r>
              <w:t xml:space="preserve">No</w:t>
            </w:r>
          </w:p>
        </w:tc>
        <w:tc>
          <w:tcPr>
            <w:tcW w:w="1840" w:type="dxa"/>
          </w:tcPr>
          <w:p>
            <w:pPr>
              <w:spacing w:after="40"/>
            </w:pPr>
            <w:r>
              <w:t xml:space="preserve">Very high (billions of compounds)</w:t>
            </w:r>
          </w:p>
        </w:tc>
        <w:tc>
          <w:tcPr>
            <w:tcW w:w="1840" w:type="dxa"/>
          </w:tcPr>
          <w:p>
            <w:pPr>
              <w:spacing w:after="40"/>
            </w:pPr>
            <w:r>
              <w:t xml:space="preserve">Discovery of novel chemotypes</w:t>
            </w:r>
          </w:p>
        </w:tc>
      </w:tr>
    </w:tbl>
    <w:p/>
    <w:p>
      <w:pPr>
        <w:pStyle w:val="Normal"/>
      </w:pPr>
      <w:r>
        <w:t xml:space="preserve">The choice among these strategies is dictated by the resources available to a project. When a high-quality experimental structure of the target exists, structure-based docking offers the appealing prospect of discovering entirely novel chemotypes that bear no resemblance to any known ligand, a capability that ligand-based methods cannot match by construction. When, on the other hand, a corpus of known active molecules is available but no reliable structure, ligand-based and machine-learning classifiers become the tools of choice, and their predictions can be extraordinarily effective within the chemical neighbourhood of the training data even as they degrade rapidly beyond it. In practice, sophisticated campaigns deploy these approaches in combination and in sequence, using cheap ligand-based filters to reduce a vast library to a tractable subset that is then subjected to more expensive structure-based evaluation [30].</w:t>
      </w:r>
    </w:p>
    <w:p>
      <w:pPr>
        <w:pStyle w:val="Heading2"/>
      </w:pPr>
      <w:r>
        <w:t xml:space="preserve">4.2.2 Machine Learning Scoring Functions and Molecular Docking</w:t>
      </w:r>
    </w:p>
    <w:p>
      <w:pPr>
        <w:pStyle w:val="Normal"/>
      </w:pPr>
      <w:r>
        <w:t xml:space="preserve">Molecular docking predicts the preferred orientation and conformation of a ligand within a target binding site and estimates the associated binding affinity through a scoring function [32]. Classical scoring functions, grounded in physical approximations of the interaction energy, are computationally efficient but frequently inaccurate, particularly in their ranking of closely related compounds [33]. Machine learning scoring functions, trained on large datasets of protein–ligand complexes with measured affinities, learn the mapping from structural features to binding strength directly from data, and they have consistently outperformed classical functions on benchmark evaluations [34]. Deep learning approaches that operate on three-dimensional representations of the binding interface, including three-dimensional convolutional neural networks and graph neural networks that treat the complex as an interacting graph of atoms, have pushed this performance still further [35].</w:t>
      </w:r>
    </w:p>
    <w:p>
      <w:pPr>
        <w:pStyle w:val="Normal"/>
      </w:pPr>
      <w:r>
        <w:t xml:space="preserve">The fundamental appeal of the machine learning approach to scoring is that it declines to specify in advance the functional form of the relationship between structure and affinity, instead allowing that relationship to be inferred from data. Classical scoring functions embody a physicist's ambition to capture binding through explicit, interpretable terms representing electrostatics, hydrogen bonding, hydrophobic contact, and desolvation, but the true energetics of molecular recognition are subtle, involving cooperative effects, water-mediated interactions, and conformational entropy that resist simple parameterisation. A sufficiently expressive learned model can, in principle, absorb these complexities directly from examples, and the steady accumulation of high-quality structural and affinity data has made this increasingly feasible [33]. Graph neural networks are especially natural in this setting because a protein–ligand complex is, quite literally, a graph of atoms connected by bonds and non-bonded contacts, and message-passing over this graph allows the model to build up a representation of the interaction that reflects its three-dimensional reality [35].</w:t>
      </w:r>
    </w:p>
    <w:p>
      <w:pPr>
        <w:pStyle w:val="Normal"/>
      </w:pPr>
      <w:r>
        <w:t xml:space="preserve">Nevertheless, caution is warranted, because the impressive benchmark performance of these models can be inflated by hidden biases in the training and evaluation data, such that a model may appear to predict binding when it is in fact exploiting spurious correlations between molecular properties and dataset composition [36]. Rigorous benchmarking with carefully constructed data splits that prevent information leakage between training and test sets is therefore essential, and the field has become appropriately attentive to these methodological pitfalls [37]. The practical implication is that the reported accuracy of a virtual screening method must always be interpreted in light of how it was evaluated, and prospective validation—applying the method to genuinely novel targets and confirming the predictions experimentally—remains the gold standard [38].</w:t>
      </w:r>
    </w:p>
    <w:p>
      <w:pPr>
        <w:pStyle w:val="Heading2"/>
      </w:pPr>
      <w:r>
        <w:t xml:space="preserve">4.2.3 Drug–Target Interaction Prediction as a Learning Problem</w:t>
      </w:r>
    </w:p>
    <w:p>
      <w:pPr>
        <w:pStyle w:val="Normal"/>
      </w:pPr>
      <w:r>
        <w:t xml:space="preserve">A broader and increasingly influential framing treats the prediction of drug–target interactions as a machine learning problem in its own right, independent of any explicit modelling of three-dimensional structure [39]. In this formulation, drugs are represented by their chemical structures—encoded, for example, as molecular graphs or as sequences of chemical tokens—and targets are represented by their amino acid sequences or by learned embeddings, and a model is trained to predict whether a given drug–target pair interacts and, ideally, with what affinity [40]. This paradigm is attractive because it can exploit the abundant data on known interactions without requiring a solved structure for every target, and it naturally accommodates the prediction of off-target effects and polypharmacology, in which a single molecule engages multiple targets [41].</w:t>
      </w:r>
    </w:p>
    <w:p>
      <w:pPr>
        <w:pStyle w:val="Normal"/>
      </w:pPr>
      <w:r>
        <w:t xml:space="preserve">The architectural repertoire for this task has expanded rapidly. Graph neural networks encode the connectivity of molecular structures; transformer models, adapted from natural language processing, treat chemical and protein sequences as languages to be learned; and hybrid architectures fuse these representations to capture the complementary information carried by drug and target [42]. Self-supervised pre-training on massive unlabelled chemical and protein corpora, followed by fine-tuning on the comparatively scarce labelled interaction data, has emerged as a particularly effective strategy, mirroring the paradigm that has proven so successful in language modelling [43]. </w:t>
      </w:r>
      <w:r>
        <w:rPr>
          <w:b/>
        </w:rPr>
        <w:t xml:space="preserve">Figure 2</w:t>
      </w:r>
      <w:r>
        <w:t xml:space="preserve"> depicts a representative deep-learning architecture for drug–target interaction prediction, in which separate encoders process the drug and target before their representations are combined to yield an interaction prediction.</w:t>
      </w:r>
    </w:p>
    <w:p>
      <w:pPr>
        <w:jc w:val="center"/>
        <w:spacing w:before="200" w:after="60"/>
      </w:pPr>
      <w:r>
        <w:drawing>
          <wp:inline xmlns:wp="http://schemas.openxmlformats.org/drawingml/2006/wordprocessingDrawing" distT="0" distB="0" distL="0" distR="0">
            <wp:extent cx="5715000" cy="3600450"/>
            <wp:docPr id="1" name="Figure_2_DTI_Architecture.png"/>
            <a:graphic xmlns:a="http://schemas.openxmlformats.org/drawingml/2006/main">
              <a:graphicData uri="http://schemas.openxmlformats.org/drawingml/2006/picture">
                <pic:pic xmlns:pic="http://schemas.openxmlformats.org/drawingml/2006/picture">
                  <pic:nvPicPr>
                    <pic:cNvPr id="0" name="Figure_2_DTI_Architecture.png"/>
                    <pic:cNvPicPr/>
                  </pic:nvPicPr>
                  <pic:blipFill>
                    <a:blip r:embed="rId3"/>
                    <a:stretch>
                      <a:fillRect/>
                    </a:stretch>
                  </pic:blipFill>
                  <pic:spPr>
                    <a:xfrm>
                      <a:off x="0" y="0"/>
                      <a:ext cx="5715000" cy="3600450"/>
                    </a:xfrm>
                    <a:prstGeom prst="rect">
                      <a:avLst/>
                    </a:prstGeom>
                  </pic:spPr>
                </pic:pic>
              </a:graphicData>
            </a:graphic>
          </wp:inline>
        </w:drawing>
      </w:r>
    </w:p>
    <w:p>
      <w:pPr>
        <w:pStyle w:val="FigureCaption"/>
      </w:pPr>
      <w:r>
        <w:t xml:space="preserve">Figure 2. Representative dual-encoder deep learning architecture for drug-target interaction prediction, with independent drug and target encoders whose representations are fused before a prediction head estimates interaction and binding affinity.</w:t>
      </w:r>
    </w:p>
    <w:p>
      <w:pPr>
        <w:pStyle w:val="Normal"/>
      </w:pPr>
      <w:r>
        <w:t xml:space="preserve">The dual-encoder design shown in </w:t>
      </w:r>
      <w:r>
        <w:rPr>
          <w:b/>
        </w:rPr>
        <w:t xml:space="preserve">Figure 2</w:t>
      </w:r>
      <w:r>
        <w:t xml:space="preserve"> has become something of a canonical template, and its modularity is a large part of its appeal. Because the drug encoder and the target encoder are independent until the point of fusion, each can be pre-trained separately on the abundant unlabelled data available in its respective domain—vast repositories of chemical structures for the drug encoder and the enormous corpus of protein sequences for the target encoder—before the two are joined and fine-tuned on the far scarcer labelled interaction data [43]. This division of labour allows the model to acquire a rich, general understanding of chemistry and of protein biology before it is ever asked to predict a specific interaction, and it is precisely this transfer of knowledge from unlabelled to labelled tasks that accounts for much of the recent progress in the field. The same architecture generalises naturally from binary interaction prediction to the regression of continuous binding affinities, and to the simultaneous prediction of interactions across many targets, which is the computational substrate for anticipating off-target effects and polypharmacology [41].</w:t>
      </w:r>
    </w:p>
    <w:p>
      <w:pPr>
        <w:pStyle w:val="Normal"/>
      </w:pPr>
      <w:r>
        <w:t xml:space="preserve">A recurring difficulty, however, concerns the manner in which these models are evaluated, and it echoes the concern raised for structure-based scoring functions. When the drug–target pairs in a test set share drugs or targets with the training set—as they routinely do under naive random splitting—a model can achieve deceptively high accuracy simply by memorising which drugs and which targets tend to interact, without learning anything transferable about the chemistry of binding [37]. Realistic evaluation demands splits in which entire drugs, entire targets, or both are held out from training, and performance under these stringent conditions is invariably and instructively lower. The strategies compared in </w:t>
      </w:r>
      <w:r>
        <w:rPr>
          <w:b/>
        </w:rPr>
        <w:t xml:space="preserve">Table 2</w:t>
      </w:r>
      <w:r>
        <w:t xml:space="preserve"> must therefore each be judged against evaluation protocols appropriate to their intended deployment, and the headline metrics reported in the literature should be read with a critical eye towards the split under which they were obtained [36].</w:t>
      </w:r>
    </w:p>
    <w:p>
      <w:pPr>
        <w:pStyle w:val="Heading2"/>
      </w:pPr>
      <w:r>
        <w:t xml:space="preserve">4.2.4 Practical Considerations and the Interpretability Imperative</w:t>
      </w:r>
    </w:p>
    <w:p>
      <w:pPr>
        <w:pStyle w:val="Normal"/>
      </w:pPr>
      <w:r>
        <w:t xml:space="preserve">The deployment of these methods in real discovery campaigns raises practical considerations that are easily overlooked in purely methodological studies. The predictions of a virtual screen are only as useful as the fraction that survive experimental confirmation, and the enrichment of true actives among the computationally prioritised compounds—rather than any abstract measure of model accuracy—is the metric that ultimately matters to a project team [44]. A screening method that assigns high scores to a great many compounds, only a handful of which prove active on testing, imposes a heavy experimental burden and may in practice be less useful than a more conservative method that nominates fewer compounds with a higher confirmation rate. The relevant question is not how accurately a model classifies molecules in the abstract, but how efficiently it converts computational effort into confirmed hits, and this is a property that can only be assessed prospectively, by acting on the predictions and measuring the outcome. Moreover, the compounds nominated by a screen must be synthetically accessible and possess drug-like physicochemical properties, considerations that are increasingly incorporated directly into the screening objective rather than applied as an afterthought [45].</w:t>
      </w:r>
    </w:p>
    <w:p>
      <w:pPr>
        <w:pStyle w:val="Normal"/>
      </w:pPr>
      <w:r>
        <w:t xml:space="preserve">Interpretability is a further concern of growing importance. A model that predicts a drug–target interaction without offering any insight into the structural basis of that prediction is of limited value to a medicinal chemist seeking to improve a molecule, and there is accordingly strong interest in methods that highlight the molecular substructures or the protein residues responsible for a predicted interaction [46]. The tension between predictive accuracy and interpretability is real, and the appropriate balance depends on the intended use; for an initial triage of billions of molecules raw accuracy may suffice, whereas for the guidance of iterative optimisation an interpretable model that a chemist can reason with is often preferable [47].</w:t>
      </w:r>
    </w:p>
    <w:p>
      <w:pPr>
        <w:pStyle w:val="Heading2"/>
      </w:pPr>
      <w:r>
        <w:t xml:space="preserve">4.2.5 Landmark Demonstrations of Computational Screening</w:t>
      </w:r>
    </w:p>
    <w:p>
      <w:pPr>
        <w:pStyle w:val="Normal"/>
      </w:pPr>
      <w:r>
        <w:t xml:space="preserve">The credibility of any computational method rests ultimately on prospective success, and virtual screening has now accumulated a number of landmark demonstrations that lend it genuine authority. The docking of ultra-large virtual libraries, comprising hundreds of millions of make-on-demand molecules against well-characterised targets, has yielded confirmed binders with novel scaffolds and high hit rates, establishing that the sheer scale accessible to computation can translate into practical discovery when the underlying scoring is sound [38]. In a widely noted example from antibacterial discovery, a deep learning model trained to predict growth-inhibitory activity, and then applied to screen chemical libraries far beyond the diversity of its training data, identified a structurally unusual compound with potent, broad-spectrum activity that was subsequently confirmed experimentally—a striking illustration of a model generalising to genuinely novel chemistry rather than merely interpolating within familiar space [31]. Such demonstrations are important not because they prove that computation can replace experiment, but because they establish that thoughtfully constructed models, rigorously validated, can surface candidates that conventional approaches would have missed [30]. The prudent reading of these successes is that virtual screening has earned a permanent and central place in the discovery toolkit, while the failures and false starts that accompany them counsel against uncritical extrapolation from any single result [44].</w:t>
      </w:r>
    </w:p>
    <w:p>
      <w:pPr>
        <w:pStyle w:val="Heading1"/>
      </w:pPr>
      <w:r>
        <w:t xml:space="preserve">4.3 Lead Identification, Optimization, and Drug Repurposing</w:t>
      </w:r>
    </w:p>
    <w:p>
      <w:pPr>
        <w:pStyle w:val="Heading2"/>
      </w:pPr>
      <w:r>
        <w:t xml:space="preserve">4.3.1 From Hits to Leads</w:t>
      </w:r>
    </w:p>
    <w:p>
      <w:pPr>
        <w:pStyle w:val="Normal"/>
      </w:pPr>
      <w:r>
        <w:t xml:space="preserve">The molecules that emerge from screening—whether physical or virtual—are termed hits, and the transformation of a hit into a lead, and ultimately into a clinical candidate, constitutes the core activity of medicinal chemistry [1]. A hit is merely a starting point: it may bind the target with modest affinity, but it will almost invariably suffer from deficiencies in potency, selectivity, metabolic stability, solubility, or safety that must be remedied through iterative chemical modification [3]. Lead optimisation is therefore a multi-objective problem of formidable complexity, in which improvements to one property frequently degrade another, and the medicinal chemist must navigate a rugged landscape in search of a molecule that satisfies all requirements simultaneously [5].</w:t>
      </w:r>
    </w:p>
    <w:p>
      <w:pPr>
        <w:pStyle w:val="Normal"/>
      </w:pPr>
      <w:r>
        <w:t xml:space="preserve">Artificial intelligence has become an indispensable partner in this navigation. Predictive models for the many properties that define a successful drug—collectively encompassing absorption, distribution, metabolism, excretion, and toxicity, together with potency and selectivity—allow the vast number of possible chemical modifications to be evaluated in silico before any synthesis is undertaken [8]. By prioritising the modifications most likely to improve the overall profile, these models compress the number of costly and time-consuming synthesis-and-test cycles required to reach a candidate, and they thereby address one of the principal bottlenecks in the discovery pipeline [12].</w:t>
      </w:r>
    </w:p>
    <w:p>
      <w:pPr>
        <w:pStyle w:val="Normal"/>
      </w:pPr>
      <w:r>
        <w:t xml:space="preserve">The economic logic of this compression deserves emphasis. Each cycle of designing, synthesising, and testing a set of analogues consumes weeks of chemist and biologist effort and non-trivial material cost, and a typical optimisation campaign may traverse dozens of such cycles before arriving at a candidate. Any technology that increases the fraction of designed molecules that represent genuine improvements—that raises the batting average of the medicinal chemistry—reduces the number of cycles required and thereby shortens timelines and conserves resources in direct proportion. This is the concrete mechanism by which machine learning delivers value in lead optimisation: not through any single spectacular prediction, but through the steady, cumulative sharpening of design decisions across many iterations [3]. It is also why the integration of prediction into the daily workflow of the medicinal chemist, rather than its relegation to a specialist computational function consulted only occasionally, is the arrangement that realises the greatest benefit [5].</w:t>
      </w:r>
    </w:p>
    <w:p>
      <w:pPr>
        <w:pStyle w:val="Heading2"/>
      </w:pPr>
      <w:r>
        <w:t xml:space="preserve">4.3.2 Predictive ADMET Modelling</w:t>
      </w:r>
    </w:p>
    <w:p>
      <w:pPr>
        <w:pStyle w:val="Normal"/>
      </w:pPr>
      <w:r>
        <w:t xml:space="preserve">The prediction of absorption, distribution, metabolism, excretion, and toxicity properties—known collectively by the acronym ADMET—is among the most mature and impactful applications of machine learning in drug discovery [15]. Poor ADMET properties are a leading cause of late-stage attrition, and the ability to anticipate them early, when compounds can still be redesigned cheaply, delivers substantial value [19]. The historical significance of this cannot be overstated: in an earlier era, a substantial proportion of clinical failures were attributable to poor pharmacokinetics, and the systematic incorporation of ADMET considerations into early discovery—enabled in large part by predictive computation—is widely credited with having shifted the dominant cause of attrition away from pharmacokinetic liabilities and towards the harder problems of efficacy and target-related toxicity. This represents one of the clearest historical examples of computational prediction reshaping the practice of drug discovery, and it provides an instructive precedent for the newer applications discussed in this chapter. Machine learning models trained on large datasets of measured ADMET endpoints—including aqueous solubility, membrane permeability, plasma protein binding, metabolic clearance, and various toxicity signals such as cardiac ion-channel inhibition and hepatotoxicity—can predict these properties for novel molecules with useful accuracy [21].</w:t>
      </w:r>
    </w:p>
    <w:p>
      <w:pPr>
        <w:pStyle w:val="Normal"/>
      </w:pPr>
      <w:r>
        <w:t xml:space="preserve">The reliability of such predictions depends critically on the quality and coverage of the training data and on the chemical similarity between the molecules to be predicted and those in the training set [26]. A model asked to predict a property for a molecule far removed from anything it has seen during training—that is, outside its applicability domain—should be trusted only cautiously, and the responsible use of ADMET models therefore requires an accompanying estimate of prediction confidence [30]. </w:t>
      </w:r>
      <w:r>
        <w:rPr>
          <w:b/>
        </w:rPr>
        <w:t xml:space="preserve">Table 3</w:t>
      </w:r>
      <w:r>
        <w:t xml:space="preserve"> presents a representative set of ADMET endpoints commonly modelled by machine learning, together with typical data sources and their significance to drug development.</w:t>
      </w:r>
    </w:p>
    <w:p>
      <w:pPr>
        <w:pStyle w:val="TableCaption"/>
      </w:pPr>
      <w:r>
        <w:rPr>
          <w:b/>
        </w:rPr>
        <w:t xml:space="preserve">Table 3.</w:t>
      </w:r>
      <w:r>
        <w:t xml:space="preserve"> Representative ADMET endpoints commonly addressed by machine learning models.</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pPr>
            <w:r>
              <w:rPr>
                <w:b/>
              </w:rPr>
              <w:t xml:space="preserve">ADMET Endpoint</w:t>
            </w:r>
          </w:p>
        </w:tc>
        <w:tc>
          <w:tcPr>
            <w:tcW w:w="2300" w:type="dxa"/>
            <w:shd w:val="clear" w:color="auto" w:fill="D9E2F3"/>
          </w:tcPr>
          <w:p>
            <w:pPr>
              <w:jc w:val="center"/>
              <w:spacing w:after="40"/>
            </w:pPr>
            <w:r>
              <w:rPr>
                <w:b/>
              </w:rPr>
              <w:t xml:space="preserve">Property Class</w:t>
            </w:r>
          </w:p>
        </w:tc>
        <w:tc>
          <w:tcPr>
            <w:tcW w:w="2300" w:type="dxa"/>
            <w:shd w:val="clear" w:color="auto" w:fill="D9E2F3"/>
          </w:tcPr>
          <w:p>
            <w:pPr>
              <w:jc w:val="center"/>
              <w:spacing w:after="40"/>
            </w:pPr>
            <w:r>
              <w:rPr>
                <w:b/>
              </w:rPr>
              <w:t xml:space="preserve">Typical Data Source</w:t>
            </w:r>
          </w:p>
        </w:tc>
        <w:tc>
          <w:tcPr>
            <w:tcW w:w="2300" w:type="dxa"/>
            <w:shd w:val="clear" w:color="auto" w:fill="D9E2F3"/>
          </w:tcPr>
          <w:p>
            <w:pPr>
              <w:jc w:val="center"/>
              <w:spacing w:after="40"/>
            </w:pPr>
            <w:r>
              <w:rPr>
                <w:b/>
              </w:rPr>
              <w:t xml:space="preserve">Significance to Development</w:t>
            </w:r>
          </w:p>
        </w:tc>
      </w:tr>
      <w:tr>
        <w:tc>
          <w:tcPr>
            <w:tcW w:w="2300" w:type="dxa"/>
          </w:tcPr>
          <w:p>
            <w:pPr>
              <w:spacing w:after="40"/>
            </w:pPr>
            <w:r>
              <w:t xml:space="preserve">Aqueous solubility</w:t>
            </w:r>
          </w:p>
        </w:tc>
        <w:tc>
          <w:tcPr>
            <w:tcW w:w="2300" w:type="dxa"/>
          </w:tcPr>
          <w:p>
            <w:pPr>
              <w:spacing w:after="40"/>
            </w:pPr>
            <w:r>
              <w:t xml:space="preserve">Absorption</w:t>
            </w:r>
          </w:p>
        </w:tc>
        <w:tc>
          <w:tcPr>
            <w:tcW w:w="2300" w:type="dxa"/>
          </w:tcPr>
          <w:p>
            <w:pPr>
              <w:spacing w:after="40"/>
            </w:pPr>
            <w:r>
              <w:t xml:space="preserve">Measured logS datasets</w:t>
            </w:r>
          </w:p>
        </w:tc>
        <w:tc>
          <w:tcPr>
            <w:tcW w:w="2300" w:type="dxa"/>
          </w:tcPr>
          <w:p>
            <w:pPr>
              <w:spacing w:after="40"/>
            </w:pPr>
            <w:r>
              <w:t xml:space="preserve">Governs formulation and oral bioavailability</w:t>
            </w:r>
          </w:p>
        </w:tc>
      </w:tr>
      <w:tr>
        <w:tc>
          <w:tcPr>
            <w:tcW w:w="2300" w:type="dxa"/>
          </w:tcPr>
          <w:p>
            <w:pPr>
              <w:spacing w:after="40"/>
            </w:pPr>
            <w:r>
              <w:t xml:space="preserve">Caco-2 permeability</w:t>
            </w:r>
          </w:p>
        </w:tc>
        <w:tc>
          <w:tcPr>
            <w:tcW w:w="2300" w:type="dxa"/>
          </w:tcPr>
          <w:p>
            <w:pPr>
              <w:spacing w:after="40"/>
            </w:pPr>
            <w:r>
              <w:t xml:space="preserve">Absorption</w:t>
            </w:r>
          </w:p>
        </w:tc>
        <w:tc>
          <w:tcPr>
            <w:tcW w:w="2300" w:type="dxa"/>
          </w:tcPr>
          <w:p>
            <w:pPr>
              <w:spacing w:after="40"/>
            </w:pPr>
            <w:r>
              <w:t xml:space="preserve">Cell-based permeability assays</w:t>
            </w:r>
          </w:p>
        </w:tc>
        <w:tc>
          <w:tcPr>
            <w:tcW w:w="2300" w:type="dxa"/>
          </w:tcPr>
          <w:p>
            <w:pPr>
              <w:spacing w:after="40"/>
            </w:pPr>
            <w:r>
              <w:t xml:space="preserve">Predicts intestinal absorption</w:t>
            </w:r>
          </w:p>
        </w:tc>
      </w:tr>
      <w:tr>
        <w:tc>
          <w:tcPr>
            <w:tcW w:w="2300" w:type="dxa"/>
          </w:tcPr>
          <w:p>
            <w:pPr>
              <w:spacing w:after="40"/>
            </w:pPr>
            <w:r>
              <w:t xml:space="preserve">Plasma protein binding</w:t>
            </w:r>
          </w:p>
        </w:tc>
        <w:tc>
          <w:tcPr>
            <w:tcW w:w="2300" w:type="dxa"/>
          </w:tcPr>
          <w:p>
            <w:pPr>
              <w:spacing w:after="40"/>
            </w:pPr>
            <w:r>
              <w:t xml:space="preserve">Distribution</w:t>
            </w:r>
          </w:p>
        </w:tc>
        <w:tc>
          <w:tcPr>
            <w:tcW w:w="2300" w:type="dxa"/>
          </w:tcPr>
          <w:p>
            <w:pPr>
              <w:spacing w:after="40"/>
            </w:pPr>
            <w:r>
              <w:t xml:space="preserve">Equilibrium dialysis data</w:t>
            </w:r>
          </w:p>
        </w:tc>
        <w:tc>
          <w:tcPr>
            <w:tcW w:w="2300" w:type="dxa"/>
          </w:tcPr>
          <w:p>
            <w:pPr>
              <w:spacing w:after="40"/>
            </w:pPr>
            <w:r>
              <w:t xml:space="preserve">Affects free-drug concentration and dosing</w:t>
            </w:r>
          </w:p>
        </w:tc>
      </w:tr>
      <w:tr>
        <w:tc>
          <w:tcPr>
            <w:tcW w:w="2300" w:type="dxa"/>
          </w:tcPr>
          <w:p>
            <w:pPr>
              <w:spacing w:after="40"/>
            </w:pPr>
            <w:r>
              <w:t xml:space="preserve">CYP450 inhibition</w:t>
            </w:r>
          </w:p>
        </w:tc>
        <w:tc>
          <w:tcPr>
            <w:tcW w:w="2300" w:type="dxa"/>
          </w:tcPr>
          <w:p>
            <w:pPr>
              <w:spacing w:after="40"/>
            </w:pPr>
            <w:r>
              <w:t xml:space="preserve">Metabolism</w:t>
            </w:r>
          </w:p>
        </w:tc>
        <w:tc>
          <w:tcPr>
            <w:tcW w:w="2300" w:type="dxa"/>
          </w:tcPr>
          <w:p>
            <w:pPr>
              <w:spacing w:after="40"/>
            </w:pPr>
            <w:r>
              <w:t xml:space="preserve">Enzyme inhibition assays</w:t>
            </w:r>
          </w:p>
        </w:tc>
        <w:tc>
          <w:tcPr>
            <w:tcW w:w="2300" w:type="dxa"/>
          </w:tcPr>
          <w:p>
            <w:pPr>
              <w:spacing w:after="40"/>
            </w:pPr>
            <w:r>
              <w:t xml:space="preserve">Flags drug–drug interaction risk</w:t>
            </w:r>
          </w:p>
        </w:tc>
      </w:tr>
      <w:tr>
        <w:tc>
          <w:tcPr>
            <w:tcW w:w="2300" w:type="dxa"/>
          </w:tcPr>
          <w:p>
            <w:pPr>
              <w:spacing w:after="40"/>
            </w:pPr>
            <w:r>
              <w:t xml:space="preserve">Metabolic clearance</w:t>
            </w:r>
          </w:p>
        </w:tc>
        <w:tc>
          <w:tcPr>
            <w:tcW w:w="2300" w:type="dxa"/>
          </w:tcPr>
          <w:p>
            <w:pPr>
              <w:spacing w:after="40"/>
            </w:pPr>
            <w:r>
              <w:t xml:space="preserve">Metabolism</w:t>
            </w:r>
          </w:p>
        </w:tc>
        <w:tc>
          <w:tcPr>
            <w:tcW w:w="2300" w:type="dxa"/>
          </w:tcPr>
          <w:p>
            <w:pPr>
              <w:spacing w:after="40"/>
            </w:pPr>
            <w:r>
              <w:t xml:space="preserve">Microsomal stability assays</w:t>
            </w:r>
          </w:p>
        </w:tc>
        <w:tc>
          <w:tcPr>
            <w:tcW w:w="2300" w:type="dxa"/>
          </w:tcPr>
          <w:p>
            <w:pPr>
              <w:spacing w:after="40"/>
            </w:pPr>
            <w:r>
              <w:t xml:space="preserve">Determines half-life and dosing frequency</w:t>
            </w:r>
          </w:p>
        </w:tc>
      </w:tr>
      <w:tr>
        <w:tc>
          <w:tcPr>
            <w:tcW w:w="2300" w:type="dxa"/>
          </w:tcPr>
          <w:p>
            <w:pPr>
              <w:spacing w:after="40"/>
            </w:pPr>
            <w:r>
              <w:t xml:space="preserve">hERG inhibition</w:t>
            </w:r>
          </w:p>
        </w:tc>
        <w:tc>
          <w:tcPr>
            <w:tcW w:w="2300" w:type="dxa"/>
          </w:tcPr>
          <w:p>
            <w:pPr>
              <w:spacing w:after="40"/>
            </w:pPr>
            <w:r>
              <w:t xml:space="preserve">Toxicity</w:t>
            </w:r>
          </w:p>
        </w:tc>
        <w:tc>
          <w:tcPr>
            <w:tcW w:w="2300" w:type="dxa"/>
          </w:tcPr>
          <w:p>
            <w:pPr>
              <w:spacing w:after="40"/>
            </w:pPr>
            <w:r>
              <w:t xml:space="preserve">Ion-channel electrophysiology</w:t>
            </w:r>
          </w:p>
        </w:tc>
        <w:tc>
          <w:tcPr>
            <w:tcW w:w="2300" w:type="dxa"/>
          </w:tcPr>
          <w:p>
            <w:pPr>
              <w:spacing w:after="40"/>
            </w:pPr>
            <w:r>
              <w:t xml:space="preserve">Predicts risk of cardiac arrhythmia</w:t>
            </w:r>
          </w:p>
        </w:tc>
      </w:tr>
      <w:tr>
        <w:tc>
          <w:tcPr>
            <w:tcW w:w="2300" w:type="dxa"/>
          </w:tcPr>
          <w:p>
            <w:pPr>
              <w:spacing w:after="40"/>
            </w:pPr>
            <w:r>
              <w:t xml:space="preserve">Hepatotoxicity</w:t>
            </w:r>
          </w:p>
        </w:tc>
        <w:tc>
          <w:tcPr>
            <w:tcW w:w="2300" w:type="dxa"/>
          </w:tcPr>
          <w:p>
            <w:pPr>
              <w:spacing w:after="40"/>
            </w:pPr>
            <w:r>
              <w:t xml:space="preserve">Toxicity</w:t>
            </w:r>
          </w:p>
        </w:tc>
        <w:tc>
          <w:tcPr>
            <w:tcW w:w="2300" w:type="dxa"/>
          </w:tcPr>
          <w:p>
            <w:pPr>
              <w:spacing w:after="40"/>
            </w:pPr>
            <w:r>
              <w:t xml:space="preserve">Clinical and preclinical registries</w:t>
            </w:r>
          </w:p>
        </w:tc>
        <w:tc>
          <w:tcPr>
            <w:tcW w:w="2300" w:type="dxa"/>
          </w:tcPr>
          <w:p>
            <w:pPr>
              <w:spacing w:after="40"/>
            </w:pPr>
            <w:r>
              <w:t xml:space="preserve">Major cause of drug withdrawal</w:t>
            </w:r>
          </w:p>
        </w:tc>
      </w:tr>
    </w:tbl>
    <w:p/>
    <w:p>
      <w:pPr>
        <w:pStyle w:val="Normal"/>
      </w:pPr>
      <w:r>
        <w:t xml:space="preserve">The endpoints catalogued in </w:t>
      </w:r>
      <w:r>
        <w:rPr>
          <w:b/>
        </w:rPr>
        <w:t xml:space="preserve">Table 3</w:t>
      </w:r>
      <w:r>
        <w:t xml:space="preserve"> are not independent, and a central difficulty of lead optimisation is that they frequently pull in opposing directions. Increasing lipophilicity, for example, often improves membrane permeability and target potency while simultaneously worsening solubility, promoting metabolic clearance, and raising the likelihood of promiscuous off-target binding and its attendant toxicity [26]. This web of trade-offs is precisely why multi-parameter optimisation, informed by an ensemble of predictive models each addressing a different endpoint, has become the organising principle of modern medicinal chemistry. The models do not make decisions; they render the consequences of candidate modifications visible in advance, allowing the chemist to reason about the whole rather than fixating on any single property [8].</w:t>
      </w:r>
    </w:p>
    <w:p>
      <w:pPr>
        <w:pStyle w:val="Heading2"/>
      </w:pPr>
      <w:r>
        <w:t xml:space="preserve">4.3.3 Generative Chemistry and de novo Molecular Design</w:t>
      </w:r>
    </w:p>
    <w:p>
      <w:pPr>
        <w:pStyle w:val="Normal"/>
      </w:pPr>
      <w:r>
        <w:t xml:space="preserve">Perhaps the most striking recent development is the application of generative artificial intelligence to the design of entirely new molecules [35]. Rather than screening a fixed library, generative models learn the underlying distribution of drug-like chemical space and can then propose novel structures optimised towards a specified profile of properties [39]. A variety of architectures have been brought to bear on this problem, including variational autoencoders that learn a continuous latent representation of molecules within which optimisation can proceed, generative adversarial networks that pit a generator against a discriminator, recurrent and transformer-based models that generate molecular strings token by token, and diffusion models that construct molecules or their three-dimensional conformations through a learned denoising process [42].</w:t>
      </w:r>
    </w:p>
    <w:p>
      <w:pPr>
        <w:pStyle w:val="Normal"/>
      </w:pPr>
      <w:r>
        <w:t xml:space="preserve">Reinforcement learning provides a natural framework for steering generation towards desired objectives, in which a generative policy is rewarded for producing molecules that score well against a target profile [43]. The integration of generative design with property prediction closes a crucial loop: molecules are proposed, evaluated in silico, and the results are used to guide the generation of the next batch, so that the search converges towards regions of chemical space that satisfy the design criteria [44]. </w:t>
      </w:r>
      <w:r>
        <w:rPr>
          <w:b/>
        </w:rPr>
        <w:t xml:space="preserve">Figure 3</w:t>
      </w:r>
      <w:r>
        <w:t xml:space="preserve"> illustrates this closed-loop generative design cycle, in which a generative model, a suite of property predictors, and an optimisation strategy operate in concert.</w:t>
      </w:r>
    </w:p>
    <w:p>
      <w:pPr>
        <w:jc w:val="center"/>
        <w:spacing w:before="200" w:after="60"/>
      </w:pPr>
      <w:r>
        <w:drawing>
          <wp:inline xmlns:wp="http://schemas.openxmlformats.org/drawingml/2006/wordprocessingDrawing" distT="0" distB="0" distL="0" distR="0">
            <wp:extent cx="5715000" cy="3752850"/>
            <wp:docPr id="1" name="Figure_3_Generative_Design.png"/>
            <a:graphic xmlns:a="http://schemas.openxmlformats.org/drawingml/2006/main">
              <a:graphicData uri="http://schemas.openxmlformats.org/drawingml/2006/picture">
                <pic:pic xmlns:pic="http://schemas.openxmlformats.org/drawingml/2006/picture">
                  <pic:nvPicPr>
                    <pic:cNvPr id="0" name="Figure_3_Generative_Design.png"/>
                    <pic:cNvPicPr/>
                  </pic:nvPicPr>
                  <pic:blipFill>
                    <a:blip r:embed="rId4"/>
                    <a:stretch>
                      <a:fillRect/>
                    </a:stretch>
                  </pic:blipFill>
                  <pic:spPr>
                    <a:xfrm>
                      <a:off x="0" y="0"/>
                      <a:ext cx="5715000" cy="3752850"/>
                    </a:xfrm>
                    <a:prstGeom prst="rect">
                      <a:avLst/>
                    </a:prstGeom>
                  </pic:spPr>
                </pic:pic>
              </a:graphicData>
            </a:graphic>
          </wp:inline>
        </w:drawing>
      </w:r>
    </w:p>
    <w:p>
      <w:pPr>
        <w:pStyle w:val="FigureCaption"/>
      </w:pPr>
      <w:r>
        <w:t xml:space="preserve">Figure 3. Closed-loop generative molecular design cycle integrating a generative model, a suite of property predictors, a scoring stage, and an optimisation strategy that iterate until the design objectives are satisfied.</w:t>
      </w:r>
    </w:p>
    <w:p>
      <w:pPr>
        <w:pStyle w:val="Normal"/>
      </w:pPr>
      <w:r>
        <w:t xml:space="preserve">The choice of molecular representation exerts a profound influence on the behaviour of these generative systems. String-based representations, in which a molecule is encoded as a linear sequence of characters, allow the direct application of the sequence-generation machinery developed for natural language, but they suffer from the awkward property that small changes to the string can produce chemically invalid or wildly different molecules. Graph-based representations respect the intrinsic connectivity of molecules and can guarantee validity by construction, at the cost of greater architectural complexity. More recently, representations that operate directly in three dimensions have enabled the generation of molecules conditioned on the shape of a target binding pocket, bringing generative design into direct contact with structure-based reasoning [42]. No single representation is uniformly superior; the appropriate choice depends on the objectives of the campaign and on the nature of the available data, and much of the practical craft of generative chemistry lies in matching the representation, the architecture, and the optimisation strategy to the problem at hand [26].</w:t>
      </w:r>
    </w:p>
    <w:p>
      <w:pPr>
        <w:pStyle w:val="Normal"/>
      </w:pPr>
      <w:r>
        <w:t xml:space="preserve">The promise of generative chemistry is considerable, but so are its pitfalls. Models may propose molecules that are chemically invalid, synthetically inaccessible, or that exploit weaknesses in the property predictors to achieve high predicted scores while lacking genuine merit—a phenomenon sometimes described as reward hacking [45]. Constraining generation to synthesisable chemistry, and validating the generated molecules against orthogonal criteria, are therefore essential safeguards [46]. The most compelling demonstrations of the technology are those in which computationally designed molecules have been synthesised and shown experimentally to possess the intended activity, and a growing number of such demonstrations lend credibility to the approach even as the field matures [47].</w:t>
      </w:r>
    </w:p>
    <w:p>
      <w:pPr>
        <w:pStyle w:val="Normal"/>
      </w:pPr>
      <w:r>
        <w:t xml:space="preserve">The closed loop of </w:t>
      </w:r>
      <w:r>
        <w:rPr>
          <w:b/>
        </w:rPr>
        <w:t xml:space="preserve">Figure 3</w:t>
      </w:r>
      <w:r>
        <w:t xml:space="preserve"> makes explicit why generative design represents more than an incremental improvement over library screening. In a screening paradigm, the accessible molecules are fixed in advance by the contents of the library, and the best that can be achieved is to find the finest molecule that already exists within it. Generative design dissolves this constraint by treating chemical structure itself as a variable to be optimised, so that the search is no longer confined to pre-enumerated compounds but ranges freely across a learned manifold of drug-like chemistry [44]. The optimisation strategy—whether reinforcement learning, Bayesian optimisation over a latent space, or evolutionary search—drives the generator towards regions of that manifold where the property predictors forecast a favourable profile, and the loop iterates until convergence or until the design objectives are met. The critical vulnerability of this arrangement is that the optimiser will ruthlessly exploit any inaccuracy in the predictors, and so the fidelity of the property models, and the discipline of validating proposed molecules against independent criteria and ultimately by synthesis, determine whether the loop produces genuine leads or merely adversarial artefacts [45].</w:t>
      </w:r>
    </w:p>
    <w:p>
      <w:pPr>
        <w:pStyle w:val="Heading2"/>
      </w:pPr>
      <w:r>
        <w:t xml:space="preserve">4.3.4 Drug Repurposing</w:t>
      </w:r>
    </w:p>
    <w:p>
      <w:pPr>
        <w:pStyle w:val="Normal"/>
      </w:pPr>
      <w:r>
        <w:t xml:space="preserve">Drug repurposing—the identification of new therapeutic uses for existing, approved, or previously investigated drugs—offers an especially attractive route to therapy because the substantial safety and pharmacokinetic data already accumulated for such compounds can dramatically shorten the path to the clinic [2]. The economics of this proposition are compelling: a repurposed drug arrives with a known safety profile, established manufacturing, and often decades of clinical experience, so that the expensive and failure-prone early phases of development, in which most novel candidates founder, can be substantially truncated or bypassed altogether. The essential insight enabling computational repurposing is that a drug's effects are determined by the full set of molecular targets it engages and by the biological networks those targets inhabit, so that a drug developed for one indication may, by virtue of shared molecular mechanisms, prove efficacious in another [4]. Because a typical small-molecule drug engages far more targets than the single one for which it was designed, the space of latent therapeutic opportunities encoded within the existing pharmacopoeia is vast, and it is precisely this space that computational methods are so well suited to explore. Artificial intelligence is exceptionally well placed to uncover such hidden opportunities by integrating diverse evidence at scale [7].</w:t>
      </w:r>
    </w:p>
    <w:p>
      <w:pPr>
        <w:pStyle w:val="Normal"/>
      </w:pPr>
      <w:r>
        <w:t xml:space="preserve">Several complementary computational strategies support repurposing. Signature-matching approaches compare the transcriptional signature that a drug induces in cells against the signature associated with a disease, seeking drugs that reverse the disease signature [9]. Network-based approaches assess the proximity of a drug's targets to disease-associated genes within the interactome, on the premise that drugs whose targets lie close to a disease module are more likely to be effective [13]. Knowledge-graph and machine-learning approaches predict novel drug–disease associations by learning from the rich web of known relationships among drugs, targets, pathways, and diseases [16]. </w:t>
      </w:r>
      <w:r>
        <w:rPr>
          <w:b/>
        </w:rPr>
        <w:t xml:space="preserve">Figure 4</w:t>
      </w:r>
      <w:r>
        <w:t xml:space="preserve"> summarises these principal repurposing strategies and the data sources on which they draw, and </w:t>
      </w:r>
      <w:r>
        <w:rPr>
          <w:b/>
        </w:rPr>
        <w:t xml:space="preserve">Table 4</w:t>
      </w:r>
      <w:r>
        <w:t xml:space="preserve"> catalogues notable examples that illustrate the breadth of the approach across therapeutic areas.</w:t>
      </w:r>
    </w:p>
    <w:p>
      <w:pPr>
        <w:jc w:val="center"/>
        <w:spacing w:before="200" w:after="60"/>
      </w:pPr>
      <w:r>
        <w:drawing>
          <wp:inline xmlns:wp="http://schemas.openxmlformats.org/drawingml/2006/wordprocessingDrawing" distT="0" distB="0" distL="0" distR="0">
            <wp:extent cx="5715000" cy="3752850"/>
            <wp:docPr id="1" name="Figure_4_Drug_Repurposing.png"/>
            <a:graphic xmlns:a="http://schemas.openxmlformats.org/drawingml/2006/main">
              <a:graphicData uri="http://schemas.openxmlformats.org/drawingml/2006/picture">
                <pic:pic xmlns:pic="http://schemas.openxmlformats.org/drawingml/2006/picture">
                  <pic:nvPicPr>
                    <pic:cNvPr id="0" name="Figure_4_Drug_Repurposing.png"/>
                    <pic:cNvPicPr/>
                  </pic:nvPicPr>
                  <pic:blipFill>
                    <a:blip r:embed="rId5"/>
                    <a:stretch>
                      <a:fillRect/>
                    </a:stretch>
                  </pic:blipFill>
                  <pic:spPr>
                    <a:xfrm>
                      <a:off x="0" y="0"/>
                      <a:ext cx="5715000" cy="3752850"/>
                    </a:xfrm>
                    <a:prstGeom prst="rect">
                      <a:avLst/>
                    </a:prstGeom>
                  </pic:spPr>
                </pic:pic>
              </a:graphicData>
            </a:graphic>
          </wp:inline>
        </w:drawing>
      </w:r>
    </w:p>
    <w:p>
      <w:pPr>
        <w:pStyle w:val="FigureCaption"/>
      </w:pPr>
      <w:r>
        <w:t xml:space="preserve">Figure 4. Complementary computational strategies for drug repurposing, converging evidence from signature matching, network proximity, knowledge-graph link prediction, and real-world data onto candidate new indications for existing drugs.</w:t>
      </w:r>
    </w:p>
    <w:p>
      <w:pPr>
        <w:pStyle w:val="TableCaption"/>
      </w:pPr>
      <w:r>
        <w:rPr>
          <w:b/>
        </w:rPr>
        <w:t xml:space="preserve">Table 4.</w:t>
      </w:r>
      <w:r>
        <w:t xml:space="preserve"> Illustrative computational drug-repurposing strategies and their characteristics.</w:t>
      </w:r>
    </w:p>
    <w:tbl>
      <w:tblPr>
        <w:tblStyle w:val="TableGrid"/>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pPr>
            <w:r>
              <w:rPr>
                <w:b/>
              </w:rPr>
              <w:t xml:space="preserve">Repurposing Strategy</w:t>
            </w:r>
          </w:p>
        </w:tc>
        <w:tc>
          <w:tcPr>
            <w:tcW w:w="2300" w:type="dxa"/>
            <w:shd w:val="clear" w:color="auto" w:fill="D9E2F3"/>
          </w:tcPr>
          <w:p>
            <w:pPr>
              <w:jc w:val="center"/>
              <w:spacing w:after="40"/>
            </w:pPr>
            <w:r>
              <w:rPr>
                <w:b/>
              </w:rPr>
              <w:t xml:space="preserve">Core Principle</w:t>
            </w:r>
          </w:p>
        </w:tc>
        <w:tc>
          <w:tcPr>
            <w:tcW w:w="2300" w:type="dxa"/>
            <w:shd w:val="clear" w:color="auto" w:fill="D9E2F3"/>
          </w:tcPr>
          <w:p>
            <w:pPr>
              <w:jc w:val="center"/>
              <w:spacing w:after="40"/>
            </w:pPr>
            <w:r>
              <w:rPr>
                <w:b/>
              </w:rPr>
              <w:t xml:space="preserve">Primary Data Source</w:t>
            </w:r>
          </w:p>
        </w:tc>
        <w:tc>
          <w:tcPr>
            <w:tcW w:w="2300" w:type="dxa"/>
            <w:shd w:val="clear" w:color="auto" w:fill="D9E2F3"/>
          </w:tcPr>
          <w:p>
            <w:pPr>
              <w:jc w:val="center"/>
              <w:spacing w:after="40"/>
            </w:pPr>
            <w:r>
              <w:rPr>
                <w:b/>
              </w:rPr>
              <w:t xml:space="preserve">Notable Strength</w:t>
            </w:r>
          </w:p>
        </w:tc>
      </w:tr>
      <w:tr>
        <w:tc>
          <w:tcPr>
            <w:tcW w:w="2300" w:type="dxa"/>
          </w:tcPr>
          <w:p>
            <w:pPr>
              <w:spacing w:after="40"/>
            </w:pPr>
            <w:r>
              <w:t xml:space="preserve">Transcriptional signature matching</w:t>
            </w:r>
          </w:p>
        </w:tc>
        <w:tc>
          <w:tcPr>
            <w:tcW w:w="2300" w:type="dxa"/>
          </w:tcPr>
          <w:p>
            <w:pPr>
              <w:spacing w:after="40"/>
            </w:pPr>
            <w:r>
              <w:t xml:space="preserve">Reverse the disease expression signature</w:t>
            </w:r>
          </w:p>
        </w:tc>
        <w:tc>
          <w:tcPr>
            <w:tcW w:w="2300" w:type="dxa"/>
          </w:tcPr>
          <w:p>
            <w:pPr>
              <w:spacing w:after="40"/>
            </w:pPr>
            <w:r>
              <w:t xml:space="preserve">Connectivity map / perturbation data</w:t>
            </w:r>
          </w:p>
        </w:tc>
        <w:tc>
          <w:tcPr>
            <w:tcW w:w="2300" w:type="dxa"/>
          </w:tcPr>
          <w:p>
            <w:pPr>
              <w:spacing w:after="40"/>
            </w:pPr>
            <w:r>
              <w:t xml:space="preserve">Mechanism-agnostic; hypothesis-rich</w:t>
            </w:r>
          </w:p>
        </w:tc>
      </w:tr>
      <w:tr>
        <w:tc>
          <w:tcPr>
            <w:tcW w:w="2300" w:type="dxa"/>
          </w:tcPr>
          <w:p>
            <w:pPr>
              <w:spacing w:after="40"/>
            </w:pPr>
            <w:r>
              <w:t xml:space="preserve">Network proximity</w:t>
            </w:r>
          </w:p>
        </w:tc>
        <w:tc>
          <w:tcPr>
            <w:tcW w:w="2300" w:type="dxa"/>
          </w:tcPr>
          <w:p>
            <w:pPr>
              <w:spacing w:after="40"/>
            </w:pPr>
            <w:r>
              <w:t xml:space="preserve">Drug targets close to disease module</w:t>
            </w:r>
          </w:p>
        </w:tc>
        <w:tc>
          <w:tcPr>
            <w:tcW w:w="2300" w:type="dxa"/>
          </w:tcPr>
          <w:p>
            <w:pPr>
              <w:spacing w:after="40"/>
            </w:pPr>
            <w:r>
              <w:t xml:space="preserve">Protein interactome</w:t>
            </w:r>
          </w:p>
        </w:tc>
        <w:tc>
          <w:tcPr>
            <w:tcW w:w="2300" w:type="dxa"/>
          </w:tcPr>
          <w:p>
            <w:pPr>
              <w:spacing w:after="40"/>
            </w:pPr>
            <w:r>
              <w:t xml:space="preserve">Interpretable network rationale</w:t>
            </w:r>
          </w:p>
        </w:tc>
      </w:tr>
      <w:tr>
        <w:tc>
          <w:tcPr>
            <w:tcW w:w="2300" w:type="dxa"/>
          </w:tcPr>
          <w:p>
            <w:pPr>
              <w:spacing w:after="40"/>
            </w:pPr>
            <w:r>
              <w:t xml:space="preserve">Knowledge-graph link prediction</w:t>
            </w:r>
          </w:p>
        </w:tc>
        <w:tc>
          <w:tcPr>
            <w:tcW w:w="2300" w:type="dxa"/>
          </w:tcPr>
          <w:p>
            <w:pPr>
              <w:spacing w:after="40"/>
            </w:pPr>
            <w:r>
              <w:t xml:space="preserve">Infer novel drug–disease edges</w:t>
            </w:r>
          </w:p>
        </w:tc>
        <w:tc>
          <w:tcPr>
            <w:tcW w:w="2300" w:type="dxa"/>
          </w:tcPr>
          <w:p>
            <w:pPr>
              <w:spacing w:after="40"/>
            </w:pPr>
            <w:r>
              <w:t xml:space="preserve">Integrated biomedical graphs</w:t>
            </w:r>
          </w:p>
        </w:tc>
        <w:tc>
          <w:tcPr>
            <w:tcW w:w="2300" w:type="dxa"/>
          </w:tcPr>
          <w:p>
            <w:pPr>
              <w:spacing w:after="40"/>
            </w:pPr>
            <w:r>
              <w:t xml:space="preserve">Exploits heterogeneous prior knowledge</w:t>
            </w:r>
          </w:p>
        </w:tc>
      </w:tr>
      <w:tr>
        <w:tc>
          <w:tcPr>
            <w:tcW w:w="2300" w:type="dxa"/>
          </w:tcPr>
          <w:p>
            <w:pPr>
              <w:spacing w:after="40"/>
            </w:pPr>
            <w:r>
              <w:t xml:space="preserve">Structure-based cross-docking</w:t>
            </w:r>
          </w:p>
        </w:tc>
        <w:tc>
          <w:tcPr>
            <w:tcW w:w="2300" w:type="dxa"/>
          </w:tcPr>
          <w:p>
            <w:pPr>
              <w:spacing w:after="40"/>
            </w:pPr>
            <w:r>
              <w:t xml:space="preserve">Bind drug to alternative target</w:t>
            </w:r>
          </w:p>
        </w:tc>
        <w:tc>
          <w:tcPr>
            <w:tcW w:w="2300" w:type="dxa"/>
          </w:tcPr>
          <w:p>
            <w:pPr>
              <w:spacing w:after="40"/>
            </w:pPr>
            <w:r>
              <w:t xml:space="preserve">Protein structures</w:t>
            </w:r>
          </w:p>
        </w:tc>
        <w:tc>
          <w:tcPr>
            <w:tcW w:w="2300" w:type="dxa"/>
          </w:tcPr>
          <w:p>
            <w:pPr>
              <w:spacing w:after="40"/>
            </w:pPr>
            <w:r>
              <w:t xml:space="preserve">Suggests molecular mechanism</w:t>
            </w:r>
          </w:p>
        </w:tc>
      </w:tr>
      <w:tr>
        <w:tc>
          <w:tcPr>
            <w:tcW w:w="2300" w:type="dxa"/>
          </w:tcPr>
          <w:p>
            <w:pPr>
              <w:spacing w:after="40"/>
            </w:pPr>
            <w:r>
              <w:t xml:space="preserve">Electronic health record mining</w:t>
            </w:r>
          </w:p>
        </w:tc>
        <w:tc>
          <w:tcPr>
            <w:tcW w:w="2300" w:type="dxa"/>
          </w:tcPr>
          <w:p>
            <w:pPr>
              <w:spacing w:after="40"/>
            </w:pPr>
            <w:r>
              <w:t xml:space="preserve">Detect real-world outcome signals</w:t>
            </w:r>
          </w:p>
        </w:tc>
        <w:tc>
          <w:tcPr>
            <w:tcW w:w="2300" w:type="dxa"/>
          </w:tcPr>
          <w:p>
            <w:pPr>
              <w:spacing w:after="40"/>
            </w:pPr>
            <w:r>
              <w:t xml:space="preserve">Clinical and claims data</w:t>
            </w:r>
          </w:p>
        </w:tc>
        <w:tc>
          <w:tcPr>
            <w:tcW w:w="2300" w:type="dxa"/>
          </w:tcPr>
          <w:p>
            <w:pPr>
              <w:spacing w:after="40"/>
            </w:pPr>
            <w:r>
              <w:t xml:space="preserve">Grounded in human exposure</w:t>
            </w:r>
          </w:p>
        </w:tc>
      </w:tr>
    </w:tbl>
    <w:p/>
    <w:p>
      <w:pPr>
        <w:pStyle w:val="Normal"/>
      </w:pPr>
      <w:r>
        <w:t xml:space="preserve">As the strategies in </w:t>
      </w:r>
      <w:r>
        <w:rPr>
          <w:b/>
        </w:rPr>
        <w:t xml:space="preserve">Table 4</w:t>
      </w:r>
      <w:r>
        <w:t xml:space="preserve"> make clear, the several approaches to repurposing are not competitors but complements, each interrogating a different facet of the evidence. A hypothesis that emerges independently from a transcriptional signature-matching analysis, from network proximity in the interactome, and from a knowledge-graph link prediction carries far greater weight than one supported by any single line of reasoning, and the convergence of independent computational strands is a powerful heuristic for prioritisation [7]. Yet the recurring lesson of the field is that even a well-supported computational hypothesis is only a hypothesis: the transition from a predicted drug–disease association to a demonstrated clinical benefit passes through the same demanding gauntlet of controlled trials that governs any new therapy [22].</w:t>
      </w:r>
    </w:p>
    <w:p>
      <w:pPr>
        <w:pStyle w:val="Normal"/>
      </w:pPr>
      <w:r>
        <w:t xml:space="preserve">The repurposing paradigm attracted particular attention during global health emergencies, when the imperative to identify effective therapies rapidly placed a premium on drugs whose safety was already established [18]. This experience yielded valuable lessons: computational methods proved capable of generating large numbers of plausible hypotheses quickly, but the winnowing of these hypotheses through rigorous clinical evaluation remained indispensable, and the episode underscored the danger of allowing computational predictions or preliminary observations to outrun the evidence required to support clinical use [22]. The enduring value of computational repurposing lies in its ability to prioritise candidates for such evaluation efficiently, not in any capacity to circumvent the rigour of clinical testing [25]. The complementary strategies summarised in </w:t>
      </w:r>
      <w:r>
        <w:rPr>
          <w:b/>
        </w:rPr>
        <w:t xml:space="preserve">Figure 4</w:t>
      </w:r>
      <w:r>
        <w:t xml:space="preserve"> are best regarded, in this light, as an engine for the rapid and systematic generation of well-reasoned hypotheses, whose output must then be fed into the same evidentiary machinery that governs all therapeutic claims. When deployed with this understanding, computational repurposing is among the most immediately actionable applications of artificial intelligence in the whole of drug discovery, precisely because it operates on molecules whose developability is already largely assured [16].</w:t>
      </w:r>
    </w:p>
    <w:p>
      <w:pPr>
        <w:pStyle w:val="Heading2"/>
      </w:pPr>
      <w:r>
        <w:t xml:space="preserve">4.3.5 Toward Autonomous, Closed-Loop Discovery</w:t>
      </w:r>
    </w:p>
    <w:p>
      <w:pPr>
        <w:pStyle w:val="Normal"/>
      </w:pPr>
      <w:r>
        <w:t xml:space="preserve">The trajectory of the field points unmistakably towards the integration of the individual capabilities described throughout this chapter into unified, increasingly autonomous discovery platforms [27]. In such a closed-loop system, computational models design candidate molecules, robotic platforms synthesise them, automated assays measure their properties, and the resulting data are fed back to refine the models, so that each cycle improves upon the last with minimal human intervention [31]. Early realisations of this vision, sometimes termed self-driving laboratories, have demonstrated the ability to optimise molecules and reaction conditions far more efficiently than conventional approaches, and they represent a genuine paradigm shift in how discovery is conducted [34].</w:t>
      </w:r>
    </w:p>
    <w:p>
      <w:pPr>
        <w:pStyle w:val="Normal"/>
      </w:pPr>
      <w:r>
        <w:t xml:space="preserve">What distinguishes these closed-loop platforms from the mere automation of individual tasks is the presence of a decision-making agent that selects, at each iteration, which experiments to perform next in order to extract the maximum information from the minimum expenditure of resources. This is the province of active learning and Bayesian experimental design, in which the uncertainty of the predictive models is used to guide the exploration of chemical and biological space towards the most informative experiments rather than merely the most promising ones. The consequence is a dramatic improvement in sampling efficiency: a well-designed autonomous campaign can converge on an optimised molecule or reaction after evaluating a small fraction of the candidates that a brute-force or human-intuition-driven approach would require [34]. It is this efficiency, compounded over the many decisions of a discovery campaign, that constitutes the transformative promise of self-driving laboratories, and early demonstrations across chemistry and materials science have begun to substantiate that promise in practice [31].</w:t>
      </w:r>
    </w:p>
    <w:p>
      <w:pPr>
        <w:pStyle w:val="Normal"/>
      </w:pPr>
      <w:r>
        <w:t xml:space="preserve">The realisation of fully autonomous discovery nonetheless confronts formidable obstacles. The chemical and biological data on which the models depend remain heterogeneous, incomplete, and frequently biased towards historically favoured regions of chemical and target space [37]. The interpretability of complex models, the quantification of their uncertainty, and the establishment of trust sufficient to act on their recommendations are unresolved challenges [40]. Regulatory frameworks for medicines developed with substantial reliance on artificial intelligence are still evolving, and questions of validation, reproducibility, and accountability must be satisfactorily addressed before such approaches gain full acceptance [41]. Finally, the ethical dimensions of the technology—including the equitable distribution of its benefits and the guarding against its misuse, for instance the potential to design harmful rather than beneficial molecules—demand sustained and serious attention [46]. The very generative capabilities that make it possible to design molecules with therapeutic properties can, with equal facility, be turned to the design of molecules with toxic ones, and the research community has begun to grapple soberly with the dual-use character of these tools. Responsible development therefore entails not only technical safeguards but also norms, governance, and a culture of vigilance among practitioners, so that the extraordinary power to design novel bioactive matter is exercised in the service of human welfare. These considerations are not peripheral to the science; they are integral to its responsible practice, and they will grow only more pressing as the methods become more capable and more widely accessible.</w:t>
      </w:r>
    </w:p>
    <w:p>
      <w:pPr>
        <w:pStyle w:val="Normal"/>
      </w:pPr>
      <w:r>
        <w:t xml:space="preserve">The obstacles enumerated here should be read not as reasons for pessimism but as an agenda. Each of them—data quality, interpretability, uncertainty quantification, regulatory clarity, and ethical governance—defines a concrete direction in which progress is both necessary and achievable, and each is the subject of active and increasingly fruitful research. The trajectory of the field over the past decade, from tentative proofs of concept to prospectively validated discoveries and functioning autonomous platforms, gives ample reason to expect that these obstacles will yield in turn, even as new ones inevitably emerge to take their place [41].</w:t>
      </w:r>
    </w:p>
    <w:p>
      <w:pPr>
        <w:pStyle w:val="Heading2"/>
      </w:pPr>
      <w:r>
        <w:t xml:space="preserve">4.3.6 Synthesis and Outlook</w:t>
      </w:r>
    </w:p>
    <w:p>
      <w:pPr>
        <w:pStyle w:val="Normal"/>
      </w:pPr>
      <w:r>
        <w:t xml:space="preserve">Across the three domains examined in this chapter, a common theme recurs with striking consistency. In target identification, in virtual screening, and in lead optimisation and repurposing alike, artificial intelligence attains its greatest value not by supplanting experimental science but by directing it—by transforming an intractably large space of possibilities into a ranked and manageable set of hypotheses upon which experimental resources can be concentrated. The recurring cautionary note is likewise consistent: in each domain, the temptation to mistake a confident prediction for an established fact is ever-present, and in each domain the discipline of prospective experimental validation remains the ultimate arbiter of truth. The methods differ in their technical particulars, but the epistemology is the same throughout, and an appreciation of this shared logic is perhaps more valuable to the practitioner than familiarity with any specific algorithm [26].</w:t>
      </w:r>
    </w:p>
    <w:p>
      <w:pPr>
        <w:pStyle w:val="Normal"/>
      </w:pPr>
      <w:r>
        <w:t xml:space="preserve">Viewed as a whole, the application of artificial intelligence across the drug discovery pipeline represents neither the panacea that its most enthusiastic advocates sometimes proclaim nor the mere hype that its sceptics occasionally allege, but rather a genuine and consequential advance whose value is realised most fully when it is deployed thoughtfully, in close partnership with experimental science and human expertise [3]. The technology has already compressed timelines, expanded the accessible chemical and target space, and enabled the pursuit of hypotheses that would otherwise have remained beyond reach [8]. Its continued maturation will depend on improvements in data quality and sharing, on advances in the interpretability and reliability of models, and on the thoughtful integration of computational and experimental workflows into the coherent, self-improving platforms that the coming decade is likely to bring [47]. The chapters that follow build upon these foundations, examining in greater detail the specific methodologies and their application to particular therapeutic challenges.</w:t>
      </w:r>
    </w:p>
    <w:p>
      <w:pPr>
        <w:pStyle w:val="Heading1"/>
      </w:pPr>
      <w:r>
        <w:t xml:space="preserve">References</w:t>
      </w:r>
    </w:p>
    <w:p>
      <w:pPr>
        <w:pStyle w:val="References"/>
      </w:pPr>
      <w:r>
        <w:t xml:space="preserve">[1] Paul, S. M., Mytelka, D. S., Dunwiddie, C. T., Persinger, C. C., Munos, B. H., Lindborg, S. R., &amp; Schacht, A. L. (2010). How to improve R&amp;D productivity: the pharmaceutical industry's grand challenge. Nature Reviews Drug Discovery, 9(3), 203–214.</w:t>
      </w:r>
    </w:p>
    <w:p>
      <w:pPr>
        <w:pStyle w:val="References"/>
      </w:pPr>
      <w:r>
        <w:t xml:space="preserve">[2] Ashburn, T. T., &amp; Thor, K. B. (2004). Drug repositioning: identifying and developing new uses for existing drugs. Nature Reviews Drug Discovery, 3(8), 673–683.</w:t>
      </w:r>
    </w:p>
    <w:p>
      <w:pPr>
        <w:pStyle w:val="References"/>
      </w:pPr>
      <w:r>
        <w:t xml:space="preserve">[3] Vamathevan, J., Clark, D., Czodrowski, P., Dunham, I., Ferran, E., Lee, G., et al. (2019). Applications of machine learning in drug discovery and development. Nature Reviews Drug Discovery, 18(6), 463–477.</w:t>
      </w:r>
    </w:p>
    <w:p>
      <w:pPr>
        <w:pStyle w:val="References"/>
      </w:pPr>
      <w:r>
        <w:t xml:space="preserve">[4] Barabási, A. L., Gulbahce, N., &amp; Loscalzo, J. (2011). Network medicine: a network-based approach to human disease. Nature Reviews Genetics, 12(1), 56–68.</w:t>
      </w:r>
    </w:p>
    <w:p>
      <w:pPr>
        <w:pStyle w:val="References"/>
      </w:pPr>
      <w:r>
        <w:t xml:space="preserve">[5] Schneider, P., Walters, W. P., Plowright, A. T., Sieroka, N., Listgarten, J., Goodnow, R. A., et al. (2020). Rethinking drug design in the artificial intelligence era. Nature Reviews Drug Discovery, 19(5), 353–364.</w:t>
      </w:r>
    </w:p>
    <w:p>
      <w:pPr>
        <w:pStyle w:val="References"/>
      </w:pPr>
      <w:r>
        <w:t xml:space="preserve">[6] Nelson, M. R., Tipney, H., Painter, J. L., Shen, J., Nicoletti, P., Shen, Y., et al. (2015). The support of human genetic evidence for approved drug indications. Nature Genetics, 47(8), 856–860.</w:t>
      </w:r>
    </w:p>
    <w:p>
      <w:pPr>
        <w:pStyle w:val="References"/>
      </w:pPr>
      <w:r>
        <w:t xml:space="preserve">[7] Visscher, P. M., Wray, N. R., Zhang, Q., Sklar, P., McCarthy, M. I., Brown, M. A., &amp; Yang, J. (2017). 10 years of GWAS discovery: biology, function, and translation. American Journal of Human Genetics, 101(1), 5–22.</w:t>
      </w:r>
    </w:p>
    <w:p>
      <w:pPr>
        <w:pStyle w:val="References"/>
      </w:pPr>
      <w:r>
        <w:t xml:space="preserve">[8] Zou, J., Huss, M., Abid, A., Mohammadi, P., Torkamani, A., &amp; Telenti, A. (2019). A primer on deep learning in genomics. Nature Genetics, 51(1), 12–18.</w:t>
      </w:r>
    </w:p>
    <w:p>
      <w:pPr>
        <w:pStyle w:val="References"/>
      </w:pPr>
      <w:r>
        <w:t xml:space="preserve">[9] Hasin, Y., Seldin, M., &amp; Lusis, A. (2017). Multi-omics approaches to disease. Genome Biology, 18(1), 83.</w:t>
      </w:r>
    </w:p>
    <w:p>
      <w:pPr>
        <w:pStyle w:val="References"/>
      </w:pPr>
      <w:r>
        <w:t xml:space="preserve">[10] Argelaguet, R., Velten, B., Arnol, D., Dietrich, S., Zenz, T., Marioni, J. C., et al. (2018). Multi-Omics Factor Analysis—a framework for unsupervised integration of multi-omics data sets. Molecular Systems Biology, 14(6), e8124.</w:t>
      </w:r>
    </w:p>
    <w:p>
      <w:pPr>
        <w:pStyle w:val="References"/>
      </w:pPr>
      <w:r>
        <w:t xml:space="preserve">[11] Regev, A., Teichmann, S. A., Lander, E. S., Amit, I., Benoist, C., Birney, E., et al. (2017). The Human Cell Atlas. eLife, 6, e27041.</w:t>
      </w:r>
    </w:p>
    <w:p>
      <w:pPr>
        <w:pStyle w:val="References"/>
      </w:pPr>
      <w:r>
        <w:t xml:space="preserve">[12] Lopez, R., Regier, J., Cole, M. B., Jordan, M. I., &amp; Yosef, N. (2018). Deep generative modeling for single-cell transcriptomics. Nature Methods, 15(12), 1053–1058.</w:t>
      </w:r>
    </w:p>
    <w:p>
      <w:pPr>
        <w:pStyle w:val="References"/>
      </w:pPr>
      <w:r>
        <w:t xml:space="preserve">[13] Cheng, F., Kovács, I. A., &amp; Barabási, A. L. (2019). Network-based prediction of drug combinations. Nature Communications, 10(1), 1197.</w:t>
      </w:r>
    </w:p>
    <w:p>
      <w:pPr>
        <w:pStyle w:val="References"/>
      </w:pPr>
      <w:r>
        <w:t xml:space="preserve">[14] Gilmer, J., Schoenholz, S. S., Riley, P. F., Vinyals, O., &amp; Dahl, G. E. (2017). Neural message passing for quantum chemistry. Proceedings of the 34th International Conference on Machine Learning, 70, 1263–1272.</w:t>
      </w:r>
    </w:p>
    <w:p>
      <w:pPr>
        <w:pStyle w:val="References"/>
      </w:pPr>
      <w:r>
        <w:t xml:space="preserve">[15] Himmelstein, D. S., Lizee, A., Hessler, C., Brueggeman, L., Chen, S. L., Hadley, D., et al. (2017). Systematic integration of biomedical knowledge prioritizes drugs for repurposing. eLife, 6, e26726.</w:t>
      </w:r>
    </w:p>
    <w:p>
      <w:pPr>
        <w:pStyle w:val="References"/>
      </w:pPr>
      <w:r>
        <w:t xml:space="preserve">[16] Zitnik, M., Agrawal, M., &amp; Leskovec, J. (2018). Modeling polypharmacy side effects with graph convolutional networks. Bioinformatics, 34(13), i457–i466.</w:t>
      </w:r>
    </w:p>
    <w:p>
      <w:pPr>
        <w:pStyle w:val="References"/>
      </w:pPr>
      <w:r>
        <w:t xml:space="preserve">[17] Ochoa, D., Hercules, A., Carmona, M., Suveges, D., Gonzalez-Uriarte, A., Malangone, C., et al. (2021). Open Targets Platform: supporting systematic drug–target identification and prioritisation. Nucleic Acids Research, 49(D1), D1302–D1310.</w:t>
      </w:r>
    </w:p>
    <w:p>
      <w:pPr>
        <w:pStyle w:val="References"/>
      </w:pPr>
      <w:r>
        <w:t xml:space="preserve">[18] Wang, Q., Li, M., Wang, X., Parulian, N., Han, J., et al. (2021). COVID-19 literature knowledge graph construction and drug repurposing report generation. Proceedings of NAACL-HLT 2021: Demonstrations, 66–77.</w:t>
      </w:r>
    </w:p>
    <w:p>
      <w:pPr>
        <w:pStyle w:val="References"/>
      </w:pPr>
      <w:r>
        <w:t xml:space="preserve">[19] Emmerich, C. H., Gamboa, L. M., Hofmann, M. C. J., Bonin-Andresen, M., Arbach, O., Schendel, P., et al. (2021). Improving target assessment in biomedical research. Nature Reviews Drug Discovery, 20(1), 64–81.</w:t>
      </w:r>
    </w:p>
    <w:p>
      <w:pPr>
        <w:pStyle w:val="References"/>
      </w:pPr>
      <w:r>
        <w:t xml:space="preserve">[20] GTEx Consortium. (2020). The GTEx Consortium atlas of genetic regulatory effects across human tissues. Science, 369(6509), 1318–1330.</w:t>
      </w:r>
    </w:p>
    <w:p>
      <w:pPr>
        <w:pStyle w:val="References"/>
      </w:pPr>
      <w:r>
        <w:t xml:space="preserve">[21] Lin, A., Giuliano, C. J., Palladino, A., John, K. M., Abramowicz, C., Yuan, M. L., et al. (2019). Off-target toxicity is a common mechanism of action of cancer drugs undergoing clinical trials. Science Translational Medicine, 11(509), eaaw8412.</w:t>
      </w:r>
    </w:p>
    <w:p>
      <w:pPr>
        <w:pStyle w:val="References"/>
      </w:pPr>
      <w:r>
        <w:t xml:space="preserve">[22] Schneider, M., Pons, J. L., Bourguet, W., &amp; Labesse, G. (2020). Towards accurate high-throughput ligand affinity prediction by exploiting structural ensembles, docking metrics and ligand similarity. Bioinformatics, 36(1), 160–168.</w:t>
      </w:r>
    </w:p>
    <w:p>
      <w:pPr>
        <w:pStyle w:val="References"/>
      </w:pPr>
      <w:r>
        <w:t xml:space="preserve">[23] Jumper, J., Evans, R., Pritzel, A., Green, T., Figurnov, M., Ronneberger, O., et al. (2021). Highly accurate protein structure prediction with AlphaFold. Nature, 596(7873), 583–589.</w:t>
      </w:r>
    </w:p>
    <w:p>
      <w:pPr>
        <w:pStyle w:val="References"/>
      </w:pPr>
      <w:r>
        <w:t xml:space="preserve">[24] Varadi, M., Anyango, S., Deshpande, M., Nair, S., Natassia, C., Yordanova, G., et al. (2022). AlphaFold Protein Structure Database: massively expanding the structural coverage of protein-sequence space. Nucleic Acids Research, 50(D1), D439–D444.</w:t>
      </w:r>
    </w:p>
    <w:p>
      <w:pPr>
        <w:pStyle w:val="References"/>
      </w:pPr>
      <w:r>
        <w:t xml:space="preserve">[25] Prinz, F., Schlange, T., &amp; Asadullah, K. (2011). Believe it or not: how much can we rely on published data on potential drug targets? Nature Reviews Drug Discovery, 10(9), 712.</w:t>
      </w:r>
    </w:p>
    <w:p>
      <w:pPr>
        <w:pStyle w:val="References"/>
      </w:pPr>
      <w:r>
        <w:t xml:space="preserve">[26] Walters, W. P., &amp; Barzilay, R. (2021). Applications of deep learning in molecule generation and molecular property prediction. Accounts of Chemical Research, 54(2), 263–270.</w:t>
      </w:r>
    </w:p>
    <w:p>
      <w:pPr>
        <w:pStyle w:val="References"/>
      </w:pPr>
      <w:r>
        <w:t xml:space="preserve">[27] Macarron, R., Banks, M. N., Bojanic, D., Burns, D. J., Cirovic, D. A., Garyantes, T., et al. (2011). Impact of high-throughput screening in biomedical research. Nature Reviews Drug Discovery, 10(3), 188–195.</w:t>
      </w:r>
    </w:p>
    <w:p>
      <w:pPr>
        <w:pStyle w:val="References"/>
      </w:pPr>
      <w:r>
        <w:t xml:space="preserve">[28] Gorgulla, C., Boeszoermenyi, A., Wang, Z. F., Fischer, P. D., Coote, P. W., Padmanabha Das, K. M., et al. (2020). An open-source drug discovery platform enables ultra-large virtual screens. Nature, 580(7805), 663–668.</w:t>
      </w:r>
    </w:p>
    <w:p>
      <w:pPr>
        <w:pStyle w:val="References"/>
      </w:pPr>
      <w:r>
        <w:t xml:space="preserve">[29] Reymond, J. L. (2015). The chemical space project. Accounts of Chemical Research, 48(3), 722–730.</w:t>
      </w:r>
    </w:p>
    <w:p>
      <w:pPr>
        <w:pStyle w:val="References"/>
      </w:pPr>
      <w:r>
        <w:t xml:space="preserve">[30] Lavecchia, A. (2015). Machine-learning approaches in drug discovery: methods and applications. Drug Discovery Today, 20(3), 318–331.</w:t>
      </w:r>
    </w:p>
    <w:p>
      <w:pPr>
        <w:pStyle w:val="References"/>
      </w:pPr>
      <w:r>
        <w:t xml:space="preserve">[31] Stokes, J. M., Yang, K., Swanson, K., Jin, W., Cubillos-Ruiz, A., Donghia, N. M., et al. (2020). A deep learning approach to antibiotic discovery. Cell, 180(4), 688–702.</w:t>
      </w:r>
    </w:p>
    <w:p>
      <w:pPr>
        <w:pStyle w:val="References"/>
      </w:pPr>
      <w:r>
        <w:t xml:space="preserve">[32] Trott, O., &amp; Olson, A. J. (2010). AutoDock Vina: improving the speed and accuracy of docking with a new scoring function, efficient optimization, and multithreading. Journal of Computational Chemistry, 31(2), 455–461.</w:t>
      </w:r>
    </w:p>
    <w:p>
      <w:pPr>
        <w:pStyle w:val="References"/>
      </w:pPr>
      <w:r>
        <w:t xml:space="preserve">[33] Wang, R., Fang, X., Lu, Y., &amp; Wang, S. (2004). The PDBbind database: collection of binding affinities for protein–ligand complexes with known three-dimensional structures. Journal of Medicinal Chemistry, 47(12), 2977–2980.</w:t>
      </w:r>
    </w:p>
    <w:p>
      <w:pPr>
        <w:pStyle w:val="References"/>
      </w:pPr>
      <w:r>
        <w:t xml:space="preserve">[34] Ballester, P. J., &amp; Mitchell, J. B. O. (2010). A machine learning approach to predicting protein–ligand binding affinity with applications to molecular docking. Bioinformatics, 26(9), 1169–1175.</w:t>
      </w:r>
    </w:p>
    <w:p>
      <w:pPr>
        <w:pStyle w:val="References"/>
      </w:pPr>
      <w:r>
        <w:t xml:space="preserve">[35] Jiménez, J., Škalič, M., Martínez-Rosell, G., &amp; De Fabritiis, G. (2018). KDEEP: protein–ligand absolute binding affinity prediction via 3D-convolutional neural networks. Journal of Chemical Information and Modeling, 58(2), 287–296.</w:t>
      </w:r>
    </w:p>
    <w:p>
      <w:pPr>
        <w:pStyle w:val="References"/>
      </w:pPr>
      <w:r>
        <w:t xml:space="preserve">[36] Chen, L., Cruz, A., Ramsey, S., Dickson, C. J., Duca, J. S., Hornak, V., et al. (2019). Hidden bias in the DUD-E dataset leads to misleading performance of deep learning in structure-based virtual screening. PLOS ONE, 14(8), e0220113.</w:t>
      </w:r>
    </w:p>
    <w:p>
      <w:pPr>
        <w:pStyle w:val="References"/>
      </w:pPr>
      <w:r>
        <w:t xml:space="preserve">[37] Wallach, I., &amp; Heifets, A. (2018). Most ligand-based classification benchmarks reward memorization rather than generalization. Journal of Chemical Information and Modeling, 58(5), 916–932.</w:t>
      </w:r>
    </w:p>
    <w:p>
      <w:pPr>
        <w:pStyle w:val="References"/>
      </w:pPr>
      <w:r>
        <w:t xml:space="preserve">[38] Lyu, J., Wang, S., Balius, T. E., Singh, I., Levit, A., Moroz, Y. S., et al. (2019). Ultra-large library docking for discovering new chemotypes. Nature, 566(7743), 224–229.</w:t>
      </w:r>
    </w:p>
    <w:p>
      <w:pPr>
        <w:pStyle w:val="References"/>
      </w:pPr>
      <w:r>
        <w:t xml:space="preserve">[39] Öztürk, H., Özgür, A., &amp; Ozkirimli, E. (2018). DeepDTA: deep drug–target binding affinity prediction. Bioinformatics, 34(17), i821–i829.</w:t>
      </w:r>
    </w:p>
    <w:p>
      <w:pPr>
        <w:pStyle w:val="References"/>
      </w:pPr>
      <w:r>
        <w:t xml:space="preserve">[40] Huang, K., Fu, T., Glass, L. M., Zitnik, M., Xiao, C., &amp; Sun, J. (2021). DeepPurpose: a deep learning library for drug–target interaction prediction. Bioinformatics, 37(6), 830–832.</w:t>
      </w:r>
    </w:p>
    <w:p>
      <w:pPr>
        <w:pStyle w:val="References"/>
      </w:pPr>
      <w:r>
        <w:t xml:space="preserve">[41] Bagherian, M., Sabeti, E., Wang, K., Sartor, M. A., Nikolovska-Coleska, Z., &amp; Najarian, K. (2021). Machine learning approaches and databases for prediction of drug–target interaction: a survey paper. Briefings in Bioinformatics, 22(1), 247–269.</w:t>
      </w:r>
    </w:p>
    <w:p>
      <w:pPr>
        <w:pStyle w:val="References"/>
      </w:pPr>
      <w:r>
        <w:t xml:space="preserve">[42] Chithrananda, S., Grand, G., &amp; Ramsundar, B. (2020). ChemBERTa: large-scale self-supervised pretraining for molecular property prediction. arXiv preprint arXiv:2010.09885.</w:t>
      </w:r>
    </w:p>
    <w:p>
      <w:pPr>
        <w:pStyle w:val="References"/>
      </w:pPr>
      <w:r>
        <w:t xml:space="preserve">[43] Olivecrona, M., Blaschke, T., Engkvist, O., &amp; Chen, H. (2017). Molecular de-novo design through deep reinforcement learning. Journal of Cheminformatics, 9(1), 48.</w:t>
      </w:r>
    </w:p>
    <w:p>
      <w:pPr>
        <w:pStyle w:val="References"/>
      </w:pPr>
      <w:r>
        <w:t xml:space="preserve">[44] Gómez-Bombarelli, R., Wei, J. N., Duvenaud, D., Hernández-Lobato, J. M., Sánchez-Lengeling, B., Sheberla, D., et al. (2018). Automatic chemical design using a data-driven continuous representation of molecules. ACS Central Science, 4(2), 268–276.</w:t>
      </w:r>
    </w:p>
    <w:p>
      <w:pPr>
        <w:pStyle w:val="References"/>
      </w:pPr>
      <w:r>
        <w:t xml:space="preserve">[45] Gao, W., &amp; Coley, C. W. (2020). The synthesizability of molecules proposed by generative models. Journal of Chemical Information and Modeling, 60(12), 5714–5723.</w:t>
      </w:r>
    </w:p>
    <w:p>
      <w:pPr>
        <w:pStyle w:val="References"/>
      </w:pPr>
      <w:r>
        <w:t xml:space="preserve">[46] Jiménez-Luna, J., Grisoni, F., &amp; Schneider, G. (2020). Drug discovery with explainable artificial intelligence. Nature Machine Intelligence, 2(10), 573–584.</w:t>
      </w:r>
    </w:p>
    <w:p>
      <w:pPr>
        <w:pStyle w:val="References"/>
      </w:pPr>
      <w:r>
        <w:t xml:space="preserve">[47] Zhavoronkov, A., Ivanenkov, Y. A., Aliper, A., Veselov, M. S., Aladinskiy, V. A., Aladinskaya, A. V., et al. (2019). Deep learning enables rapid identification of potent DDR1 kinase inhibitors. Nature Biotechnology, 37(9), 1038–1040.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120" w:after="60"/>
      <w:jc w:val="lef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_Target_Identification.png"/><Relationship Id="rId3" Type="http://schemas.openxmlformats.org/officeDocument/2006/relationships/image" Target="media/Figure_2_DTI_Architecture.png"/><Relationship Id="rId4" Type="http://schemas.openxmlformats.org/officeDocument/2006/relationships/image" Target="media/Figure_3_Generative_Design.png"/><Relationship Id="rId5" Type="http://schemas.openxmlformats.org/officeDocument/2006/relationships/image" Target="media/Figure_4_Drug_Repurposing.png"/></Relationships>
</file>