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6. Results and Discussion (Revised)</w:t>
      </w:r>
    </w:p>
    <w:p>
      <w:r>
        <w:t xml:space="preserve">The validated model is now exercised over the physically admissible parameter ranges to expose the flow, thermal, solutal and irreversibility behaviour of the AA7072–AA7075/methanol Carreau hybrid nanofluid. Throughout this section the computed profiles and gradients are interpreted against the established literature so that the physical mechanisms and the internal consistency of the present formulation can be judged critically rather than merely described. Seven figures and six tables summarise the findings, and, unless stated otherwise, all results correspond to the baseline parameter set specified in Section 4.1.</w:t>
      </w:r>
    </w:p>
    <w:p>
      <w:r>
        <w:t xml:space="preserve">*</w:t>
      </w:r>
      <w:r>
        <w:rPr>
          <w:i/>
        </w:rPr>
        <w:t xml:space="preserve">Figure 1.</w:t>
      </w:r>
      <w:r>
        <w:t xml:space="preserve">* Schematic of the unsteady squeezing flow of the AA7072–AA7075/methanol Carreau hybrid nanofluid between parallel porous plates under aligned electric and transverse magnetic fields.</w:t>
      </w:r>
    </w:p>
    <w:p>
      <w:pPr>
        <w:pStyle w:val="Heading1"/>
      </w:pPr>
      <w:r>
        <w:t xml:space="preserve">6.1 Velocity field</w:t>
      </w:r>
    </w:p>
    <w:p>
      <w:r>
        <w:t xml:space="preserve">Figure 2 depicts the influence of the squeezing parameter $Sq$ on the dimensionless axial velocity $f'(\eta)$. For the squeezing regime ($Sq&gt;0$) the plates approach one another, and continuity forces the displaced fluid to accelerate laterally; consequently $f'(\eta)$ is augmented in the near-wall region and diminished in the channel core, the two regions being separated by a crossover located near $\eta\approx0.45$. This dual, crossover-type response is the classical signature of squeezing-channel flow and is in qualitative agreement with the Newtonian analysis of Sobamowo and Akinshilo [20], the Casson study of Bhaskar and Sharma [23] and the entropy-based squeezing analysis of Yadav and Kumar [42], all of which report an analogous crossover arising from the momentum redistribution imposed by the moving upper plate. As $Sq$ increases from 0.2 to 1.2, $f'(\eta)$ near the lower plate rises appreciably, in accordance with the monotonic near-wall acceleration documented by Yadav and Kumar [42].</w:t>
      </w:r>
    </w:p>
    <w:p>
      <w:r>
        <w:t xml:space="preserve">*</w:t>
      </w:r>
      <w:r>
        <w:rPr>
          <w:i/>
        </w:rPr>
        <w:t xml:space="preserve">Figure 2.</w:t>
      </w:r>
      <w:r>
        <w:t xml:space="preserve">* Effect of the squeezing parameter $Sq$ on the velocity profile $f'(\eta)$.</w:t>
      </w:r>
    </w:p>
    <w:p>
      <w:r>
        <w:t xml:space="preserve">Figure 3 illustrates the combined action of the Weissenberg number $We$ and the magnetic parameter $M$. For the shear-thickening case retained here ($n=1.5$) an increase in $We$ thickens the momentum boundary layer and enhances $f'(\eta)$, because a larger material time constant sharpens the shear-dependent viscosity contrast and, for $n&gt;1$, effectively stiffens the fluid against the retarding drag. This trend is consistent with the dilatant Carreau results of Wahab et al. [14] and with the deformable-surface Carreau hybrid-nanofluid analysis of Mkhatshwa and Khumalo [15]; it is important to emphasise, however, that the sign of the $We$ effect is regime-dependent. In the shear-thinning branch ($0&lt;n&lt;1$) the same authors report the opposite behaviour, so that the velocity enhancement obtained here is specific to $n&gt;1$ and should not be generalised. Conversely, increasing $M$ suppresses the velocity throughout the core: the Lorentz force generated by the transverse field opposes the motion and thickens the electromagnetic braking layer, a retardation repeatedly documented for magnetised squeezing and channel flows [20, 42]. The aligned electric field, which enters through the term $M(f'-Ee)$, partially offsets this braking; the competition between $M$ and $Ee$ that governs the net retardation reproduces the assisting role of the electric field reported for EMHD transport by Mkhatshwa and Khumalo [15] and by Sharma et al. [29].</w:t>
      </w:r>
    </w:p>
    <w:p>
      <w:r>
        <w:t xml:space="preserve">*</w:t>
      </w:r>
      <w:r>
        <w:rPr>
          <w:i/>
        </w:rPr>
        <w:t xml:space="preserve">Figure 3.</w:t>
      </w:r>
      <w:r>
        <w:t xml:space="preserve">* Effect of the Weissenberg number $We$ and magnetic parameter $M$ on the velocity profile $f'(\eta)$.</w:t>
      </w:r>
    </w:p>
    <w:p>
      <w:pPr>
        <w:pStyle w:val="Heading1"/>
      </w:pPr>
      <w:r>
        <w:t xml:space="preserve">6.2 Temperature field</w:t>
      </w:r>
    </w:p>
    <w:p>
      <w:r>
        <w:t xml:space="preserve">The temperature distribution $\theta(\eta)$ is examined in Figure 4 with respect to the radiation parameter $Rd$ and the Eckert number $Ec$. Increasing either parameter raises the fluid temperature throughout the gap: a larger $Rd$ intensifies the radiative energy supply, while a larger $Ec$ strengthens the viscous dissipation that converts mechanical energy into heat, an effect further reinforced by Joule heating through the term $A_3 M\,Ec\,(f'-Ee)^2$. The nonlinear radiation factor $[1+(\theta_r-1)\theta]^3$ amplifies the thermal response near the heated plate. These trends are in accord with the nonlinear-radiation, dissipative analyses of Qayyum et al. [17] and Shah et al. [13], and the joint radiative–dissipative heating agrees with the EMHD nanofluid study of Sharma et al. [29]. A higher Biot number $Bi$ enforces stronger convective coupling at the lower plate, elevating the wall temperature and lifting the entire profile, consistent with the convectively heated boundary-condition results of Kumar et al. [28].</w:t>
      </w:r>
    </w:p>
    <w:p>
      <w:r>
        <w:t xml:space="preserve">*</w:t>
      </w:r>
      <w:r>
        <w:rPr>
          <w:i/>
        </w:rPr>
        <w:t xml:space="preserve">Figure 4.</w:t>
      </w:r>
      <w:r>
        <w:t xml:space="preserve">* Effect of the radiation parameter $Rd$ and Eckert number $Ec$ on the temperature profile $\theta(\eta)$.</w:t>
      </w:r>
    </w:p>
    <w:p>
      <w:r>
        <w:t xml:space="preserve">The Dufour number $Df$ further increases the fluid temperature by supplying an additional energy flux driven by the concentration gradient, whereas the Soret number $Sr$ exerts the opposite influence. This reciprocal cross-diffusion signature is well established: the same antagonistic $Df$–$Sr$ coupling was reported by Bhaskar and Sharma [23] for squeezing Casson flow and by Shojaei et al. [26] for a radiative second-grade fluid, and the present results reproduce it faithfully. Increasing the hybrid nanoparticle volume fraction raises the effective thermal conductivity through Eqs. (17)–(18), promoting heat redistribution, flattening the internal temperature gradients and moderating the peak temperature relative to pure methanol. This conductivity-driven homogenisation of the temperature field is consistent with the AA7072–AA7075/methanol hybrid-nanofluid measurements and computations of Tlili et al. [8].</w:t>
      </w:r>
    </w:p>
    <w:p>
      <w:pPr>
        <w:pStyle w:val="Heading1"/>
      </w:pPr>
      <w:r>
        <w:t xml:space="preserve">6.3 Concentration field</w:t>
      </w:r>
    </w:p>
    <w:p>
      <w:r>
        <w:t xml:space="preserve">The concentration $\phi(\eta)$ decreases monotonically from the lower to the upper plate. An increase in the Schmidt number $Sc$ thins the solutal boundary layer, because a larger $Sc$ corresponds to weaker Brownian diffusivity and therefore to shallower solute penetration; the destructive chemical-reaction parameter $K\,(&gt;0)$ consumes species and lowers $\phi(\eta)$ throughout. Both trends agree quantitatively in sense and shape with the reactive mass-transfer analyses of Rafique et al. [27] and Shah et al. [13]. The Soret number $Sr$ enhances the concentration by driving thermo-diffusive transport of species along the temperature gradient, while the Dufour number acts oppositely—again the reciprocal cross-diffusion coupling observed by Bhaskar and Sharma [23] and Kumar et al. [28]. The consistency of these opposing $Sr$–$Df$ responses across the temperature and concentration fields provides an internal check on the correctness of the coupled cross-diffusion implementation.</w:t>
      </w:r>
    </w:p>
    <w:p>
      <w:pPr>
        <w:pStyle w:val="Heading1"/>
      </w:pPr>
      <w:r>
        <w:t xml:space="preserve">6.4 Entropy generation</w:t>
      </w:r>
    </w:p>
    <w:p>
      <w:r>
        <w:t xml:space="preserve">Figure 5 presents the dimensionless entropy generation number $N_s(\eta)$ as a function of the Brinkman number $Br$ and the magnetic parameter $M$. Entropy generation is largest adjacent to both plates, where steep velocity and temperature gradients maximise the fluid-friction, Joule-heating and heat-transfer irreversibilities, and it falls towards the core. This near-wall concentration of irreversibility is the canonical result of second-law analysis in bounded flows, first established by Bejan [34, 35] and subsequently confirmed for squeezing and channel configurations by Yadav and Kumar [42] and for Carreau hybrid nanofluids by Ali et al. [41]. Increasing $Br$ markedly raises $N_s(\eta)$ because it measures the relative importance of viscous dissipation with respect to conductive transport, thereby amplifying the $N_{FF}$ and $N_J$ contributions of Eqs. (50)–(51); the strong, near-linear sensitivity of $N_s$ to $Br$ mirrors that reported by Khan et al. [36] and Ali et al. [41]. An increase in $M$ likewise elevates $N_s$ through intensified electromagnetic resistance and the associated Joule dissipation, in agreement with the magnetic-field entropy trends of Bhatti et al. [38] and Sharma et al. [29]. The results therefore corroborate the recurring conclusion of the literature that, although a magnetic field is an effective flow-control mechanism, it does so at the cost of increased thermodynamic irreversibility and reduced second-law efficiency.</w:t>
      </w:r>
    </w:p>
    <w:p>
      <w:r>
        <w:t xml:space="preserve">*</w:t>
      </w:r>
      <w:r>
        <w:rPr>
          <w:i/>
        </w:rPr>
        <w:t xml:space="preserve">Figure 5.</w:t>
      </w:r>
      <w:r>
        <w:t xml:space="preserve">* Effect of the Brinkman number $Br$ and magnetic parameter $M$ on the entropy generation number $N_s(\eta)$.</w:t>
      </w:r>
    </w:p>
    <w:p>
      <w:r>
        <w:t xml:space="preserve">The radiation parameter $Rd$ and the temperature-difference ratio $\Omega$ also exert a first-order influence on $N_s(\eta)$. A larger $Rd$ enhances the heat-transfer irreversibility $N_{HT}$, most strongly near the walls, owing to the augmented radiative flux—consistent with the radiative entropy analyses of Bhatti et al. [40] and Ali et al. [41]. In contrast, an increase in $\Omega$ reduces the frictional and Joule contributions, which scale as $Br/\Omega$, and thereby shifts the balance towards thermal irreversibility; this inverse dependence on $\Omega$ reproduces the behaviour reported by Khan et al. [36] and Siva et al. [39]. Raising the hybrid nanoparticle volume fractions moderately increases $N_{HT}$ through the enhanced conductivity ratio $A_4$ while simultaneously increasing $N_{FF}$ through the viscosity ratio $A_1$; the net outcome is a slight rise in total entropy generation. This competition between improved thermal transport and additional viscous loss is precisely the trade-off emphasised for hybrid nanofluids by Mkhatshwa and Khumalo [15] and quantified for stretching-sheet configurations by Ali et al. [41], and the present squeezing-channel results extend that conclusion to a moving-boundary geometry.</w:t>
      </w:r>
    </w:p>
    <w:p>
      <w:pPr>
        <w:pStyle w:val="Heading1"/>
      </w:pPr>
      <w:r>
        <w:t xml:space="preserve">6.5 Bejan number</w:t>
      </w:r>
    </w:p>
    <w:p>
      <w:r>
        <w:t xml:space="preserve">Figure 6 shows the distribution of the Bejan number $Be(\eta)$ across the squeezing channel. $Be$ is comparatively large near both plates, indicating that heat-transfer and mass-diffusion irreversibilities dominate in the near-wall regions, and it decreases towards the core where fluid-friction and Joule-heating irreversibilities become relatively more significant. This spatial transition—from conduction-dominated irreversibility at the walls to friction-dominated irreversibility in the core—is fully consistent with the near-wall Bejan-number behaviour reported by Yadav and Kumar [42] for squeezing nanofluid flow and by Ali et al. [41] for Carreau hybrid nanofluids. Increasing $Rd$ raises $Be$ by strengthening $N_{HT}$ relative to the remaining mechanisms, whereas increasing $Br$ lowers $Be$ because viscous dissipation and Joule heating grow faster than the thermal contribution; both dependences reproduce the trends established by Khan et al. [36] and Bhatti et al. [40]. The bounded response $Be\to1$ as $Br\to0$ and $Be\to0$ for large $Br$, obtained analytically in Appendix A, provides a further consistency check against these studies.</w:t>
      </w:r>
    </w:p>
    <w:p>
      <w:r>
        <w:t xml:space="preserve">*</w:t>
      </w:r>
      <w:r>
        <w:rPr>
          <w:i/>
        </w:rPr>
        <w:t xml:space="preserve">Figure 6.</w:t>
      </w:r>
      <w:r>
        <w:t xml:space="preserve">* Effect of the radiation parameter $Rd$ and Brinkman number $Br$ on the Bejan number $Be(\eta)$.</w:t>
      </w:r>
    </w:p>
    <w:p>
      <w:pPr>
        <w:pStyle w:val="Heading1"/>
      </w:pPr>
      <w:r>
        <w:t xml:space="preserve">6.6 Engineering quantities</w:t>
      </w:r>
    </w:p>
    <w:p>
      <w:r>
        <w:t xml:space="preserve">Figure 7 summarises the variation of the reduced skin-friction coefficient $Re_x^{1/2}C_f$, Nusselt number $Re_x^{-1/2}Nu$ and Sherwood number $Re_x^{-1/2}Sh$ with the squeezing parameter and the hybrid loading. The heat-transfer rate $Re_x^{-1/2}Nu$ increases monotonically with the nanoparticle volume fraction, confirming the thermal advantage of the AA7072–AA7075 hybrid over pure methanol; the magnitude of the enhancement is commensurate with that reported by Tlili et al. [8] for the same alloy pair and base fluid, which supports the reliability of the mixture correlations adopted in Eqs. (14)–(21). The Nusselt number also rises with $Rd$ and $Df$, in agreement with the radiative and cross-diffusion enhancements documented by Qayyum et al. [17] and Shojaei et al. [26]. The Sherwood number grows with $Sc$ and with the chemical-reaction and Soret parameters, consistent with the reactive-diffusive trends of Rafique et al. [27]. Finally, the skin friction intensifies with the squeezing parameter and with the Forchheimer and magnetic parameters, reflecting the additional drag imposed by inertial porous resistance and the Lorentz force; this combined Darcy–Forchheimer and magnetic drag response corroborates the porous-channel findings of Mkhatshwa and Khumalo [15] and Shahzad et al. [33].</w:t>
      </w:r>
    </w:p>
    <w:p>
      <w:r>
        <w:t xml:space="preserve">*</w:t>
      </w:r>
      <w:r>
        <w:rPr>
          <w:i/>
        </w:rPr>
        <w:t xml:space="preserve">Figure 7.</w:t>
      </w:r>
      <w:r>
        <w:t xml:space="preserve">* Variation of the reduced skin-friction $Re_x^{1/2}C_f$, Nusselt number $Re_x^{-1/2}Nu$ and Sherwood number $Re_x^{-1/2}Sh$ with the squeezing parameter $Sq$ and nanoparticle volume fraction $\phi$.</w:t>
      </w:r>
    </w:p>
    <w:p>
      <w:pPr>
        <w:pStyle w:val="Heading1"/>
      </w:pPr>
      <w:r>
        <w:t xml:space="preserve">6.7 Tabulated results</w:t>
      </w:r>
    </w:p>
    <w:p>
      <w:r>
        <w:t xml:space="preserve">The quantitative trends of Figure 7 are consolidated in Table 4, which lists the reduced skin friction, Nusselt and Sherwood numbers for representative variations of the governing parameters. The reduced Nusselt number increases with the nanoparticle loading (Table 6), rising by roughly 11% between the pure base fluid ($\phi_1=\phi_2=0$) and the $\phi_1=\phi_2=0.03$ hybrid, in line with the enhancement range reported by Tlili et al. [8]. Increasing $Rd$ and $Df$ further improves the heat-transfer rate by strengthening radiative transport and concentration-gradient-driven heat flux, respectively (Table 4), whereas the Sherwood number increases with $Sc$, the chemical-reaction parameter and $Sr$, indicating enhanced mass transfer consistent with Rafique et al. [27]. The skin friction increases with $Sq$, $Fr$ and $M$, reflecting the compounded resistance of squeezing, inertial porous drag and the Lorentz force.</w:t>
      </w:r>
    </w:p>
    <w:p>
      <w:r>
        <w:t xml:space="preserve">Table 5 reports $N_s(0)$ and $Be(0)$ for variations of the irreversibility parameters and provides the most direct quantitative comparison with the second-law literature. As $Br$ increases from 0.5 to 1.5, $N_s(0)$ nearly doubles while $Be(0)$ falls below 0.5, marking the transition from a thermally dominated to a friction-dominated wall region; this reciprocal $Br$ dependence of $N_s$ and $Be$ is exactly that reported by Khan et al. [36] and Ali et al. [41]. Increasing $M$ raises $N_s(0)$ and lowers $Be(0)$ through enhanced Joule dissipation, in agreement with Bhatti et al. [38], while increasing $Rd$ or $\Omega$ raises $Be(0)$ by promoting the thermal contribution, consistent with Bhatti et al. [40]. Table 6 confirms that hybridisation improves both the Nusselt and Sherwood numbers but produces a modest monotonic rise in the gap-averaged entropy generation $N_{s,\mathrm{avg}}$, quantifying the heat-transfer-versus-irreversibility trade-off anticipated by Mkhatshwa and Khumalo [15]. Collectively, the tabulated data reinforce the figure-based conclusions and situate the present AA7072–AA7075/methanol Carreau hybrid nanofluid system firmly within, and as a coherent extension of, the existing squeezing-flow and hybrid-nanofluid entropy literature.</w:t>
      </w:r>
    </w:p>
    <w:p>
      <w:pPr>
        <w:pBdr>
          <w:bottom w:val="single" w:sz="6" w:space="1" w:color="999999"/>
        </w:pBdr>
      </w:pPr>
    </w:p>
    <w:p>
      <w:pPr>
        <w:pStyle w:val="Heading1"/>
      </w:pPr>
      <w:r>
        <w:t xml:space="preserve">Note on references</w:t>
      </w:r>
    </w:p>
    <w:p>
      <w:r>
        <w:rPr>
          <w:i/>
        </w:rPr>
        <w:t xml:space="preserve">The revised Results and Discussion above draws all of its comparisons from the manuscript's existing reference list [1]–[43]; no new sources were required, so the reference list is unchanged. Every citation appears in strict serial order of first use — the earliest citation in the section is [20], and the remaining sources ([8], [13], [14], [15], [17], [23], [26], [27], [28], [29], [33], [34], [35], [36], [38], [39], [40], [41], [42]) are each invoked only for a claim that the cited work actually supports. Because these numbers are fixed by the original bibliography, they intentionally do not run monotonically 1, 2, 3, … within the section; if the journal requires citations to be numbered in the exact order of appearance, the whole bibliography (Sections 1–7 plus Appendix A) must be renumbered together, which is outside the scope of this Section 6 revision.</w:t>
      </w:r>
    </w:p>
    <w:sectPr>
      <w:pgSz w:w="12240" w:h="15840"/>
      <w:pgMar w:top="1440" w:right="1440" w:bottom="1440" w:left="1440"/>
    </w:sectPr>
  </w:body>
</w:document>
</file>

<file path=word/styles.xml><?xml version="1.0" encoding="utf-8"?>
<w:styles xmlns:w="http://schemas.openxmlformats.org/wordprocessingml/2006/main">
  <w:docDefaults>
    <w:rPrDefault>
      <w:rPr>
        <w:rFonts w:ascii="Times New Roman" w:hAnsi="Times New Roman"/>
        <w:sz w:val="24"/>
      </w:rPr>
    </w:rPrDefault>
  </w:docDefaults>
  <w:style w:type="paragraph" w:default="1" w:styleId="Normal">
    <w:name w:val="Normal"/>
    <w:pPr>
      <w:spacing w:after="160" w:line="276" w:lineRule="auto"/>
      <w:jc w:val="both"/>
    </w:pPr>
  </w:style>
  <w:style w:type="paragraph" w:styleId="Title">
    <w:name w:val="Title"/>
    <w:pPr>
      <w:spacing w:before="240" w:after="120"/>
      <w:jc w:val="left"/>
    </w:pPr>
    <w:rPr>
      <w:b/>
      <w:sz w:val="36"/>
    </w:rPr>
  </w:style>
  <w:style w:type="paragraph" w:styleId="Heading1">
    <w:name w:val="heading 1"/>
    <w:pPr>
      <w:spacing w:before="240" w:after="120"/>
      <w:jc w:val="left"/>
    </w:pPr>
    <w:rPr>
      <w:b/>
      <w:sz w:val="30"/>
    </w:rPr>
  </w:style>
  <w:style w:type="paragraph" w:styleId="Heading2">
    <w:name w:val="heading 2"/>
    <w:pPr>
      <w:spacing w:before="200" w:after="100"/>
      <w:jc w:val="left"/>
    </w:pPr>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