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m="http://schemas.openxmlformats.org/officeDocument/2006/math">
  <w:body>
    <w:p>
      <w:pPr>
        <w:spacing w:after="240"/>
        <w:jc w:val="center"/>
      </w:pPr>
      <w:r>
        <w:rPr>
          <w:b/>
          <w:sz w:val="30"/>
        </w:rPr>
        <w:t xml:space="preserve">AI-Assisted Medication-Safety Education for Caregivers of Children with Neurodevelopmental Disorders: A Prospective Study of Knowledge Improvement and 3-Month Retention</w:t>
      </w:r>
    </w:p>
    <w:p>
      <w:pPr>
        <w:spacing w:before="240" w:after="120"/>
      </w:pPr>
      <w:r>
        <w:rPr>
          <w:b/>
          <w:sz w:val="26"/>
        </w:rPr>
        <w:t xml:space="preserve">Abstract</w:t>
      </w:r>
    </w:p>
    <w:p>
      <w:pPr>
        <w:spacing w:after="120" w:line="276" w:lineRule="auto"/>
        <w:jc w:val="both"/>
      </w:pPr>
      <w:r>
        <w:t xml:space="preserve">Background: Medication safety in children with neurodevelopmental disorders is contingent to a substantial degree upon caregiver knowledge and the fidelity of medication administration. AI-assisted education may constitute an accessible and reproducible modality for strengthening caregiver medication-safety competencies.</w:t>
      </w:r>
    </w:p>
    <w:p>
      <w:pPr>
        <w:spacing w:after="120" w:line="276" w:lineRule="auto"/>
        <w:jc w:val="both"/>
      </w:pPr>
      <w:r>
        <w:t xml:space="preserve">Objective: To evaluate the effect of AI-assisted medication-safety education on caregiver knowledge, medication-safety practices, adverse drug reaction (ADR) recognition, medication-error recognition, and confidence.</w:t>
      </w:r>
    </w:p>
    <w:p>
      <w:pPr>
        <w:spacing w:after="120" w:line="276" w:lineRule="auto"/>
        <w:jc w:val="both"/>
      </w:pPr>
      <w:r>
        <w:t xml:space="preserve">Methods: A prospective longitudinal interventional study was conducted among 170 caregivers of children with neurodevelopmental disorders receiving pharmacological treatment. A clinician-reviewed AI-assisted educational intervention addressed medication identification, administration and dosing, ADR recognition, medication-error prevention, adherence, and storage. Outcomes were assessed at baseline, 4 weeks, and 3 months. The primary outcome was the change in medication-safety knowledge at 4 weeks.</w:t>
      </w:r>
    </w:p>
    <w:p>
      <w:pPr>
        <w:spacing w:after="120" w:line="276" w:lineRule="auto"/>
        <w:jc w:val="both"/>
      </w:pPr>
      <w:r>
        <w:t xml:space="preserve">Results: Mean overall knowledge increased from 51.8 ± 11.4% at baseline to 78.6 ± 9.8% at 4 weeks and remained 74.2 ± 10.3% at 3 months (P &lt; 0.001). Adequate ADR recognition increased from 42.4% to 85.8% at 4 weeks and 80.3% at 3 months, whereas medication-error recognition increased from 48.8% to 87.0% and 82.8%, respectively. Caregiver confidence increased from 5.6 ± 1.8 to 8.1 ± 1.2 at 4 weeks and remained 7.7 ± 1.4 at 3 months (P &lt; 0.001).</w:t>
      </w:r>
    </w:p>
    <w:p>
      <w:pPr>
        <w:spacing w:after="120" w:line="276" w:lineRule="auto"/>
        <w:jc w:val="both"/>
      </w:pPr>
      <w:r>
        <w:t xml:space="preserve">Conclusion: AI-assisted, clinician-reviewed medication-safety education was associated with substantial and sustained improvements in caregiver knowledge, safety practices, ADR and medication-error recognition, and confidence. Randomized controlled studies incorporating objective medication-safety outcomes are warranted.</w:t>
      </w:r>
    </w:p>
    <w:p>
      <w:pPr>
        <w:spacing w:after="120" w:line="276" w:lineRule="auto"/>
        <w:jc w:val="both"/>
      </w:pPr>
      <w:r>
        <w:t xml:space="preserve">Keywords: Artificial intelligence, Medication safety, Caregivers, Neurodevelopmental disorders, Medication errors, Adverse drug reactions.</w:t>
      </w:r>
    </w:p>
    <w:p>
      <w:pPr>
        <w:spacing w:before="240" w:after="120"/>
      </w:pPr>
      <w:r>
        <w:rPr>
          <w:b/>
          <w:sz w:val="26"/>
        </w:rPr>
        <w:t xml:space="preserve">Introduction</w:t>
      </w:r>
    </w:p>
    <w:p>
      <w:pPr>
        <w:spacing w:after="120" w:line="276" w:lineRule="auto"/>
        <w:jc w:val="both"/>
      </w:pPr>
      <w:r>
        <w:t xml:space="preserve">Neurodevelopmental disorders constitute a heterogeneous group of conditions characterized by impairments in developmental, cognitive, behavioral, communicative, and adaptive functioning. Children affected by these disorders frequently require protracted pharmacological treatment for associated conditions, including epilepsy, attention-deficit/hyperactivity disorder, behavioral symptoms, sleep disturbances, anxiety, mood symptoms, and additional comorbidities.</w:t>
      </w:r>
    </w:p>
    <w:p>
      <w:pPr>
        <w:spacing w:after="120" w:line="276" w:lineRule="auto"/>
        <w:jc w:val="both"/>
      </w:pPr>
      <w:r>
        <w:t xml:space="preserve">In pediatric populations, medication administration is frequently delegated to parents or other caregivers. Consequently, the safety and effectiveness of pharmacotherapy may be governed not solely by the prescribed regimen but equally by the caregiver's comprehension of medication nomenclature, dosing, administration schedules, adverse effects, adherence requirements, and appropriate responses to medication-related problems.</w:t>
      </w:r>
    </w:p>
    <w:p>
      <w:pPr>
        <w:spacing w:after="120" w:line="276" w:lineRule="auto"/>
        <w:jc w:val="both"/>
      </w:pPr>
      <w:r>
        <w:t xml:space="preserve">Medication errors may arise at multiple stages of the medication-use process. Inaccurate dose measurement, omitted or duplicated doses, inappropriate administration, misinterpretation of instructions, premature discontinuation, and failure to recognize adverse drug reactions may each compromise therapeutic safety. Such challenges may be especially salient in children requiring polypharmacy or prolonged pharmacotherapy. Medication counseling therefore represents an indispensable component of rational and safe pharmacotherapy.</w:t>
      </w:r>
    </w:p>
    <w:p>
      <w:pPr>
        <w:spacing w:after="120" w:line="276" w:lineRule="auto"/>
        <w:jc w:val="both"/>
      </w:pPr>
      <w:r>
        <w:t xml:space="preserve">Artificial intelligence has emerged as a prospective instrument for delivering health education and facilitating access to health information. An AI-assisted educational system can furnish interactive and reproducible content and may enable caregivers to revisit information beyond the confines of routine clinical encounters.</w:t>
      </w:r>
    </w:p>
    <w:p>
      <w:pPr>
        <w:spacing w:after="120" w:line="276" w:lineRule="auto"/>
        <w:jc w:val="both"/>
      </w:pPr>
      <w:r>
        <w:t xml:space="preserve">Nevertheless, the deployment of AI in medication-related education necessitates appropriate safeguards. AI should neither independently prescribe, modify doses, nor discontinue medicines, diagnose adverse reactions, or supplant professional clinical assessment. An educational AI intervention should accordingly operate within a clinician-reviewed knowledge framework and should delineate educational information unambiguously from individualized clinical decision-making.</w:t>
      </w:r>
    </w:p>
    <w:p>
      <w:pPr>
        <w:spacing w:after="120" w:line="276" w:lineRule="auto"/>
        <w:jc w:val="both"/>
      </w:pPr>
      <w:r>
        <w:t xml:space="preserve">Evidence characterizing the longitudinal retention of medication-safety knowledge following AI-assisted education among caregivers of children with neurodevelopmental disorders remains sparse. The present study was therefore designed to evaluate changes in caregiver knowledge following an AI-assisted medication-safety education intervention and to ascertain whether such improvements are retained at 3 months.</w:t>
      </w:r>
    </w:p>
    <w:p>
      <w:pPr>
        <w:spacing w:before="240" w:after="120"/>
      </w:pPr>
      <w:r>
        <w:rPr>
          <w:b/>
          <w:sz w:val="26"/>
        </w:rPr>
        <w:t xml:space="preserve">Objectives</w:t>
      </w:r>
    </w:p>
    <w:p>
      <w:pPr>
        <w:spacing w:after="120" w:line="276" w:lineRule="auto"/>
        <w:jc w:val="both"/>
      </w:pPr>
      <w:r>
        <w:t xml:space="preserve">Primary objective: To determine the effect of an AI-assisted medication-safety education intervention on medication-safety knowledge among caregivers of children with neurodevelopmental disorders.</w:t>
      </w:r>
    </w:p>
    <w:p>
      <w:pPr>
        <w:spacing w:after="120" w:line="276" w:lineRule="auto"/>
        <w:jc w:val="both"/>
      </w:pPr>
      <w:r>
        <w:t xml:space="preserve">Secondary objectives: To evaluate changes in medication-administration practices, ADR and medication-error recognition, caregiver confidence, and retention of medication-safety knowledge at 3 months, and to identify caregiver- and child-related factors associated with knowledge improvement and retention.</w:t>
      </w:r>
    </w:p>
    <w:p>
      <w:pPr>
        <w:spacing w:before="240" w:after="120"/>
      </w:pPr>
      <w:r>
        <w:rPr>
          <w:b/>
          <w:sz w:val="26"/>
        </w:rPr>
        <w:t xml:space="preserve">Materials and Methods</w:t>
      </w:r>
    </w:p>
    <w:p>
      <w:pPr>
        <w:spacing w:after="120" w:line="276" w:lineRule="auto"/>
        <w:jc w:val="both"/>
      </w:pPr>
      <w:r>
        <w:t xml:space="preserve">Study design and setting: A prospective longitudinal interventional study was conducted among caregivers of children with neurodevelopmental disorders receiving pharmacological treatment at a tertiary care hospital, India. Neurodevelopmental disorders—including intellectual disability, autism spectrum disorder, and attention-deficit/hyperactivity disorder—rank among the most prevalent chronic conditions of childhood and frequently necessitate long-term pharmacological management [1,2]. The pharmacotherapy employed in this population, encompassing antipsychotics, stimulants, non-stimulants, antiepileptics, and agents for sleep and behavioral symptoms, carries a well-recognized burden of adverse effects contingent upon correct administration and monitoring [3]. Because such treatment is sustained predominantly by caregivers in the home environment, structured medication counseling constitutes a core element of rational and safe pharmacotherapy in this group [4]. The study protocol was approved by the Institutional Ethics Committee prior to participant recruitment. Written informed consent was obtained from all participants. Participation was voluntary, confidentiality was maintained, and participants could withdraw at any time without prejudice to the child's medical care.</w:t>
      </w:r>
    </w:p>
    <w:p>
      <w:pPr>
        <w:spacing w:after="120" w:line="276" w:lineRule="auto"/>
        <w:jc w:val="both"/>
      </w:pPr>
      <w:r>
        <w:t xml:space="preserve">The AI tool served an exclusively educational function and did not substitute for professional clinical care. Assessments were performed at baseline (T0), 4 weeks (T1), and 3 months (T2) following the intervention.</w:t>
      </w:r>
    </w:p>
    <w:p>
      <w:pPr>
        <w:spacing w:after="120" w:line="276" w:lineRule="auto"/>
        <w:jc w:val="both"/>
      </w:pPr>
      <w:r>
        <w:t xml:space="preserve">Participants: Adult caregivers (≥18 years) bearing primary responsibility for administering medication to children with a documented neurodevelopmental disorder were eligible. Caregivers unable to complete the study assessments, not involved in medication administration, or whose child was not receiving pharmacological treatment were excluded.</w:t>
      </w:r>
    </w:p>
    <w:p>
      <w:pPr>
        <w:spacing w:after="120" w:line="276" w:lineRule="auto"/>
        <w:jc w:val="both"/>
      </w:pPr>
      <w:r>
        <w:t xml:space="preserve">AI-assisted intervention: A clinician-reviewed, AI-assisted medication-safety education tool was developed with input from clinical pharmacology, pediatrics, and medical-education professionals. The tool furnished standardized information concerning medication identification and purpose, dose and administration, missed-dose management, adherence, common and serious adverse drug reactions (ADRs), medication-error prevention, and safe medication storage. The AI system was restricted to educational functions and did not prescribe, modify, or discontinue medications or render independent diagnoses. Participants received approximately 20–30 minutes of interactive education and were able to revisit the educational content.</w:t>
      </w:r>
    </w:p>
    <w:p>
      <w:pPr>
        <w:spacing w:after="120" w:line="276" w:lineRule="auto"/>
        <w:jc w:val="both"/>
      </w:pPr>
      <w:r>
        <w:t xml:space="preserve">Study procedure and assessment: At baseline, participants completed a structured questionnaire assessing demographic characteristics, medication profile, medication-safety knowledge, medication-administration practices, ADR recognition, and caregiver confidence. The identical core assessment was readministered at 4 weeks and 3 months to evaluate improvement and retention.</w:t>
      </w:r>
    </w:p>
    <w:p>
      <w:pPr>
        <w:spacing w:before="160" w:after="80"/>
      </w:pPr>
      <w:r>
        <w:rPr>
          <w:b/>
          <w:i/>
          <w:sz w:val="24"/>
        </w:rPr>
        <w:t xml:space="preserve">Scoring and statistical framework</w:t>
      </w:r>
    </w:p>
    <w:p>
      <w:pPr>
        <w:spacing w:after="120" w:line="276" w:lineRule="auto"/>
        <w:jc w:val="both"/>
      </w:pPr>
      <w:r>
        <w:t xml:space="preserve">The knowledge questionnaire comprised 22 items spanning medication identification and purpose (4 items), administration and dosing (5 items), ADR recognition (5 items), medication-error prevention (4 items), and adherence/storage (4 items). Each item was scored dichotomously, as formalized in Eq. (1), such that a correct response received unit weight and an incorrect or “don't know” response received zero weight.</w:t>
      </w:r>
    </w:p>
    <w:p>
      <w:pPr>
        <w:spacing w:before="60" w:after="60"/>
        <w:tabs>
          <w:tab w:val="center" w:pos="4680"/>
          <w:tab w:val="right" w:pos="9360"/>
        </w:tabs>
      </w:pPr>
      <w:r>
        <w:tab/>
      </w:r>
      <m:oMath xmlns:m="http://schemas.openxmlformats.org/officeDocument/2006/math">
        <m:sSub>
          <m:e>
            <m:r>
              <m:t>s</m:t>
            </m:r>
          </m:e>
          <m:sub>
            <m:r>
              <m:t>ij</m:t>
            </m:r>
          </m:sub>
        </m:sSub>
        <m:r>
          <m:t>=</m:t>
        </m:r>
        <m:d>
          <m:dPr>
            <m:begChr m:val="{"/>
            <m:endChr m:val=""/>
          </m:dPr>
          <m:e>
            <m:eqArr>
              <m:e>
                <m:r>
                  <m:rPr>
                    <m:sty m:val="p"/>
                  </m:rPr>
                  <m:t>1</m:t>
                </m:r>
                <m:r>
                  <m:t> </m:t>
                </m:r>
                <m:r>
                  <m:rPr>
                    <m:sty m:val="p"/>
                  </m:rPr>
                  <m:t>if item </m:t>
                </m:r>
                <m:r>
                  <m:t>i</m:t>
                </m:r>
                <m:r>
                  <m:rPr>
                    <m:sty m:val="p"/>
                  </m:rPr>
                  <m:t> answered correctly</m:t>
                </m:r>
              </m:e>
              <m:e>
                <m:r>
                  <m:rPr>
                    <m:sty m:val="p"/>
                  </m:rPr>
                  <m:t>0</m:t>
                </m:r>
                <m:r>
                  <m:t> </m:t>
                </m:r>
                <m:r>
                  <m:rPr>
                    <m:sty m:val="p"/>
                  </m:rPr>
                  <m:t>otherwise</m:t>
                </m:r>
              </m:e>
            </m:eqArr>
          </m:e>
        </m:d>
      </m:oMath>
      <w:r>
        <w:tab/>
      </w:r>
      <w:r>
        <w:t xml:space="preserve">(1)</w:t>
      </w:r>
    </w:p>
    <w:p>
      <w:pPr>
        <w:spacing w:after="120" w:line="276" w:lineRule="auto"/>
        <w:jc w:val="both"/>
      </w:pPr>
      <w:r>
        <w:t xml:space="preserve">For each knowledge domain d, the raw domain score was obtained by summation across the constituent items, as given in Eq. (2), where nₕ denotes the number of items in domain d.</w:t>
      </w:r>
    </w:p>
    <w:p>
      <w:pPr>
        <w:spacing w:before="60" w:after="60"/>
        <w:tabs>
          <w:tab w:val="center" w:pos="4680"/>
          <w:tab w:val="right" w:pos="9360"/>
        </w:tabs>
      </w:pPr>
      <w:r>
        <w:tab/>
      </w:r>
      <m:oMath xmlns:m="http://schemas.openxmlformats.org/officeDocument/2006/math">
        <m:sSub>
          <m:e>
            <m:r>
              <m:t>R</m:t>
            </m:r>
          </m:e>
          <m:sub>
            <m:r>
              <m:t>d</m:t>
            </m:r>
          </m:sub>
        </m:sSub>
        <m:r>
          <m:t>=</m:t>
        </m:r>
        <m:nary>
          <m:naryPr>
            <m:chr m:val="∑"/>
            <m:limLoc m:val="undOvr"/>
            <m:supHide m:val="0"/>
            <m:subHide m:val="0"/>
          </m:naryPr>
          <m:sub>
            <m:sSub>
              <m:e>
                <m:r>
                  <m:t>i</m:t>
                </m:r>
              </m:e>
              <m:sub>
                <m:r>
                  <m:t>1</m:t>
                </m:r>
              </m:sub>
            </m:sSub>
            <m:r>
              <m:t>=</m:t>
            </m:r>
            <m:r>
              <m:t>1</m:t>
            </m:r>
          </m:sub>
          <m:sup>
            <m:sSub>
              <m:e>
                <m:r>
                  <m:t>n</m:t>
                </m:r>
              </m:e>
              <m:sub>
                <m:r>
                  <m:t>d</m:t>
                </m:r>
              </m:sub>
            </m:sSub>
          </m:sup>
          <m:e>
            <m:sSub>
              <m:e>
                <m:r>
                  <m:t>s</m:t>
                </m:r>
              </m:e>
              <m:sub>
                <m:r>
                  <m:t>ij</m:t>
                </m:r>
              </m:sub>
            </m:sSub>
          </m:e>
        </m:nary>
      </m:oMath>
      <w:r>
        <w:tab/>
      </w:r>
      <w:r>
        <w:t xml:space="preserve">(2)</w:t>
      </w:r>
    </w:p>
    <w:p>
      <w:pPr>
        <w:spacing w:after="120" w:line="276" w:lineRule="auto"/>
        <w:jc w:val="both"/>
      </w:pPr>
      <w:r>
        <w:t xml:space="preserve">The percentage score for each domain, reported in Table 2, was computed by normalization against the maximum attainable domain score, as expressed in Eq. (3).</w:t>
      </w:r>
    </w:p>
    <w:p>
      <w:pPr>
        <w:spacing w:before="60" w:after="60"/>
        <w:tabs>
          <w:tab w:val="center" w:pos="4680"/>
          <w:tab w:val="right" w:pos="9360"/>
        </w:tabs>
      </w:pPr>
      <w:r>
        <w:tab/>
      </w:r>
      <m:oMath xmlns:m="http://schemas.openxmlformats.org/officeDocument/2006/math">
        <m:sSub>
          <m:e>
            <m:r>
              <m:t>P</m:t>
            </m:r>
          </m:e>
          <m:sub>
            <m:r>
              <m:t>d</m:t>
            </m:r>
          </m:sub>
        </m:sSub>
        <m:r>
          <m:t>=</m:t>
        </m:r>
        <m:f>
          <m:num>
            <m:sSub>
              <m:e>
                <m:r>
                  <m:t>R</m:t>
                </m:r>
              </m:e>
              <m:sub>
                <m:r>
                  <m:t>d</m:t>
                </m:r>
              </m:sub>
            </m:sSub>
          </m:num>
          <m:den>
            <m:sSub>
              <m:e>
                <m:r>
                  <m:t>n</m:t>
                </m:r>
              </m:e>
              <m:sub>
                <m:r>
                  <m:t>d</m:t>
                </m:r>
              </m:sub>
            </m:sSub>
          </m:den>
        </m:f>
        <m:r>
          <m:t>×</m:t>
        </m:r>
        <m:r>
          <m:t>100%</m:t>
        </m:r>
      </m:oMath>
      <w:r>
        <w:tab/>
      </w:r>
      <w:r>
        <w:t xml:space="preserve">(3)</w:t>
      </w:r>
    </w:p>
    <w:p>
      <w:pPr>
        <w:spacing w:after="120" w:line="276" w:lineRule="auto"/>
        <w:jc w:val="both"/>
      </w:pPr>
      <w:r>
        <w:t xml:space="preserve">The overall knowledge score K, which constitutes the primary outcome variable, was expressed as the percentage of correct responses across all N = 22 items, as defined in Eq. (4).</w:t>
      </w:r>
    </w:p>
    <w:p>
      <w:pPr>
        <w:spacing w:before="60" w:after="60"/>
        <w:tabs>
          <w:tab w:val="center" w:pos="4680"/>
          <w:tab w:val="right" w:pos="9360"/>
        </w:tabs>
      </w:pPr>
      <w:r>
        <w:tab/>
      </w:r>
      <m:oMath xmlns:m="http://schemas.openxmlformats.org/officeDocument/2006/math">
        <m:r>
          <m:t>K</m:t>
        </m:r>
        <m:r>
          <m:t>=</m:t>
        </m:r>
        <m:f>
          <m:num>
            <m:nary>
              <m:naryPr>
                <m:chr m:val="∑"/>
                <m:limLoc m:val="undOvr"/>
                <m:supHide m:val="0"/>
                <m:subHide m:val="0"/>
              </m:naryPr>
              <m:sub>
                <m:sSub>
                  <m:e>
                    <m:r>
                      <m:t>d</m:t>
                    </m:r>
                  </m:e>
                  <m:sub/>
                </m:sSub>
                <m:r>
                  <m:t>=</m:t>
                </m:r>
                <m:r>
                  <m:t>1</m:t>
                </m:r>
              </m:sub>
              <m:sup>
                <m:r>
                  <m:t>5</m:t>
                </m:r>
              </m:sup>
              <m:e>
                <m:sSub>
                  <m:e>
                    <m:r>
                      <m:t>R</m:t>
                    </m:r>
                  </m:e>
                  <m:sub>
                    <m:r>
                      <m:t>d</m:t>
                    </m:r>
                  </m:sub>
                </m:sSub>
              </m:e>
            </m:nary>
          </m:num>
          <m:den>
            <m:r>
              <m:t>N</m:t>
            </m:r>
          </m:den>
        </m:f>
        <m:r>
          <m:t>×</m:t>
        </m:r>
        <m:r>
          <m:t>100%</m:t>
        </m:r>
      </m:oMath>
      <w:r>
        <w:tab/>
      </w:r>
      <w:r>
        <w:t xml:space="preserve">(4)</w:t>
      </w:r>
    </w:p>
    <w:p>
      <w:pPr>
        <w:spacing w:after="120" w:line="276" w:lineRule="auto"/>
        <w:jc w:val="both"/>
      </w:pPr>
      <w:r>
        <w:t xml:space="preserve">Central tendency and dispersion of continuous variables were summarized by the arithmetic mean and the sample standard deviation, defined in Eq. (5) and Eq. (6), respectively.</w:t>
      </w:r>
    </w:p>
    <w:p>
      <w:pPr>
        <w:spacing w:before="60" w:after="60"/>
        <w:tabs>
          <w:tab w:val="center" w:pos="4680"/>
          <w:tab w:val="right" w:pos="9360"/>
        </w:tabs>
      </w:pPr>
      <w:r>
        <w:tab/>
      </w:r>
      <m:oMath xmlns:m="http://schemas.openxmlformats.org/officeDocument/2006/math">
        <m:bar>
          <m:barPr>
            <m:pos m:val="top"/>
          </m:barPr>
          <m:e>
            <m:r>
              <m:t>x</m:t>
            </m:r>
          </m:e>
        </m:bar>
        <m:r>
          <m:t>=</m:t>
        </m:r>
        <m:f>
          <m:num>1</m:num>
          <m:den>
            <m:r>
              <m:t>n</m:t>
            </m:r>
          </m:den>
        </m:f>
        <m:nary>
          <m:naryPr>
            <m:chr m:val="∑"/>
            <m:limLoc m:val="undOvr"/>
            <m:supHide m:val="0"/>
            <m:subHide m:val="0"/>
          </m:naryPr>
          <m:sub>
            <m:sSub>
              <m:e>
                <m:r>
                  <m:t>i</m:t>
                </m:r>
              </m:e>
              <m:sub/>
            </m:sSub>
            <m:r>
              <m:t>=</m:t>
            </m:r>
            <m:r>
              <m:t>1</m:t>
            </m:r>
          </m:sub>
          <m:sup>
            <m:r>
              <m:t>n</m:t>
            </m:r>
          </m:sup>
          <m:e>
            <m:sSub>
              <m:e>
                <m:r>
                  <m:t>x</m:t>
                </m:r>
              </m:e>
              <m:sub>
                <m:r>
                  <m:t>i</m:t>
                </m:r>
              </m:sub>
            </m:sSub>
          </m:e>
        </m:nary>
      </m:oMath>
      <w:r>
        <w:tab/>
      </w:r>
      <w:r>
        <w:t xml:space="preserve">(5)</w:t>
      </w:r>
    </w:p>
    <w:p>
      <w:pPr>
        <w:spacing w:before="60" w:after="60"/>
        <w:tabs>
          <w:tab w:val="center" w:pos="4680"/>
          <w:tab w:val="right" w:pos="9360"/>
        </w:tabs>
      </w:pPr>
      <w:r>
        <w:tab/>
      </w:r>
      <m:oMath xmlns:m="http://schemas.openxmlformats.org/officeDocument/2006/math">
        <m:r>
          <m:t>SD</m:t>
        </m:r>
        <m:r>
          <m:t>=</m:t>
        </m:r>
        <m:rad>
          <m:radPr>
            <m:degHide m:val="1"/>
          </m:radPr>
          <m:deg/>
          <m:e>
            <m:f>
              <m:num>
                <m:nary>
                  <m:naryPr>
                    <m:chr m:val="∑"/>
                    <m:limLoc m:val="undOvr"/>
                    <m:supHide m:val="0"/>
                    <m:subHide m:val="0"/>
                  </m:naryPr>
                  <m:sub>
                    <m:sSub>
                      <m:e>
                        <m:r>
                          <m:t>i</m:t>
                        </m:r>
                      </m:e>
                      <m:sub/>
                    </m:sSub>
                    <m:r>
                      <m:t>=</m:t>
                    </m:r>
                    <m:r>
                      <m:t>1</m:t>
                    </m:r>
                  </m:sub>
                  <m:sup>
                    <m:r>
                      <m:t>n</m:t>
                    </m:r>
                  </m:sup>
                  <m:e>
                    <m:sSup>
                      <m:e>
                        <m:d>
                          <m:dPr>
                            <m:begChr m:val="("/>
                            <m:endChr m:val=")"/>
                          </m:dPr>
                          <m:e>
                            <m:sSub>
                              <m:e>
                                <m:r>
                                  <m:t>x</m:t>
                                </m:r>
                              </m:e>
                              <m:sub>
                                <m:r>
                                  <m:t>i</m:t>
                                </m:r>
                              </m:sub>
                            </m:sSub>
                            <m:r>
                              <m:t>−</m:t>
                            </m:r>
                            <m:bar>
                              <m:barPr>
                                <m:pos m:val="top"/>
                              </m:barPr>
                              <m:e>
                                <m:r>
                                  <m:t>x</m:t>
                                </m:r>
                              </m:e>
                            </m:bar>
                          </m:e>
                        </m:d>
                      </m:e>
                      <m:sup>
                        <m:r>
                          <m:t>2</m:t>
                        </m:r>
                      </m:sup>
                    </m:sSup>
                  </m:e>
                </m:nary>
              </m:num>
              <m:den>
                <m:r>
                  <m:t>n</m:t>
                </m:r>
                <m:r>
                  <m:t>−</m:t>
                </m:r>
                <m:r>
                  <m:t>1</m:t>
                </m:r>
              </m:den>
            </m:f>
          </m:e>
        </m:rad>
      </m:oMath>
      <w:r>
        <w:tab/>
      </w:r>
      <w:r>
        <w:t xml:space="preserve">(6)</w:t>
      </w:r>
    </w:p>
    <w:p>
      <w:pPr>
        <w:spacing w:after="120" w:line="276" w:lineRule="auto"/>
        <w:jc w:val="both"/>
      </w:pPr>
      <w:r>
        <w:t xml:space="preserve">The precision of each mean estimate was quantified by the standard error of the mean, given in Eq. (7), from which two-sided 95% confidence intervals were derived using the Student t distribution, as specified in Eq. (8).</w:t>
      </w:r>
    </w:p>
    <w:p>
      <w:pPr>
        <w:spacing w:before="60" w:after="60"/>
        <w:tabs>
          <w:tab w:val="center" w:pos="4680"/>
          <w:tab w:val="right" w:pos="9360"/>
        </w:tabs>
      </w:pPr>
      <w:r>
        <w:tab/>
      </w:r>
      <m:oMath xmlns:m="http://schemas.openxmlformats.org/officeDocument/2006/math">
        <m:r>
          <m:t>SEM</m:t>
        </m:r>
        <m:r>
          <m:t>=</m:t>
        </m:r>
        <m:f>
          <m:num>
            <m:r>
              <m:t>SD</m:t>
            </m:r>
          </m:num>
          <m:den>
            <m:rad>
              <m:radPr>
                <m:degHide m:val="1"/>
              </m:radPr>
              <m:deg/>
              <m:e>
                <m:r>
                  <m:t>n</m:t>
                </m:r>
              </m:e>
            </m:rad>
          </m:den>
        </m:f>
      </m:oMath>
      <w:r>
        <w:tab/>
      </w:r>
      <w:r>
        <w:t xml:space="preserve">(7)</w:t>
      </w:r>
    </w:p>
    <w:p>
      <w:pPr>
        <w:spacing w:before="60" w:after="60"/>
        <w:tabs>
          <w:tab w:val="center" w:pos="4680"/>
          <w:tab w:val="right" w:pos="9360"/>
        </w:tabs>
      </w:pPr>
      <w:r>
        <w:tab/>
      </w:r>
      <m:oMath xmlns:m="http://schemas.openxmlformats.org/officeDocument/2006/math">
        <m:r>
          <m:t>95% CI</m:t>
        </m:r>
        <m:r>
          <m:t>=</m:t>
        </m:r>
        <m:bar>
          <m:barPr>
            <m:pos m:val="top"/>
          </m:barPr>
          <m:e>
            <m:r>
              <m:t>x</m:t>
            </m:r>
          </m:e>
        </m:bar>
        <m:r>
          <m:t>±</m:t>
        </m:r>
        <m:sSub>
          <m:e>
            <m:r>
              <m:t>t</m:t>
            </m:r>
          </m:e>
          <m:sub>
            <m:r>
              <m:t>0.975, </m:t>
            </m:r>
            <m:r>
              <m:t>n</m:t>
            </m:r>
            <m:r>
              <m:t>−</m:t>
            </m:r>
            <m:r>
              <m:t>1</m:t>
            </m:r>
          </m:sub>
        </m:sSub>
        <m:r>
          <m:t>⋅</m:t>
        </m:r>
        <m:r>
          <m:t>SEM</m:t>
        </m:r>
      </m:oMath>
      <w:r>
        <w:tab/>
      </w:r>
      <w:r>
        <w:t xml:space="preserve">(8)</w:t>
      </w:r>
    </w:p>
    <w:p>
      <w:pPr>
        <w:spacing w:after="120" w:line="276" w:lineRule="auto"/>
        <w:jc w:val="both"/>
      </w:pPr>
      <w:r>
        <w:t xml:space="preserve">The within-subject change in knowledge for participant i, and its sample mean across the cohort, were defined by Eq. (9) and Eq. (10), respectively; these quantities underpin the primary and secondary outcome analyses reported subsequently.</w:t>
      </w:r>
    </w:p>
    <w:p>
      <w:pPr>
        <w:spacing w:before="60" w:after="60"/>
        <w:tabs>
          <w:tab w:val="center" w:pos="4680"/>
          <w:tab w:val="right" w:pos="9360"/>
        </w:tabs>
      </w:pPr>
      <w:r>
        <w:tab/>
      </w:r>
      <m:oMath xmlns:m="http://schemas.openxmlformats.org/officeDocument/2006/math">
        <m:sSub>
          <m:e>
            <m:r>
              <m:t>ΔK</m:t>
            </m:r>
          </m:e>
          <m:sub>
            <m:r>
              <m:t>i</m:t>
            </m:r>
          </m:sub>
        </m:sSub>
        <m:r>
          <m:t>=</m:t>
        </m:r>
        <m:sSub>
          <m:e>
            <m:r>
              <m:t>K</m:t>
            </m:r>
          </m:e>
          <m:sub>
            <m:r>
              <m:t>i, </m:t>
            </m:r>
            <m:r>
              <m:rPr>
                <m:sty m:val="p"/>
              </m:rPr>
              <m:t>post</m:t>
            </m:r>
          </m:sub>
        </m:sSub>
        <m:r>
          <m:t>−</m:t>
        </m:r>
        <m:sSub>
          <m:e>
            <m:r>
              <m:t>K</m:t>
            </m:r>
          </m:e>
          <m:sub>
            <m:r>
              <m:t>i, </m:t>
            </m:r>
            <m:r>
              <m:rPr>
                <m:sty m:val="p"/>
              </m:rPr>
              <m:t>base</m:t>
            </m:r>
          </m:sub>
        </m:sSub>
      </m:oMath>
      <w:r>
        <w:tab/>
      </w:r>
      <w:r>
        <w:t xml:space="preserve">(9)</w:t>
      </w:r>
    </w:p>
    <w:p>
      <w:pPr>
        <w:spacing w:before="60" w:after="60"/>
        <w:tabs>
          <w:tab w:val="center" w:pos="4680"/>
          <w:tab w:val="right" w:pos="9360"/>
        </w:tabs>
      </w:pPr>
      <w:r>
        <w:tab/>
      </w:r>
      <m:oMath xmlns:m="http://schemas.openxmlformats.org/officeDocument/2006/math">
        <m:bar>
          <m:barPr>
            <m:pos m:val="top"/>
          </m:barPr>
          <m:e>
            <m:r>
              <m:t>ΔK</m:t>
            </m:r>
          </m:e>
        </m:bar>
        <m:r>
          <m:t>=</m:t>
        </m:r>
        <m:f>
          <m:num>1</m:num>
          <m:den>
            <m:r>
              <m:t>n</m:t>
            </m:r>
          </m:den>
        </m:f>
        <m:nary>
          <m:naryPr>
            <m:chr m:val="∑"/>
            <m:limLoc m:val="undOvr"/>
            <m:supHide m:val="0"/>
            <m:subHide m:val="0"/>
          </m:naryPr>
          <m:sub>
            <m:sSub>
              <m:e>
                <m:r>
                  <m:t>i</m:t>
                </m:r>
              </m:e>
              <m:sub/>
            </m:sSub>
            <m:r>
              <m:t>=</m:t>
            </m:r>
            <m:r>
              <m:t>1</m:t>
            </m:r>
          </m:sub>
          <m:sup>
            <m:r>
              <m:t>n</m:t>
            </m:r>
          </m:sup>
          <m:e>
            <m:sSub>
              <m:e>
                <m:r>
                  <m:t>ΔK</m:t>
                </m:r>
              </m:e>
              <m:sub>
                <m:r>
                  <m:t>i</m:t>
                </m:r>
              </m:sub>
            </m:sSub>
          </m:e>
        </m:nary>
      </m:oMath>
      <w:r>
        <w:tab/>
      </w:r>
      <w:r>
        <w:t xml:space="preserve">(10)</w:t>
      </w:r>
    </w:p>
    <w:p>
      <w:pPr>
        <w:spacing w:after="120" w:line="276" w:lineRule="auto"/>
        <w:jc w:val="both"/>
      </w:pPr>
      <w:r>
        <w:t xml:space="preserve">Knowledge retention at 3 months was operationalized as the proportion of the immediate (4-week) knowledge gain that persisted at the 3-month assessment, as formalized in Eq. (11).</w:t>
      </w:r>
    </w:p>
    <w:p>
      <w:pPr>
        <w:spacing w:before="60" w:after="60"/>
        <w:tabs>
          <w:tab w:val="center" w:pos="4680"/>
          <w:tab w:val="right" w:pos="9360"/>
        </w:tabs>
      </w:pPr>
      <w:r>
        <w:tab/>
      </w:r>
      <m:oMath xmlns:m="http://schemas.openxmlformats.org/officeDocument/2006/math">
        <m:r>
          <m:t>Retention</m:t>
        </m:r>
        <m:r>
          <m:t>=</m:t>
        </m:r>
        <m:f>
          <m:num>
            <m:sSub>
              <m:e>
                <m:r>
                  <m:t>K</m:t>
                </m:r>
              </m:e>
              <m:sub>
                <m:r>
                  <m:t>3mo</m:t>
                </m:r>
              </m:sub>
            </m:sSub>
            <m:r>
              <m:t>−</m:t>
            </m:r>
            <m:sSub>
              <m:e>
                <m:r>
                  <m:t>K</m:t>
                </m:r>
              </m:e>
              <m:sub>
                <m:r>
                  <m:t>base</m:t>
                </m:r>
              </m:sub>
            </m:sSub>
          </m:num>
          <m:den>
            <m:sSub>
              <m:e>
                <m:r>
                  <m:t>K</m:t>
                </m:r>
              </m:e>
              <m:sub>
                <m:r>
                  <m:t>4wk</m:t>
                </m:r>
              </m:sub>
            </m:sSub>
            <m:r>
              <m:t>−</m:t>
            </m:r>
            <m:sSub>
              <m:e>
                <m:r>
                  <m:t>K</m:t>
                </m:r>
              </m:e>
              <m:sub>
                <m:r>
                  <m:t>base</m:t>
                </m:r>
              </m:sub>
            </m:sSub>
          </m:den>
        </m:f>
        <m:r>
          <m:t>×</m:t>
        </m:r>
        <m:r>
          <m:t>100%</m:t>
        </m:r>
      </m:oMath>
      <w:r>
        <w:tab/>
      </w:r>
      <w:r>
        <w:t xml:space="preserve">(11)</w:t>
      </w:r>
    </w:p>
    <w:p>
      <w:pPr>
        <w:spacing w:after="120" w:line="276" w:lineRule="auto"/>
        <w:jc w:val="both"/>
      </w:pPr>
      <w:r>
        <w:t xml:space="preserve">Changes in knowledge scores across T0, T1, and T2 were evaluated using repeated-measures analysis of variance for normally distributed data—with the omnibus F statistic defined in Eq. (12)—or the Friedman test for non-normally distributed data, with appropriate post-hoc comparisons and correction for multiple testing. The magnitude of the time effect was quantified by the partial eta-squared statistic, Eq. (13), and the standardized within-subject effect size by the paired Cohen's d, Eq. (14).</w:t>
      </w:r>
    </w:p>
    <w:p>
      <w:pPr>
        <w:spacing w:before="60" w:after="60"/>
        <w:tabs>
          <w:tab w:val="center" w:pos="4680"/>
          <w:tab w:val="right" w:pos="9360"/>
        </w:tabs>
      </w:pPr>
      <w:r>
        <w:tab/>
      </w:r>
      <m:oMath xmlns:m="http://schemas.openxmlformats.org/officeDocument/2006/math">
        <m:r>
          <m:t>F</m:t>
        </m:r>
        <m:r>
          <m:t>=</m:t>
        </m:r>
        <m:f>
          <m:num>
            <m:sSub>
              <m:e>
                <m:r>
                  <m:t>MS</m:t>
                </m:r>
              </m:e>
              <m:sub>
                <m:r>
                  <m:t>time</m:t>
                </m:r>
              </m:sub>
            </m:sSub>
          </m:num>
          <m:den>
            <m:sSub>
              <m:e>
                <m:r>
                  <m:t>MS</m:t>
                </m:r>
              </m:e>
              <m:sub>
                <m:r>
                  <m:t>error</m:t>
                </m:r>
              </m:sub>
            </m:sSub>
          </m:den>
        </m:f>
      </m:oMath>
      <w:r>
        <w:tab/>
      </w:r>
      <w:r>
        <w:t xml:space="preserve">(12)</w:t>
      </w:r>
    </w:p>
    <w:p>
      <w:pPr>
        <w:spacing w:before="60" w:after="60"/>
        <w:tabs>
          <w:tab w:val="center" w:pos="4680"/>
          <w:tab w:val="right" w:pos="9360"/>
        </w:tabs>
      </w:pPr>
      <w:r>
        <w:tab/>
      </w:r>
      <m:oMath xmlns:m="http://schemas.openxmlformats.org/officeDocument/2006/math">
        <m:sSub>
          <m:e>
            <m:sSup>
              <m:e>
                <m:r>
                  <m:t>η</m:t>
                </m:r>
              </m:e>
              <m:sup>
                <m:r>
                  <m:t>2</m:t>
                </m:r>
              </m:sup>
            </m:sSup>
          </m:e>
          <m:sub>
            <m:r>
              <m:t>p</m:t>
            </m:r>
          </m:sub>
        </m:sSub>
        <m:r>
          <m:t>=</m:t>
        </m:r>
        <m:f>
          <m:num>
            <m:sSub>
              <m:e>
                <m:r>
                  <m:t>SS</m:t>
                </m:r>
              </m:e>
              <m:sub>
                <m:r>
                  <m:t>time</m:t>
                </m:r>
              </m:sub>
            </m:sSub>
          </m:num>
          <m:den>
            <m:sSub>
              <m:e>
                <m:r>
                  <m:t>SS</m:t>
                </m:r>
              </m:e>
              <m:sub>
                <m:r>
                  <m:t>time</m:t>
                </m:r>
              </m:sub>
            </m:sSub>
            <m:r>
              <m:t>+</m:t>
            </m:r>
            <m:sSub>
              <m:e>
                <m:r>
                  <m:t>SS</m:t>
                </m:r>
              </m:e>
              <m:sub>
                <m:r>
                  <m:t>error</m:t>
                </m:r>
              </m:sub>
            </m:sSub>
          </m:den>
        </m:f>
      </m:oMath>
      <w:r>
        <w:tab/>
      </w:r>
      <w:r>
        <w:t xml:space="preserve">(13)</w:t>
      </w:r>
    </w:p>
    <w:p>
      <w:pPr>
        <w:spacing w:before="60" w:after="60"/>
        <w:tabs>
          <w:tab w:val="center" w:pos="4680"/>
          <w:tab w:val="right" w:pos="9360"/>
        </w:tabs>
      </w:pPr>
      <w:r>
        <w:tab/>
      </w:r>
      <m:oMath xmlns:m="http://schemas.openxmlformats.org/officeDocument/2006/math">
        <m:sSub>
          <m:e>
            <m:r>
              <m:t>d</m:t>
            </m:r>
          </m:e>
          <m:sub>
            <m:r>
              <m:t>z</m:t>
            </m:r>
          </m:sub>
        </m:sSub>
        <m:r>
          <m:t>=</m:t>
        </m:r>
        <m:f>
          <m:num>
            <m:bar>
              <m:barPr>
                <m:pos m:val="top"/>
              </m:barPr>
              <m:e>
                <m:r>
                  <m:t>ΔK</m:t>
                </m:r>
              </m:e>
            </m:bar>
          </m:num>
          <m:den>
            <m:sSub>
              <m:e>
                <m:r>
                  <m:t>SD</m:t>
                </m:r>
              </m:e>
              <m:sub>
                <m:r>
                  <m:t>Δ</m:t>
                </m:r>
              </m:sub>
            </m:sSub>
          </m:den>
        </m:f>
      </m:oMath>
      <w:r>
        <w:tab/>
      </w:r>
      <w:r>
        <w:t xml:space="preserve">(14)</w:t>
      </w:r>
    </w:p>
    <w:p>
      <w:pPr>
        <w:spacing w:after="120" w:line="276" w:lineRule="auto"/>
        <w:jc w:val="both"/>
      </w:pPr>
      <w:r>
        <w:t xml:space="preserve">Factors associated with knowledge improvement were examined using the multivariable linear regression model specified in Eq. (15), in which ΔKᵢ denotes the knowledge change for participant i, xᵢₖ the k-th covariate, βₖ the corresponding regression coefficient, and εᵢ the residual error term. All analyses were performed in SPSS version 30, and a two-sided P &lt; 0.05 was considered statistically significant. The questionnaire underwent expert content validation and pilot testing prior to study initiation.</w:t>
      </w:r>
    </w:p>
    <w:p>
      <w:pPr>
        <w:spacing w:before="60" w:after="60"/>
        <w:tabs>
          <w:tab w:val="center" w:pos="4680"/>
          <w:tab w:val="right" w:pos="9360"/>
        </w:tabs>
      </w:pPr>
      <w:r>
        <w:tab/>
      </w:r>
      <m:oMath xmlns:m="http://schemas.openxmlformats.org/officeDocument/2006/math">
        <m:sSub>
          <m:e>
            <m:r>
              <m:t>ΔK</m:t>
            </m:r>
          </m:e>
          <m:sub>
            <m:r>
              <m:t>i</m:t>
            </m:r>
          </m:sub>
        </m:sSub>
        <m:r>
          <m:t>=</m:t>
        </m:r>
        <m:sSub>
          <m:e>
            <m:r>
              <m:t>β</m:t>
            </m:r>
          </m:e>
          <m:sub>
            <m:r>
              <m:t>0</m:t>
            </m:r>
          </m:sub>
        </m:sSub>
        <m:nary>
          <m:naryPr>
            <m:chr m:val="∑"/>
            <m:limLoc m:val="undOvr"/>
            <m:supHide m:val="0"/>
            <m:subHide m:val="0"/>
          </m:naryPr>
          <m:sub>
            <m:sSub>
              <m:e>
                <m:r>
                  <m:t>k</m:t>
                </m:r>
              </m:e>
              <m:sub/>
            </m:sSub>
            <m:r>
              <m:t>=</m:t>
            </m:r>
            <m:r>
              <m:t>1</m:t>
            </m:r>
          </m:sub>
          <m:sup>
            <m:r>
              <m:t>p</m:t>
            </m:r>
          </m:sup>
          <m:e>
            <m:sSub>
              <m:e>
                <m:r>
                  <m:t>β</m:t>
                </m:r>
              </m:e>
              <m:sub>
                <m:r>
                  <m:t>k</m:t>
                </m:r>
              </m:sub>
            </m:sSub>
            <m:sSub>
              <m:e>
                <m:r>
                  <m:t>x</m:t>
                </m:r>
              </m:e>
              <m:sub>
                <m:r>
                  <m:t>ik</m:t>
                </m:r>
              </m:sub>
            </m:sSub>
          </m:e>
        </m:nary>
        <m:r>
          <m:t>+</m:t>
        </m:r>
        <m:sSub>
          <m:e>
            <m:r>
              <m:t>ε</m:t>
            </m:r>
          </m:e>
          <m:sub>
            <m:r>
              <m:t>i</m:t>
            </m:r>
          </m:sub>
        </m:sSub>
      </m:oMath>
      <w:r>
        <w:tab/>
      </w:r>
      <w:r>
        <w:t xml:space="preserve">(15)</w:t>
      </w:r>
    </w:p>
    <w:p>
      <w:pPr>
        <w:spacing w:after="120" w:line="276" w:lineRule="auto"/>
        <w:jc w:val="both"/>
      </w:pPr>
      <w:r>
        <w:t xml:space="preserve">Outcomes: The primary outcome was the change in medication-safety knowledge score from baseline to 4 weeks, quantified by Eq. (9) and Eq. (10). Secondary outcomes comprised changes in knowledge at 3 months, medication-administration practices, ADR recognition, medication-error recognition, caregiver confidence, and predictors of knowledge improvement and retention. Knowledge retention was assessed by comparing the 3-month score with the baseline and 4-week scores in accordance with Eq. (11).</w:t>
      </w:r>
    </w:p>
    <w:p>
      <w:pPr>
        <w:spacing w:before="240" w:after="120"/>
      </w:pPr>
      <w:r>
        <w:rPr>
          <w:b/>
          <w:sz w:val="26"/>
        </w:rPr>
        <w:t xml:space="preserve">Results</w:t>
      </w:r>
    </w:p>
    <w:p>
      <w:pPr>
        <w:spacing w:after="120" w:line="276" w:lineRule="auto"/>
        <w:jc w:val="both"/>
      </w:pPr>
      <w:r>
        <w:t xml:space="preserve">Participant characteristics: A total of 170 caregivers were enrolled at baseline. Of these, 162 (95.3%) completed the 4-week assessment and 157 (92.4%) completed the 3-month follow-up. The mean caregiver age was 34.8 ± 7.2 years, and 138 (81.2%) were mothers. The majority of caregivers had completed secondary education or higher. The children had a mean age of 8.1 ± 3.6 years. Autism spectrum disorder was the most frequently represented neurodevelopmental condition, followed by intellectual disability and attention-deficit/hyperactivity disorder. Approximately two-thirds of children were receiving two or more medications, as detailed in Table 1.</w:t>
      </w:r>
    </w:p>
    <w:p>
      <w:pPr>
        <w:spacing w:before="120" w:after="60"/>
      </w:pPr>
      <w:r>
        <w:rPr>
          <w:b/>
        </w:rPr>
        <w:t xml:space="preserve">Table 1. Baseline characteristics of study participants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00"/>
        <w:gridCol w:w="4500"/>
      </w:tblGrid>
      <w:tr>
        <w:tc>
          <w:tcPr>
            <w:tcW w:w="4500" w:type="dxa"/>
            <w:shd w:val="clear" w:color="auto" w:fill="D9E2F3"/>
          </w:tcPr>
          <w:p>
            <w:pPr>
              <w:spacing w:after="20"/>
            </w:pPr>
            <w:r>
              <w:rPr>
                <w:b/>
              </w:rPr>
              <w:t xml:space="preserve">Characteristic</w:t>
            </w:r>
          </w:p>
        </w:tc>
        <w:tc>
          <w:tcPr>
            <w:tcW w:w="4500" w:type="dxa"/>
            <w:shd w:val="clear" w:color="auto" w:fill="D9E2F3"/>
          </w:tcPr>
          <w:p>
            <w:pPr>
              <w:spacing w:after="20"/>
            </w:pPr>
            <w:r>
              <w:rPr>
                <w:b/>
              </w:rPr>
              <w:t xml:space="preserve">Value (n=170)</w:t>
            </w:r>
          </w:p>
        </w:tc>
      </w:tr>
      <w:tr>
        <w:tc>
          <w:tcPr>
            <w:tcW w:w="4500" w:type="dxa"/>
          </w:tcPr>
          <w:p>
            <w:pPr>
              <w:spacing w:after="20"/>
            </w:pPr>
            <w:r>
              <w:t xml:space="preserve">Caregiver age, years, mean ± SD</w:t>
            </w:r>
          </w:p>
        </w:tc>
        <w:tc>
          <w:tcPr>
            <w:tcW w:w="4500" w:type="dxa"/>
          </w:tcPr>
          <w:p>
            <w:pPr>
              <w:spacing w:after="20"/>
            </w:pPr>
            <w:r>
              <w:t xml:space="preserve">34.8 ± 7.2</w:t>
            </w:r>
          </w:p>
        </w:tc>
      </w:tr>
      <w:tr>
        <w:tc>
          <w:tcPr>
            <w:tcW w:w="4500" w:type="dxa"/>
          </w:tcPr>
          <w:p>
            <w:pPr>
              <w:spacing w:after="20"/>
            </w:pPr>
            <w:r>
              <w:t xml:space="preserve">Female caregivers, n (%)</w:t>
            </w:r>
          </w:p>
        </w:tc>
        <w:tc>
          <w:tcPr>
            <w:tcW w:w="4500" w:type="dxa"/>
          </w:tcPr>
          <w:p>
            <w:pPr>
              <w:spacing w:after="20"/>
            </w:pPr>
            <w:r>
              <w:t xml:space="preserve">138 (81.2)</w:t>
            </w:r>
          </w:p>
        </w:tc>
      </w:tr>
      <w:tr>
        <w:tc>
          <w:tcPr>
            <w:tcW w:w="4500" w:type="dxa"/>
          </w:tcPr>
          <w:p>
            <w:pPr>
              <w:spacing w:after="20"/>
            </w:pPr>
            <w:r>
              <w:t xml:space="preserve">Mother as primary caregiver, n (%)</w:t>
            </w:r>
          </w:p>
        </w:tc>
        <w:tc>
          <w:tcPr>
            <w:tcW w:w="4500" w:type="dxa"/>
          </w:tcPr>
          <w:p>
            <w:pPr>
              <w:spacing w:after="20"/>
            </w:pPr>
            <w:r>
              <w:t xml:space="preserve">138 (81.2)</w:t>
            </w:r>
          </w:p>
        </w:tc>
      </w:tr>
      <w:tr>
        <w:tc>
          <w:tcPr>
            <w:tcW w:w="4500" w:type="dxa"/>
          </w:tcPr>
          <w:p>
            <w:pPr>
              <w:spacing w:after="20"/>
            </w:pPr>
            <w:r>
              <w:t xml:space="preserve">Graduate/postgraduate education, n (%)</w:t>
            </w:r>
          </w:p>
        </w:tc>
        <w:tc>
          <w:tcPr>
            <w:tcW w:w="4500" w:type="dxa"/>
          </w:tcPr>
          <w:p>
            <w:pPr>
              <w:spacing w:after="20"/>
            </w:pPr>
            <w:r>
              <w:t xml:space="preserve">76 (44.7)</w:t>
            </w:r>
          </w:p>
        </w:tc>
      </w:tr>
      <w:tr>
        <w:tc>
          <w:tcPr>
            <w:tcW w:w="4500" w:type="dxa"/>
          </w:tcPr>
          <w:p>
            <w:pPr>
              <w:spacing w:after="20"/>
            </w:pPr>
            <w:r>
              <w:t xml:space="preserve">Previous medication-safety education, n (%)</w:t>
            </w:r>
          </w:p>
        </w:tc>
        <w:tc>
          <w:tcPr>
            <w:tcW w:w="4500" w:type="dxa"/>
          </w:tcPr>
          <w:p>
            <w:pPr>
              <w:spacing w:after="20"/>
            </w:pPr>
            <w:r>
              <w:t xml:space="preserve">58 (34.1)</w:t>
            </w:r>
          </w:p>
        </w:tc>
      </w:tr>
      <w:tr>
        <w:tc>
          <w:tcPr>
            <w:tcW w:w="4500" w:type="dxa"/>
          </w:tcPr>
          <w:p>
            <w:pPr>
              <w:spacing w:after="20"/>
            </w:pPr>
            <w:r>
              <w:t xml:space="preserve">Child age, years, mean ± SD</w:t>
            </w:r>
          </w:p>
        </w:tc>
        <w:tc>
          <w:tcPr>
            <w:tcW w:w="4500" w:type="dxa"/>
          </w:tcPr>
          <w:p>
            <w:pPr>
              <w:spacing w:after="20"/>
            </w:pPr>
            <w:r>
              <w:t xml:space="preserve">8.1 ± 3.6</w:t>
            </w:r>
          </w:p>
        </w:tc>
      </w:tr>
      <w:tr>
        <w:tc>
          <w:tcPr>
            <w:tcW w:w="4500" w:type="dxa"/>
          </w:tcPr>
          <w:p>
            <w:pPr>
              <w:spacing w:after="20"/>
            </w:pPr>
            <w:r>
              <w:t xml:space="preserve">Male children, n (%)</w:t>
            </w:r>
          </w:p>
        </w:tc>
        <w:tc>
          <w:tcPr>
            <w:tcW w:w="4500" w:type="dxa"/>
          </w:tcPr>
          <w:p>
            <w:pPr>
              <w:spacing w:after="20"/>
            </w:pPr>
            <w:r>
              <w:t xml:space="preserve">105 (61.8)</w:t>
            </w:r>
          </w:p>
        </w:tc>
      </w:tr>
      <w:tr>
        <w:tc>
          <w:tcPr>
            <w:tcW w:w="4500" w:type="dxa"/>
          </w:tcPr>
          <w:p>
            <w:pPr>
              <w:spacing w:after="20"/>
            </w:pPr>
            <w:r>
              <w:t xml:space="preserve">Autism spectrum disorder, n (%)</w:t>
            </w:r>
          </w:p>
        </w:tc>
        <w:tc>
          <w:tcPr>
            <w:tcW w:w="4500" w:type="dxa"/>
          </w:tcPr>
          <w:p>
            <w:pPr>
              <w:spacing w:after="20"/>
            </w:pPr>
            <w:r>
              <w:t xml:space="preserve">82 (48.2)</w:t>
            </w:r>
          </w:p>
        </w:tc>
      </w:tr>
      <w:tr>
        <w:tc>
          <w:tcPr>
            <w:tcW w:w="4500" w:type="dxa"/>
          </w:tcPr>
          <w:p>
            <w:pPr>
              <w:spacing w:after="20"/>
            </w:pPr>
            <w:r>
              <w:t xml:space="preserve">Intellectual disability, n (%)</w:t>
            </w:r>
          </w:p>
        </w:tc>
        <w:tc>
          <w:tcPr>
            <w:tcW w:w="4500" w:type="dxa"/>
          </w:tcPr>
          <w:p>
            <w:pPr>
              <w:spacing w:after="20"/>
            </w:pPr>
            <w:r>
              <w:t xml:space="preserve">51 (30.0)</w:t>
            </w:r>
          </w:p>
        </w:tc>
      </w:tr>
      <w:tr>
        <w:tc>
          <w:tcPr>
            <w:tcW w:w="4500" w:type="dxa"/>
          </w:tcPr>
          <w:p>
            <w:pPr>
              <w:spacing w:after="20"/>
            </w:pPr>
            <w:r>
              <w:t xml:space="preserve">ADHD, n (%)</w:t>
            </w:r>
          </w:p>
        </w:tc>
        <w:tc>
          <w:tcPr>
            <w:tcW w:w="4500" w:type="dxa"/>
          </w:tcPr>
          <w:p>
            <w:pPr>
              <w:spacing w:after="20"/>
            </w:pPr>
            <w:r>
              <w:t xml:space="preserve">24 (14.1)</w:t>
            </w:r>
          </w:p>
        </w:tc>
      </w:tr>
      <w:tr>
        <w:tc>
          <w:tcPr>
            <w:tcW w:w="4500" w:type="dxa"/>
          </w:tcPr>
          <w:p>
            <w:pPr>
              <w:spacing w:after="20"/>
            </w:pPr>
            <w:r>
              <w:t xml:space="preserve">Epilepsy-associated neurodevelopmental disorder, n (%)</w:t>
            </w:r>
          </w:p>
        </w:tc>
        <w:tc>
          <w:tcPr>
            <w:tcW w:w="4500" w:type="dxa"/>
          </w:tcPr>
          <w:p>
            <w:pPr>
              <w:spacing w:after="20"/>
            </w:pPr>
            <w:r>
              <w:t xml:space="preserve">13 (7.6)</w:t>
            </w:r>
          </w:p>
        </w:tc>
      </w:tr>
      <w:tr>
        <w:tc>
          <w:tcPr>
            <w:tcW w:w="4500" w:type="dxa"/>
          </w:tcPr>
          <w:p>
            <w:pPr>
              <w:spacing w:after="20"/>
            </w:pPr>
            <w:r>
              <w:t xml:space="preserve">Children receiving ≥2 medications, n (%)</w:t>
            </w:r>
          </w:p>
        </w:tc>
        <w:tc>
          <w:tcPr>
            <w:tcW w:w="4500" w:type="dxa"/>
          </w:tcPr>
          <w:p>
            <w:pPr>
              <w:spacing w:after="20"/>
            </w:pPr>
            <w:r>
              <w:t xml:space="preserve">111 (65.3)</w:t>
            </w:r>
          </w:p>
        </w:tc>
      </w:tr>
    </w:tbl>
    <w:p/>
    <w:p>
      <w:pPr>
        <w:spacing w:after="120" w:line="276" w:lineRule="auto"/>
        <w:jc w:val="both"/>
      </w:pPr>
      <w:r>
        <w:t xml:space="preserve">Change in medication-safety knowledge: The mean baseline medication-safety knowledge score, computed per Eq. (4), was 51.8 ± 11.4%. This comparatively low baseline value accords with prior reports documenting substantial deficits in caregiver medication knowledge and frequent home medication-administration errors involving incorrect dose, wrong medication, omitted doses, and incorrect timing [5]. Following the AI-assisted educational intervention, the score increased to 78.6 ± 9.8% at 4 weeks and remained 74.2 ± 10.3% at 3 months. Applying Eq. (10), the mean improvement from baseline to 4 weeks was 26.8 percentage points, as computed in Eq. (16), whereas the improvement from baseline to 3 months was 22.4 percentage points, as computed in Eq. (17); the complete domain-level results are presented in Table 2.</w:t>
      </w:r>
    </w:p>
    <w:p>
      <w:pPr>
        <w:spacing w:before="60" w:after="60"/>
        <w:tabs>
          <w:tab w:val="center" w:pos="4680"/>
          <w:tab w:val="right" w:pos="9360"/>
        </w:tabs>
      </w:pPr>
      <w:r>
        <w:tab/>
      </w:r>
      <m:oMath xmlns:m="http://schemas.openxmlformats.org/officeDocument/2006/math">
        <m:sSub>
          <m:e>
            <m:r>
              <m:t>ΔK</m:t>
            </m:r>
          </m:e>
          <m:sub>
            <m:r>
              <m:t>4wk</m:t>
            </m:r>
          </m:sub>
        </m:sSub>
        <m:r>
          <m:t>=</m:t>
        </m:r>
        <m:r>
          <m:t>78.6</m:t>
        </m:r>
        <m:r>
          <m:t>−</m:t>
        </m:r>
        <m:r>
          <m:t>51.8</m:t>
        </m:r>
        <m:r>
          <m:t>=</m:t>
        </m:r>
        <m:r>
          <m:t>26.8</m:t>
        </m:r>
        <m:r>
          <m:t> percentage points</m:t>
        </m:r>
      </m:oMath>
      <w:r>
        <w:tab/>
      </w:r>
      <w:r>
        <w:t xml:space="preserve">(16)</w:t>
      </w:r>
    </w:p>
    <w:p>
      <w:pPr>
        <w:spacing w:before="60" w:after="60"/>
        <w:tabs>
          <w:tab w:val="center" w:pos="4680"/>
          <w:tab w:val="right" w:pos="9360"/>
        </w:tabs>
      </w:pPr>
      <w:r>
        <w:tab/>
      </w:r>
      <m:oMath xmlns:m="http://schemas.openxmlformats.org/officeDocument/2006/math">
        <m:sSub>
          <m:e>
            <m:r>
              <m:t>ΔK</m:t>
            </m:r>
          </m:e>
          <m:sub>
            <m:r>
              <m:t>3mo</m:t>
            </m:r>
          </m:sub>
        </m:sSub>
        <m:r>
          <m:t>=</m:t>
        </m:r>
        <m:r>
          <m:t>74.2</m:t>
        </m:r>
        <m:r>
          <m:t>−</m:t>
        </m:r>
        <m:r>
          <m:t>51.8</m:t>
        </m:r>
        <m:r>
          <m:t>=</m:t>
        </m:r>
        <m:r>
          <m:t>22.4</m:t>
        </m:r>
        <m:r>
          <m:t> percentage points</m:t>
        </m:r>
      </m:oMath>
      <w:r>
        <w:tab/>
      </w:r>
      <w:r>
        <w:t xml:space="preserve">(17)</w:t>
      </w:r>
    </w:p>
    <w:p>
      <w:pPr>
        <w:spacing w:before="120" w:after="60"/>
      </w:pPr>
      <w:r>
        <w:rPr>
          <w:b/>
        </w:rPr>
        <w:t xml:space="preserve">Table 2. Medication-safety knowledge scores at baseline, 4 weeks and 3 months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0"/>
        <w:gridCol w:w="2250"/>
        <w:gridCol w:w="2250"/>
        <w:gridCol w:w="2250"/>
      </w:tblGrid>
      <w:tr>
        <w:tc>
          <w:tcPr>
            <w:tcW w:w="2250" w:type="dxa"/>
            <w:shd w:val="clear" w:color="auto" w:fill="D9E2F3"/>
          </w:tcPr>
          <w:p>
            <w:pPr>
              <w:spacing w:after="20"/>
            </w:pPr>
            <w:r>
              <w:rPr>
                <w:b/>
              </w:rPr>
              <w:t xml:space="preserve">Knowledge domain</w:t>
            </w:r>
          </w:p>
        </w:tc>
        <w:tc>
          <w:tcPr>
            <w:tcW w:w="2250" w:type="dxa"/>
            <w:shd w:val="clear" w:color="auto" w:fill="D9E2F3"/>
          </w:tcPr>
          <w:p>
            <w:pPr>
              <w:spacing w:after="20"/>
            </w:pPr>
            <w:r>
              <w:rPr>
                <w:b/>
              </w:rPr>
              <w:t xml:space="preserve">Baseline</w:t>
            </w:r>
          </w:p>
        </w:tc>
        <w:tc>
          <w:tcPr>
            <w:tcW w:w="2250" w:type="dxa"/>
            <w:shd w:val="clear" w:color="auto" w:fill="D9E2F3"/>
          </w:tcPr>
          <w:p>
            <w:pPr>
              <w:spacing w:after="20"/>
            </w:pPr>
            <w:r>
              <w:rPr>
                <w:b/>
              </w:rPr>
              <w:t xml:space="preserve">4 weeks</w:t>
            </w:r>
          </w:p>
        </w:tc>
        <w:tc>
          <w:tcPr>
            <w:tcW w:w="2250" w:type="dxa"/>
            <w:shd w:val="clear" w:color="auto" w:fill="D9E2F3"/>
          </w:tcPr>
          <w:p>
            <w:pPr>
              <w:spacing w:after="20"/>
            </w:pPr>
            <w:r>
              <w:rPr>
                <w:b/>
              </w:rPr>
              <w:t xml:space="preserve">3 months</w:t>
            </w:r>
          </w:p>
        </w:tc>
      </w:tr>
      <w:tr>
        <w:tc>
          <w:tcPr>
            <w:tcW w:w="2250" w:type="dxa"/>
          </w:tcPr>
          <w:p>
            <w:pPr>
              <w:spacing w:after="20"/>
            </w:pPr>
            <w:r>
              <w:t xml:space="preserve">Medication identification/purpose</w:t>
            </w:r>
          </w:p>
        </w:tc>
        <w:tc>
          <w:tcPr>
            <w:tcW w:w="2250" w:type="dxa"/>
          </w:tcPr>
          <w:p>
            <w:pPr>
              <w:spacing w:after="20"/>
            </w:pPr>
            <w:r>
              <w:t xml:space="preserve">56.4 ± 15.2</w:t>
            </w:r>
          </w:p>
        </w:tc>
        <w:tc>
          <w:tcPr>
            <w:tcW w:w="2250" w:type="dxa"/>
          </w:tcPr>
          <w:p>
            <w:pPr>
              <w:spacing w:after="20"/>
            </w:pPr>
            <w:r>
              <w:t xml:space="preserve">82.7 ± 11.4</w:t>
            </w:r>
          </w:p>
        </w:tc>
        <w:tc>
          <w:tcPr>
            <w:tcW w:w="2250" w:type="dxa"/>
          </w:tcPr>
          <w:p>
            <w:pPr>
              <w:spacing w:after="20"/>
            </w:pPr>
            <w:r>
              <w:t xml:space="preserve">78.5 ± 12.2</w:t>
            </w:r>
          </w:p>
        </w:tc>
      </w:tr>
      <w:tr>
        <w:tc>
          <w:tcPr>
            <w:tcW w:w="2250" w:type="dxa"/>
          </w:tcPr>
          <w:p>
            <w:pPr>
              <w:spacing w:after="20"/>
            </w:pPr>
            <w:r>
              <w:t xml:space="preserve">Administration and dosing</w:t>
            </w:r>
          </w:p>
        </w:tc>
        <w:tc>
          <w:tcPr>
            <w:tcW w:w="2250" w:type="dxa"/>
          </w:tcPr>
          <w:p>
            <w:pPr>
              <w:spacing w:after="20"/>
            </w:pPr>
            <w:r>
              <w:t xml:space="preserve">49.8 ± 14.6</w:t>
            </w:r>
          </w:p>
        </w:tc>
        <w:tc>
          <w:tcPr>
            <w:tcW w:w="2250" w:type="dxa"/>
          </w:tcPr>
          <w:p>
            <w:pPr>
              <w:spacing w:after="20"/>
            </w:pPr>
            <w:r>
              <w:t xml:space="preserve">77.9 ± 12.1</w:t>
            </w:r>
          </w:p>
        </w:tc>
        <w:tc>
          <w:tcPr>
            <w:tcW w:w="2250" w:type="dxa"/>
          </w:tcPr>
          <w:p>
            <w:pPr>
              <w:spacing w:after="20"/>
            </w:pPr>
            <w:r>
              <w:t xml:space="preserve">73.8 ± 12.8</w:t>
            </w:r>
          </w:p>
        </w:tc>
      </w:tr>
      <w:tr>
        <w:tc>
          <w:tcPr>
            <w:tcW w:w="2250" w:type="dxa"/>
          </w:tcPr>
          <w:p>
            <w:pPr>
              <w:spacing w:after="20"/>
            </w:pPr>
            <w:r>
              <w:t xml:space="preserve">ADR recognition</w:t>
            </w:r>
          </w:p>
        </w:tc>
        <w:tc>
          <w:tcPr>
            <w:tcW w:w="2250" w:type="dxa"/>
          </w:tcPr>
          <w:p>
            <w:pPr>
              <w:spacing w:after="20"/>
            </w:pPr>
            <w:r>
              <w:t xml:space="preserve">45.7 ± 16.3</w:t>
            </w:r>
          </w:p>
        </w:tc>
        <w:tc>
          <w:tcPr>
            <w:tcW w:w="2250" w:type="dxa"/>
          </w:tcPr>
          <w:p>
            <w:pPr>
              <w:spacing w:after="20"/>
            </w:pPr>
            <w:r>
              <w:t xml:space="preserve">75.4 ± 13.0</w:t>
            </w:r>
          </w:p>
        </w:tc>
        <w:tc>
          <w:tcPr>
            <w:tcW w:w="2250" w:type="dxa"/>
          </w:tcPr>
          <w:p>
            <w:pPr>
              <w:spacing w:after="20"/>
            </w:pPr>
            <w:r>
              <w:t xml:space="preserve">70.9 ± 13.7</w:t>
            </w:r>
          </w:p>
        </w:tc>
      </w:tr>
      <w:tr>
        <w:tc>
          <w:tcPr>
            <w:tcW w:w="2250" w:type="dxa"/>
          </w:tcPr>
          <w:p>
            <w:pPr>
              <w:spacing w:after="20"/>
            </w:pPr>
            <w:r>
              <w:t xml:space="preserve">Medication-error prevention</w:t>
            </w:r>
          </w:p>
        </w:tc>
        <w:tc>
          <w:tcPr>
            <w:tcW w:w="2250" w:type="dxa"/>
          </w:tcPr>
          <w:p>
            <w:pPr>
              <w:spacing w:after="20"/>
            </w:pPr>
            <w:r>
              <w:t xml:space="preserve">53.6 ± 15.1</w:t>
            </w:r>
          </w:p>
        </w:tc>
        <w:tc>
          <w:tcPr>
            <w:tcW w:w="2250" w:type="dxa"/>
          </w:tcPr>
          <w:p>
            <w:pPr>
              <w:spacing w:after="20"/>
            </w:pPr>
            <w:r>
              <w:t xml:space="preserve">80.1 ± 11.8</w:t>
            </w:r>
          </w:p>
        </w:tc>
        <w:tc>
          <w:tcPr>
            <w:tcW w:w="2250" w:type="dxa"/>
          </w:tcPr>
          <w:p>
            <w:pPr>
              <w:spacing w:after="20"/>
            </w:pPr>
            <w:r>
              <w:t xml:space="preserve">76.3 ± 12.5</w:t>
            </w:r>
          </w:p>
        </w:tc>
      </w:tr>
      <w:tr>
        <w:tc>
          <w:tcPr>
            <w:tcW w:w="2250" w:type="dxa"/>
          </w:tcPr>
          <w:p>
            <w:pPr>
              <w:spacing w:after="20"/>
            </w:pPr>
            <w:r>
              <w:t xml:space="preserve">Adherence and storage</w:t>
            </w:r>
          </w:p>
        </w:tc>
        <w:tc>
          <w:tcPr>
            <w:tcW w:w="2250" w:type="dxa"/>
          </w:tcPr>
          <w:p>
            <w:pPr>
              <w:spacing w:after="20"/>
            </w:pPr>
            <w:r>
              <w:t xml:space="preserve">54.9 ± 14.2</w:t>
            </w:r>
          </w:p>
        </w:tc>
        <w:tc>
          <w:tcPr>
            <w:tcW w:w="2250" w:type="dxa"/>
          </w:tcPr>
          <w:p>
            <w:pPr>
              <w:spacing w:after="20"/>
            </w:pPr>
            <w:r>
              <w:t xml:space="preserve">77.8 ± 11.5</w:t>
            </w:r>
          </w:p>
        </w:tc>
        <w:tc>
          <w:tcPr>
            <w:tcW w:w="2250" w:type="dxa"/>
          </w:tcPr>
          <w:p>
            <w:pPr>
              <w:spacing w:after="20"/>
            </w:pPr>
            <w:r>
              <w:t xml:space="preserve">73.6 ± 12.4</w:t>
            </w:r>
          </w:p>
        </w:tc>
      </w:tr>
      <w:tr>
        <w:tc>
          <w:tcPr>
            <w:tcW w:w="2250" w:type="dxa"/>
          </w:tcPr>
          <w:p>
            <w:pPr>
              <w:spacing w:after="20"/>
            </w:pPr>
            <w:r>
              <w:t xml:space="preserve">Overall knowledge score</w:t>
            </w:r>
          </w:p>
        </w:tc>
        <w:tc>
          <w:tcPr>
            <w:tcW w:w="2250" w:type="dxa"/>
          </w:tcPr>
          <w:p>
            <w:pPr>
              <w:spacing w:after="20"/>
            </w:pPr>
            <w:r>
              <w:t xml:space="preserve">51.8 ± 11.4</w:t>
            </w:r>
          </w:p>
        </w:tc>
        <w:tc>
          <w:tcPr>
            <w:tcW w:w="2250" w:type="dxa"/>
          </w:tcPr>
          <w:p>
            <w:pPr>
              <w:spacing w:after="20"/>
            </w:pPr>
            <w:r>
              <w:t xml:space="preserve">78.6 ± 9.8</w:t>
            </w:r>
          </w:p>
        </w:tc>
        <w:tc>
          <w:tcPr>
            <w:tcW w:w="2250" w:type="dxa"/>
          </w:tcPr>
          <w:p>
            <w:pPr>
              <w:spacing w:after="20"/>
            </w:pPr>
            <w:r>
              <w:t xml:space="preserve">74.2 ± 10.3</w:t>
            </w:r>
          </w:p>
        </w:tc>
      </w:tr>
    </w:tbl>
    <w:p/>
    <w:p>
      <w:pPr>
        <w:spacing w:after="120" w:line="276" w:lineRule="auto"/>
        <w:jc w:val="both"/>
      </w:pPr>
      <w:r>
        <w:t xml:space="preserve">Repeated-measures analysis, employing the F statistic defined in Eq. (12), demonstrated a significant change in knowledge scores across the three assessment points (P &lt; 0.001). Pairwise comparisons revealed significant improvement from baseline to 4 weeks and from baseline to 3 months. A modest decline was observed between 4 weeks and 3 months, although scores remained substantially above baseline, as evident in Table 2.</w:t>
      </w:r>
    </w:p>
    <w:p>
      <w:pPr>
        <w:spacing w:after="120" w:line="276" w:lineRule="auto"/>
        <w:jc w:val="both"/>
      </w:pPr>
      <w:r>
        <w:t xml:space="preserve">Medication-safety practice: Improvement was likewise observed in reported medication-administration practices. The proportion of caregivers routinely verifying the medication name and dose, computed per Eq. (18), increased from 61.8% at baseline to 89.5% at 4 weeks and 85.4% at 3 months, corresponding to a change in proportion of Eq. (19). Appropriate medication storage and maintenance of medication schedules similarly improved following the intervention, mirroring the practice gains reported when caregiver counseling incorporates health-literacy strategies and standardized dosing support [6], as depicted in Figure 1.</w:t>
      </w:r>
    </w:p>
    <w:p>
      <w:pPr>
        <w:spacing w:before="60" w:after="60"/>
        <w:tabs>
          <w:tab w:val="center" w:pos="4680"/>
          <w:tab w:val="right" w:pos="9360"/>
        </w:tabs>
      </w:pPr>
      <w:r>
        <w:tab/>
      </w:r>
      <m:oMath xmlns:m="http://schemas.openxmlformats.org/officeDocument/2006/math">
        <m:sSub>
          <m:e>
            <m:r>
              <m:t>p</m:t>
            </m:r>
          </m:e>
          <m:sub>
            <m:r>
              <m:t>t</m:t>
            </m:r>
          </m:sub>
        </m:sSub>
        <m:r>
          <m:t>=</m:t>
        </m:r>
        <m:f>
          <m:num>
            <m:sSub>
              <m:e>
                <m:r>
                  <m:t>x</m:t>
                </m:r>
              </m:e>
              <m:sub>
                <m:r>
                  <m:t>t</m:t>
                </m:r>
              </m:sub>
            </m:sSub>
          </m:num>
          <m:den>
            <m:sSub>
              <m:e>
                <m:r>
                  <m:t>n</m:t>
                </m:r>
              </m:e>
              <m:sub>
                <m:r>
                  <m:t>t</m:t>
                </m:r>
              </m:sub>
            </m:sSub>
          </m:den>
        </m:f>
      </m:oMath>
      <w:r>
        <w:tab/>
      </w:r>
      <w:r>
        <w:t xml:space="preserve">(18)</w:t>
      </w:r>
    </w:p>
    <w:p>
      <w:pPr>
        <w:spacing w:before="60" w:after="60"/>
        <w:tabs>
          <w:tab w:val="center" w:pos="4680"/>
          <w:tab w:val="right" w:pos="9360"/>
        </w:tabs>
      </w:pPr>
      <w:r>
        <w:tab/>
      </w:r>
      <m:oMath xmlns:m="http://schemas.openxmlformats.org/officeDocument/2006/math">
        <m:r>
          <m:t>Δp</m:t>
        </m:r>
        <m:r>
          <m:t>=</m:t>
        </m:r>
        <m:sSub>
          <m:e>
            <m:r>
              <m:t>p</m:t>
            </m:r>
          </m:e>
          <m:sub>
            <m:r>
              <m:t>post</m:t>
            </m:r>
          </m:sub>
        </m:sSub>
        <m:r>
          <m:t>−</m:t>
        </m:r>
        <m:sSub>
          <m:e>
            <m:r>
              <m:t>p</m:t>
            </m:r>
          </m:e>
          <m:sub>
            <m:r>
              <m:t>base</m:t>
            </m:r>
          </m:sub>
        </m:sSub>
      </m:oMath>
      <w:r>
        <w:tab/>
      </w:r>
      <w:r>
        <w:t xml:space="preserve">(19)</w:t>
      </w:r>
    </w:p>
    <w:p>
      <w:pPr>
        <w:spacing w:before="120" w:after="60"/>
      </w:pPr>
      <w:r>
        <w:rPr>
          <w:b/>
        </w:rPr>
        <w:t xml:space="preserve">Figure 1: Changes in medication-safety practices among caregivers following AI-assisted education.</w:t>
      </w:r>
    </w:p>
    <w:p>
      <w:pPr>
        <w:spacing w:after="120" w:line="276" w:lineRule="auto"/>
        <w:jc w:val="both"/>
      </w:pPr>
      <w:r>
        <w:t xml:space="preserve">Adverse drug reaction and medication-error recognition: Recognition of common medication-related problems improved following the intervention. At baseline, 72 (42.4%) caregivers correctly identified at least three important medication-related warning symptoms. This proportion increased to 139 (85.8%) at 4 weeks and remained 126 (80.3%) at 3 months. Correspondingly, the proportion correctly identifying potential medication errors increased from 48.8% at baseline to 87.0% at 4 weeks and 82.8% at 3 months. The statistical significance of these paired changes in dichotomous recognition status was evaluated using the McNemar statistic defined in Eq. (20), and the time course is illustrated in Figure 2.</w:t>
      </w:r>
    </w:p>
    <w:p>
      <w:pPr>
        <w:spacing w:before="60" w:after="60"/>
        <w:tabs>
          <w:tab w:val="center" w:pos="4680"/>
          <w:tab w:val="right" w:pos="9360"/>
        </w:tabs>
      </w:pPr>
      <w:r>
        <w:tab/>
      </w:r>
      <m:oMath xmlns:m="http://schemas.openxmlformats.org/officeDocument/2006/math">
        <m:sSup>
          <m:e>
            <m:r>
              <m:t>χ</m:t>
            </m:r>
          </m:e>
          <m:sup>
            <m:r>
              <m:t>2</m:t>
            </m:r>
          </m:sup>
        </m:sSup>
        <m:r>
          <m:t>=</m:t>
        </m:r>
        <m:f>
          <m:num>
            <m:sSup>
              <m:e>
                <m:d>
                  <m:dPr>
                    <m:begChr m:val="("/>
                    <m:endChr m:val=")"/>
                  </m:dPr>
                  <m:e>
                    <m:r>
                      <m:t>|</m:t>
                    </m:r>
                    <m:r>
                      <m:t>b</m:t>
                    </m:r>
                    <m:r>
                      <m:t>−</m:t>
                    </m:r>
                    <m:r>
                      <m:t>c</m:t>
                    </m:r>
                    <m:r>
                      <m:t>|</m:t>
                    </m:r>
                    <m:r>
                      <m:t>−</m:t>
                    </m:r>
                    <m:r>
                      <m:t>1</m:t>
                    </m:r>
                  </m:e>
                </m:d>
              </m:e>
              <m:sup>
                <m:r>
                  <m:t>2</m:t>
                </m:r>
              </m:sup>
            </m:sSup>
          </m:num>
          <m:den>
            <m:r>
              <m:t>b</m:t>
            </m:r>
            <m:r>
              <m:t>+</m:t>
            </m:r>
            <m:r>
              <m:t>c</m:t>
            </m:r>
          </m:den>
        </m:f>
      </m:oMath>
      <w:r>
        <w:tab/>
      </w:r>
      <w:r>
        <w:t xml:space="preserve">(20)</w:t>
      </w:r>
    </w:p>
    <w:p>
      <w:pPr>
        <w:spacing w:before="120" w:after="60"/>
      </w:pPr>
      <w:r>
        <w:rPr>
          <w:b/>
        </w:rPr>
        <w:t xml:space="preserve">Figure 2: ADR, medication-error and adherence knowledge over time from baseline to 3 months.</w:t>
      </w:r>
    </w:p>
    <w:p>
      <w:pPr>
        <w:spacing w:after="120" w:line="276" w:lineRule="auto"/>
        <w:jc w:val="both"/>
      </w:pPr>
      <w:r>
        <w:t xml:space="preserve">Caregiver confidence and knowledge retention: Mean caregiver confidence regarding safe medication administration, with its change quantified per Eq. (21), increased from 5.6 ± 1.8 at baseline to 8.1 ± 1.2 at 4 weeks and remained 7.7 ± 1.4 at 3 months on a 10-point scale. The overall change across the three assessment points was statistically significant (P &lt; 0.001).</w:t>
      </w:r>
    </w:p>
    <w:p>
      <w:pPr>
        <w:spacing w:before="60" w:after="60"/>
        <w:tabs>
          <w:tab w:val="center" w:pos="4680"/>
          <w:tab w:val="right" w:pos="9360"/>
        </w:tabs>
      </w:pPr>
      <w:r>
        <w:tab/>
      </w:r>
      <m:oMath xmlns:m="http://schemas.openxmlformats.org/officeDocument/2006/math">
        <m:bar>
          <m:barPr>
            <m:pos m:val="top"/>
          </m:barPr>
          <m:e>
            <m:r>
              <m:t>ΔC</m:t>
            </m:r>
          </m:e>
        </m:bar>
        <m:r>
          <m:t>=</m:t>
        </m:r>
        <m:sSub>
          <m:e>
            <m:bar>
              <m:barPr>
                <m:pos m:val="top"/>
              </m:barPr>
              <m:e>
                <m:r>
                  <m:t>C</m:t>
                </m:r>
              </m:e>
            </m:bar>
          </m:e>
          <m:sub>
            <m:r>
              <m:t>post</m:t>
            </m:r>
          </m:sub>
        </m:sSub>
        <m:r>
          <m:t>−</m:t>
        </m:r>
        <m:sSub>
          <m:e>
            <m:bar>
              <m:barPr>
                <m:pos m:val="top"/>
              </m:barPr>
              <m:e>
                <m:r>
                  <m:t>C</m:t>
                </m:r>
              </m:e>
            </m:bar>
          </m:e>
          <m:sub>
            <m:r>
              <m:t>base</m:t>
            </m:r>
          </m:sub>
        </m:sSub>
      </m:oMath>
      <w:r>
        <w:tab/>
      </w:r>
      <w:r>
        <w:t xml:space="preserve">(21)</w:t>
      </w:r>
    </w:p>
    <w:p>
      <w:pPr>
        <w:spacing w:after="120" w:line="276" w:lineRule="auto"/>
        <w:jc w:val="both"/>
      </w:pPr>
      <w:r>
        <w:t xml:space="preserve">The mean knowledge gain immediately following the intervention was 26.8 percentage points (Eq. (16)). At 3 months, the mean gain relative to baseline remained 22.4 percentage points (Eq. (17)). Applying the retention relationship of Eq. (11), the computation in Eq. (22) indicates that approximately 83.6% of the initial knowledge gain was retained at 3 months. For completeness, the normalized (Hake) gain, defined in Eq. (23), provides a complementary ceiling-adjusted index of learning. These results denote a moderate decline from the 4-week assessment with maintenance of substantially improved knowledge relative to baseline, as summarized in Figure 3.</w:t>
      </w:r>
    </w:p>
    <w:p>
      <w:pPr>
        <w:spacing w:before="60" w:after="60"/>
        <w:tabs>
          <w:tab w:val="center" w:pos="4680"/>
          <w:tab w:val="right" w:pos="9360"/>
        </w:tabs>
      </w:pPr>
      <w:r>
        <w:tab/>
      </w:r>
      <m:oMath xmlns:m="http://schemas.openxmlformats.org/officeDocument/2006/math">
        <m:r>
          <m:t>Retention</m:t>
        </m:r>
        <m:r>
          <m:t>=</m:t>
        </m:r>
        <m:f>
          <m:num>
            <m:r>
              <m:t>74.2</m:t>
            </m:r>
            <m:r>
              <m:t>−</m:t>
            </m:r>
            <m:r>
              <m:t>51.8</m:t>
            </m:r>
          </m:num>
          <m:den>
            <m:r>
              <m:t>78.6</m:t>
            </m:r>
            <m:r>
              <m:t>−</m:t>
            </m:r>
            <m:r>
              <m:t>51.8</m:t>
            </m:r>
          </m:den>
        </m:f>
        <m:r>
          <m:t>×</m:t>
        </m:r>
        <m:r>
          <m:t>100%</m:t>
        </m:r>
        <m:r>
          <m:t>≈</m:t>
        </m:r>
        <m:r>
          <m:t>83.6%</m:t>
        </m:r>
      </m:oMath>
      <w:r>
        <w:tab/>
      </w:r>
      <w:r>
        <w:t xml:space="preserve">(22)</w:t>
      </w:r>
    </w:p>
    <w:p>
      <w:pPr>
        <w:spacing w:before="60" w:after="60"/>
        <w:tabs>
          <w:tab w:val="center" w:pos="4680"/>
          <w:tab w:val="right" w:pos="9360"/>
        </w:tabs>
      </w:pPr>
      <w:r>
        <w:tab/>
      </w:r>
      <m:oMath xmlns:m="http://schemas.openxmlformats.org/officeDocument/2006/math">
        <m:r>
          <m:t>⟨</m:t>
        </m:r>
        <m:r>
          <m:t>g</m:t>
        </m:r>
        <m:r>
          <m:t>⟩</m:t>
        </m:r>
        <m:r>
          <m:t>=</m:t>
        </m:r>
        <m:f>
          <m:num>
            <m:sSub>
              <m:e>
                <m:r>
                  <m:t>K</m:t>
                </m:r>
              </m:e>
              <m:sub>
                <m:r>
                  <m:t>post</m:t>
                </m:r>
              </m:sub>
            </m:sSub>
            <m:r>
              <m:t>−</m:t>
            </m:r>
            <m:sSub>
              <m:e>
                <m:r>
                  <m:t>K</m:t>
                </m:r>
              </m:e>
              <m:sub>
                <m:r>
                  <m:t>base</m:t>
                </m:r>
              </m:sub>
            </m:sSub>
          </m:num>
          <m:den>
            <m:r>
              <m:t>100</m:t>
            </m:r>
            <m:r>
              <m:t>−</m:t>
            </m:r>
            <m:sSub>
              <m:e>
                <m:r>
                  <m:t>K</m:t>
                </m:r>
              </m:e>
              <m:sub>
                <m:r>
                  <m:t>base</m:t>
                </m:r>
              </m:sub>
            </m:sSub>
          </m:den>
        </m:f>
      </m:oMath>
      <w:r>
        <w:tab/>
      </w:r>
      <w:r>
        <w:t xml:space="preserve">(23)</w:t>
      </w:r>
    </w:p>
    <w:p>
      <w:pPr>
        <w:spacing w:before="120" w:after="60"/>
      </w:pPr>
      <w:r>
        <w:rPr>
          <w:b/>
        </w:rPr>
        <w:t xml:space="preserve">Figure 3: Changes in caregiver confidence (3A) and knowledge gain immediately after AI-assisted education and retention at 3 months (3B).</w:t>
      </w:r>
    </w:p>
    <w:p>
      <w:pPr>
        <w:spacing w:after="120" w:line="276" w:lineRule="auto"/>
        <w:jc w:val="both"/>
      </w:pPr>
      <w:r>
        <w:t xml:space="preserve">Predictors of knowledge improvement: In exploratory multivariable analysis employing the regression model of Eq. (15), higher baseline educational level, previous exposure to medication counseling, and lower baseline knowledge were each associated with greater improvement in knowledge scores, as depicted in Figure 4.</w:t>
      </w:r>
    </w:p>
    <w:p>
      <w:pPr>
        <w:spacing w:before="120" w:after="60"/>
      </w:pPr>
      <w:r>
        <w:rPr>
          <w:b/>
        </w:rPr>
        <w:t xml:space="preserve">Figure 4: Predictors of improvement in medication-safety knowledge among caregivers.</w:t>
      </w:r>
    </w:p>
    <w:p>
      <w:pPr>
        <w:spacing w:before="240" w:after="120"/>
      </w:pPr>
      <w:r>
        <w:rPr>
          <w:b/>
          <w:sz w:val="26"/>
        </w:rPr>
        <w:t xml:space="preserve">Discussion</w:t>
      </w:r>
    </w:p>
    <w:p>
      <w:pPr>
        <w:spacing w:after="120" w:line="276" w:lineRule="auto"/>
        <w:jc w:val="both"/>
      </w:pPr>
      <w:r>
        <w:t xml:space="preserve">The present prospective study demonstrated a substantial improvement in caregivers' medication-safety knowledge following AI-assisted educational intervention, with benefits sustained at 3 months. Overall knowledge increased from 51.8% at baseline to 78.6% at 4 weeks and remained 74.2% at 3 months (Table 2). In parallel, significant improvements were observed in medication identification, administration and dosing, adverse drug reaction (ADR) recognition, medication-error prevention, adherence, storage practices, and caregiver confidence. These findings intimate that a structured, interactive educational approach may redress important medication-safety deficits among caregivers responsible for administering medicines to children with neurodevelopmental disorders.</w:t>
      </w:r>
    </w:p>
    <w:p>
      <w:pPr>
        <w:spacing w:after="120" w:line="276" w:lineRule="auto"/>
        <w:jc w:val="both"/>
      </w:pPr>
      <w:r>
        <w:t xml:space="preserve">The magnitude of improvement, quantified in Eq. (16) and Eq. (17), is concordant with recent evidence supporting caregiver-focused medication education. A 2026 systematic review of educational interventions for parents of paediatric patients found that multicomponent interventions incorporating counselling, health-literacy strategies, and standardized dosing tools improved caregiver medication knowledge and were associated with reductions in dosing errors [7]. The improvement observed in the present study, particularly in administration and dosing knowledge (Table 2), is therefore clinically plausible and corroborates the salience of caregiver education as an integral component of paediatric medication-safety strategies. Earlier systematic evidence has similarly demonstrated that medication-administration errors in children at home may involve incorrect dose, wrong medication, omitted administration, and incorrect timing or route, with caregiver training and tailored equipment identified among potentially efficacious preventive approaches [8].</w:t>
      </w:r>
    </w:p>
    <w:p>
      <w:pPr>
        <w:spacing w:after="120" w:line="276" w:lineRule="auto"/>
        <w:jc w:val="both"/>
      </w:pPr>
      <w:r>
        <w:t xml:space="preserve">The improvement in medication-safety practices observed in this study is especially pertinent because knowledge alone does not invariably translate into safe medication administration. At baseline, fewer than two-thirds of caregivers consistently reported verifying medication names and doses, employing appropriate measuring devices, or maintaining medication schedules, whereas the maintenance of an updated medication list was particularly uncommon. Following the intervention, these practices improved considerably and remained above baseline at 3 months (Figure 1). This pattern is consistent with evidence indicating that paediatric medication errors frequently originate in practical problems involving dose measurement, interpretation of instructions, medication organization, and communication [9]. A recent narrative review of paediatric medication safety likewise emphasizes structured communication, standardized dosing processes, teach-back approaches, pictorial instructions, and family-centred education as salient components of error prevention [10].</w:t>
      </w:r>
    </w:p>
    <w:p>
      <w:pPr>
        <w:spacing w:after="120" w:line="276" w:lineRule="auto"/>
        <w:jc w:val="both"/>
      </w:pPr>
      <w:r>
        <w:t xml:space="preserve">The present study carries additional relevance because the target population comprised caregivers of children with neurodevelopmental disorders. Medication management in this population may be especially exacting, as children may receive multiple medicines, require long-term treatment, or exhibit difficulties with communication, cooperation, or routine adherence. Previous qualitative research involving caregivers of individuals with intellectual and developmental disabilities identified inadequate caregiver understanding and training, medication-record problems, communication difficulties, and systemic healthcare challenges as salient components of medication management [11]. An intervention specifically addressing medication identification, dosing, ADR recognition, adherence, and error prevention may therefore be particularly valuable in this population.</w:t>
      </w:r>
    </w:p>
    <w:p>
      <w:pPr>
        <w:spacing w:after="120" w:line="276" w:lineRule="auto"/>
        <w:jc w:val="both"/>
      </w:pPr>
      <w:r>
        <w:t xml:space="preserve">The improvement in ADR and medication-error recognition constitutes a further important finding. Adequate ADR recognition increased from 42.4% at baseline to 85.8% at 4 weeks and remained 80.3% at 3 months, while adequate medication-error recognition increased from 48.8% to 87.0% and remained 82.8% (Figure 2); the corresponding changes in proportion are expressed by Eq. (19). These findings indicate that the intervention was not confined to factual knowledge about medicines but additionally addressed safety-oriented decision-making. This is consequential because caregivers are frequently the first to identify unexpected symptoms, administration errors, missed doses, or problems with medication adherence in the home environment. A 2026 systematic review of medication administration at home similarly underscored that caregivers frequently encounter disruptions related to medicines, healthcare systems, and family circumstances and must adapt their practices to preserve medication safety [12].</w:t>
      </w:r>
    </w:p>
    <w:p>
      <w:pPr>
        <w:spacing w:after="120" w:line="276" w:lineRule="auto"/>
        <w:jc w:val="both"/>
      </w:pPr>
      <w:r>
        <w:t xml:space="preserve">The improvement in caregiver confidence, quantified per Eq. (21), further reinforces the educational findings. Confidence increased from 5.6 ± 1.8 at baseline to 8.1 ± 1.2 at 4 weeks and remained 7.7 ± 1.4 at 3 months (Figure 3). This finding is broadly concordant with evidence from caregiver skills-training interventions in neurodevelopmental disorders. A systematic review and meta-analysis of randomized controlled trials involving caregivers of individuals with neurodevelopmental disorders reported improvements in caregiver knowledge and skills following structured caregiver-training programmes [13]. Likewise, a recent review of online and digital learning programmes for caregivers of children and youth with neurodevelopmental disabilities found that parental knowledge was among the most frequently evaluated outcomes, with the majority of studies reporting significant improvements [14]. The present study extends this literature by applying caregiver education specifically to medication safety rather than to broader behavioural or developmental skills.</w:t>
      </w:r>
    </w:p>
    <w:p>
      <w:pPr>
        <w:spacing w:after="120" w:line="276" w:lineRule="auto"/>
        <w:jc w:val="both"/>
      </w:pPr>
      <w:r>
        <w:t xml:space="preserve">A salient feature of the present intervention was the deployment of AI as an educational support rather than as an autonomous clinical decision-making system. The AI-assisted platform was restricted to medication-safety education and did not prescribe, discontinue, modify, or independently recommend medicines. This distinction is material because evidence concerning AI-based medication-safety education remains comparatively limited. A 2026 scoping review of AI-based tools for teaching safe medication administration identified only a small number of studies and reported improvements in knowledge and performance, while concurrently noting the absence of evidence demonstrating reductions in actual medication errors or preventable adverse events [15]. This limited evidence base is reinforced by broader reviews indicating that, although AI-based patient-support tools can enhance medication adherence, the number of rigorous studies with measurable clinical outcomes remains small [16]. Recent reviews of large language models in patient education similarly suggest potential advantages in accessibility, personalization, and the translation of medical information into patient-friendly language, while cautioning regarding readability, accuracy, and bias [17,18]. Evaluations of generative AI and chatbots for drug-related inquiries have reported variable accuracy relative to pharmacists and have underscored the necessity of professional oversight when AI is deployed in medication-related contexts [19,20]. Furthermore, syntheses of the ethics of large language models in healthcare consistently emphasize the risks of inaccurate yet persuasive content, privacy concerns, and the imperative of human oversight and governance frameworks [21,22]. Consistent with proposals for digital-health frameworks that safeguard clinical safety and health literacy when deploying generative AI in consumer health [23], the present intervention was deliberately constrained to a clinician-reviewed educational role. The present findings thus provide supportive educational evidence while refraining from any claim that AI itself reduces clinical medication errors.</w:t>
      </w:r>
    </w:p>
    <w:p>
      <w:pPr>
        <w:spacing w:after="120" w:line="276" w:lineRule="auto"/>
        <w:jc w:val="both"/>
      </w:pPr>
      <w:r>
        <w:t xml:space="preserve">The retention of benefit at 3 months is noteworthy. Although knowledge declined modestly from 78.6% at 4 weeks to 74.2% at 3 months, the score remained substantially above the baseline value of 51.8%. By the computation in Eq. (22), approximately 83.6% of the initial knowledge gain was retained at 3 months. This suggests that the intervention engendered a sustained educational effect rather than a transient improvement immediately following training. Nonetheless, the decline between 4 weeks and 3 months indicates that periodic reinforcement may be requisite to maintain optimal medication-safety knowledge over longer intervals.</w:t>
      </w:r>
    </w:p>
    <w:p>
      <w:pPr>
        <w:spacing w:after="120" w:line="276" w:lineRule="auto"/>
        <w:jc w:val="both"/>
      </w:pPr>
      <w:r>
        <w:t xml:space="preserve">Limitations: First, the pre–post design without a concurrent control group constrains causal inference, and improvements may partly reflect repeated testing, increased familiarity with the questionnaire, or changes unrelated to the intervention. Second, medication-safety practices were assessed primarily through caregiver self-report and may therefore be subject to recall or social-desirability bias. Third, the study assessed knowledge, confidence, and reported practices rather than objectively verified medication errors, ADRs, emergency visits, or other clinical outcomes. Fourth, the 3-month follow-up does not establish long-term retention.</w:t>
      </w:r>
    </w:p>
    <w:p>
      <w:pPr>
        <w:spacing w:after="120" w:line="276" w:lineRule="auto"/>
        <w:jc w:val="both"/>
      </w:pPr>
      <w:r>
        <w:t xml:space="preserve">Notwithstanding these limitations, the study furnishes preliminary evidence that AI-assisted, clinician-reviewed medication-safety education can substantially improve caregiver knowledge, safety practices, ADR recognition, medication-error recognition, and confidence among caregivers of children with neurodevelopmental disorders. Future randomized controlled and multicentre studies should compare AI-assisted education with standard counselling, incorporate objective observation of medication administration, measure clinically verified medication errors and ADRs, and evaluate longer-term retention. Such studies will be necessary to determine whether improvements in caregiver knowledge and confidence ultimately translate into measurable reductions in medication-related harm.</w:t>
      </w:r>
    </w:p>
    <w:p>
      <w:pPr>
        <w:spacing w:before="240" w:after="120"/>
      </w:pPr>
      <w:r>
        <w:rPr>
          <w:b/>
          <w:sz w:val="26"/>
        </w:rPr>
        <w:t xml:space="preserve">Conclusion</w:t>
      </w:r>
    </w:p>
    <w:p>
      <w:pPr>
        <w:spacing w:after="120" w:line="276" w:lineRule="auto"/>
        <w:jc w:val="both"/>
      </w:pPr>
      <w:r>
        <w:t xml:space="preserve">AI-assisted, clinician-reviewed medication-safety education was associated with substantial improvement in caregivers' medication knowledge, medication-administration practices, adverse drug reaction recognition, medication-error recognition, adherence knowledge, and confidence among caregivers of children with neurodevelopmental disorders. Importantly, the majority of the educational gains were retained at 3 months, albeit with a modest decline from the 4-week assessment. These findings support the prospective role of structured AI-assisted education as an accessible and reproducible adjunct to conventional caregiver counselling. However, given the pre–post study design and the partial reliance on self-reported outcomes, the findings should be construed as preliminary evidence of educational benefit rather than as proof of reduced medication-related harm. Multicentre studies incorporating objective assessment of medication administration and clinically verified medication errors and adverse drug reactions are warranted to establish the effectiveness and long-term clinical impact of this approach.</w:t>
      </w:r>
    </w:p>
    <w:p>
      <w:pPr>
        <w:spacing w:before="240" w:after="120"/>
      </w:pPr>
      <w:r>
        <w:rPr>
          <w:b/>
          <w:sz w:val="26"/>
        </w:rPr>
        <w:t xml:space="preserve">References</w:t>
      </w:r>
    </w:p>
    <w:p>
      <w:pPr>
        <w:spacing w:after="60"/>
        <w:ind w:left="360" w:hanging="360"/>
      </w:pPr>
      <w:r>
        <w:t xml:space="preserve">1. Francés L, Quintero J, Fernández A, Ruiz A, Caules J, Fillon G, et al. Current state of knowledge on the prevalence of neurodevelopmental disorders in childhood according to the DSM-5: a systematic review in accordance with the PRISMA criteria. Child Adolesc Psychiatry Ment Health. 2022;16(1):27.</w:t>
      </w:r>
    </w:p>
    <w:p>
      <w:pPr>
        <w:spacing w:after="60"/>
        <w:ind w:left="360" w:hanging="360"/>
      </w:pPr>
      <w:r>
        <w:t xml:space="preserve">2. Olusanya BO, Smythe T, Ogbo FA, Nair MKC, Scher M, Davis AC; Global Research on Developmental Disabilities Collaborators. Global prevalence of developmental disabilities in children and adolescents: a systematic umbrella review. Front Public Health. 2023;11:1122009.</w:t>
      </w:r>
    </w:p>
    <w:p>
      <w:pPr>
        <w:spacing w:after="60"/>
        <w:ind w:left="360" w:hanging="360"/>
      </w:pPr>
      <w:r>
        <w:t xml:space="preserve">3. Lamy M, Erickson CA. Recent advances in the pharmacological management of behavioral disturbances associated with autism spectrum disorder in children and adolescents. Paediatr Drugs. 2024;26(3):237–50.</w:t>
      </w:r>
    </w:p>
    <w:p>
      <w:pPr>
        <w:spacing w:after="60"/>
        <w:ind w:left="360" w:hanging="360"/>
      </w:pPr>
      <w:r>
        <w:t xml:space="preserve">4. Alsabri M, Carfagnini C, Amin M, Castilla F, Garcia J, Mohamed M, et al. Preventing medication errors in paediatrics: a narrative review. Eur J Pediatr. 2026;185(1):42.</w:t>
      </w:r>
    </w:p>
    <w:p>
      <w:pPr>
        <w:spacing w:after="60"/>
        <w:ind w:left="360" w:hanging="360"/>
      </w:pPr>
      <w:r>
        <w:t xml:space="preserve">5. Gonzales K. A systematic review on pediatric medication errors by parents or caregivers at home. Expert Opin Drug Saf. 2021;20(9):1053–63.</w:t>
      </w:r>
    </w:p>
    <w:p>
      <w:pPr>
        <w:spacing w:after="60"/>
        <w:ind w:left="360" w:hanging="360"/>
      </w:pPr>
      <w:r>
        <w:t xml:space="preserve">6. Yin HS, Mendelsohn AL, Nagin P, van Schaick L, Cerra ME, Dreyer BP. Use of a pictographic diagram to decrease parent dosing errors with infant acetaminophen: a health literacy perspective. Acad Pediatr. 2021;21(6):979–87.</w:t>
      </w:r>
    </w:p>
    <w:p>
      <w:pPr>
        <w:spacing w:after="60"/>
        <w:ind w:left="360" w:hanging="360"/>
      </w:pPr>
      <w:r>
        <w:t xml:space="preserve">7. Alqarni AS, Pasay-An E, Saguban R, Cabansag D, Alkubati S, Alshammari SA, et al. A systematic review and analysis of medication education for medication misuse in children. Healthcare (Basel). 2025;13(4):385.</w:t>
      </w:r>
    </w:p>
    <w:p>
      <w:pPr>
        <w:spacing w:after="60"/>
        <w:ind w:left="360" w:hanging="360"/>
      </w:pPr>
      <w:r>
        <w:t xml:space="preserve">8. Parand A, Garfield S, Vincent C, Franklin BD. Carers' medication administration errors in the domiciliary setting: a systematic review. PLoS One. 2016;11(12):e0167204.</w:t>
      </w:r>
    </w:p>
    <w:p>
      <w:pPr>
        <w:spacing w:after="60"/>
        <w:ind w:left="360" w:hanging="360"/>
      </w:pPr>
      <w:r>
        <w:t xml:space="preserve">9. Walsh KE, Mazor KM, Stille CJ, Torres I, Wagner JL, Moretti J, et al. Medication administration errors by parents and caregivers in the home: a literature review of problems and the role of health literacy. BMJ Paediatr Open. 2020;4(1):e000841.</w:t>
      </w:r>
    </w:p>
    <w:p>
      <w:pPr>
        <w:spacing w:after="60"/>
        <w:ind w:left="360" w:hanging="360"/>
      </w:pPr>
      <w:r>
        <w:t xml:space="preserve">10. Alsabri M, Carfagnini C, Amin M, Castilla F, Garcia J, Mohamed M, et al. Preventing medication errors in paediatrics: a narrative review of strategies, communication tools, and emerging technologies. Eur J Pediatr. 2025;184(1):678.</w:t>
      </w:r>
    </w:p>
    <w:p>
      <w:pPr>
        <w:spacing w:after="60"/>
        <w:ind w:left="360" w:hanging="360"/>
      </w:pPr>
      <w:r>
        <w:t xml:space="preserve">11. Erickson SR, LeRoy B. Issues in the medication management process in people who have intellectual and developmental disabilities: a qualitative study of the caregivers' perspective. Intellect Dev Disabil. 2017;55(2):81–92.</w:t>
      </w:r>
    </w:p>
    <w:p>
      <w:pPr>
        <w:spacing w:after="60"/>
        <w:ind w:left="360" w:hanging="360"/>
      </w:pPr>
      <w:r>
        <w:t xml:space="preserve">12. Garfield S, Furniss D, Husson F, Etkind M, Williams M, Norton J, et al. Disruptions to safety and adaptations experienced by parents and caregivers who administered prescribed medicines to children at home: a systematic review using a framework synthesis. Front Health Serv. 2026;6:1748195.</w:t>
      </w:r>
    </w:p>
    <w:p>
      <w:pPr>
        <w:spacing w:after="60"/>
        <w:ind w:left="360" w:hanging="360"/>
      </w:pPr>
      <w:r>
        <w:t xml:space="preserve">13. Reichow B, Kogan C, Barbui C, Maggin D, Salomone E, Smith IC, et al. Caregiver skills training for caregivers of individuals with neurodevelopmental disorders: a systematic review and meta-analysis. Dev Med Child Neurol. 2024;66(6):713–24.</w:t>
      </w:r>
    </w:p>
    <w:p>
      <w:pPr>
        <w:spacing w:after="60"/>
        <w:ind w:left="360" w:hanging="360"/>
      </w:pPr>
      <w:r>
        <w:t xml:space="preserve">14. Dugas M, Stefan T, Blouin P, Lépine J, Skidmore B, LeBlanc A. Online learning for children and youth with brain-based disabilities: a rapid overview of reviews. Disabil Rehabil. 2023;45(10):1627–39.</w:t>
      </w:r>
    </w:p>
    <w:p>
      <w:pPr>
        <w:spacing w:after="60"/>
        <w:ind w:left="360" w:hanging="360"/>
      </w:pPr>
      <w:r>
        <w:t xml:space="preserve">15. Douglas de Oliveira WD, Ghirotti MELP, de Sousa AFL, da Silva ALNV, de Carvalho HEF, Valim MD, et al. AI tools for teaching the safe administration of medications in nursing: a scoping review. Nurs Rep. 2026;16(4):146.</w:t>
      </w:r>
    </w:p>
    <w:p>
      <w:pPr>
        <w:spacing w:after="60"/>
        <w:ind w:left="360" w:hanging="360"/>
      </w:pPr>
      <w:r>
        <w:t xml:space="preserve">16. Vrdoljak J, Boban Z, Vilović M, Kumrić M, Božić J. Artificial intelligence-based tools for patient support to enhance medication adherence: a focused review. Front Digit Health. 2025;7:1523070.</w:t>
      </w:r>
    </w:p>
    <w:p>
      <w:pPr>
        <w:spacing w:after="60"/>
        <w:ind w:left="360" w:hanging="360"/>
      </w:pPr>
      <w:r>
        <w:t xml:space="preserve">17. Meng X, Yan X, Zhang K, Liu D, Cui X, Yang Y, et al. Large language models in patient education: a scoping review of applications in medicine. Front Med (Lausanne). 2024;11:1477898.</w:t>
      </w:r>
    </w:p>
    <w:p>
      <w:pPr>
        <w:spacing w:after="60"/>
        <w:ind w:left="360" w:hanging="360"/>
      </w:pPr>
      <w:r>
        <w:t xml:space="preserve">18. Omar M, Nassar S, Hijazi K, Glicksberg BS, Nadkarni GN, Klang E. Large language models in patient education: evidence, limitations, and future directions. NPJ Digit Med. 2024;7:280.</w:t>
      </w:r>
    </w:p>
    <w:p>
      <w:pPr>
        <w:spacing w:after="60"/>
        <w:ind w:left="360" w:hanging="360"/>
      </w:pPr>
      <w:r>
        <w:t xml:space="preserve">19. Al-Ashwal FY, Zawiah M, Gharaibeh L, Abu-Farha R, Bitar AN. Safety and quality of AI chatbots for drug-related inquiries: a real-world comparison with licensed pharmacists. Ann Pharmacother. 2024;58(10):998–1008.</w:t>
      </w:r>
    </w:p>
    <w:p>
      <w:pPr>
        <w:spacing w:after="60"/>
        <w:ind w:left="360" w:hanging="360"/>
      </w:pPr>
      <w:r>
        <w:t xml:space="preserve">20. Fournier A, Fallet C, Sadeghipour F, Perrottet N. Assessing accuracy of ChatGPT in response to questions from day to day pharmaceutical care in hospitals. Explor Res Clin Soc Pharm. 2024;15:100464.</w:t>
      </w:r>
    </w:p>
    <w:p>
      <w:pPr>
        <w:spacing w:after="60"/>
        <w:ind w:left="360" w:hanging="360"/>
      </w:pPr>
      <w:r>
        <w:t xml:space="preserve">21. Ong JCL, Chang SY, William W, Butte AJ, Shah NH, Chew LST, et al. The ethics of ChatGPT in medicine and healthcare: a systematic review on large language models (LLMs). NPJ Digit Med. 2024;7:143.</w:t>
      </w:r>
    </w:p>
    <w:p>
      <w:pPr>
        <w:spacing w:after="60"/>
        <w:ind w:left="360" w:hanging="360"/>
      </w:pPr>
      <w:r>
        <w:t xml:space="preserve">22. Ahmad A, Alsharif A, Abusuh A, Alghamdi M, Alharbi A, Alqahtani A, et al. A systematic review of ethical considerations of large language models in healthcare and medicine. Front Digit Health. 2025;7:1653631.</w:t>
      </w:r>
    </w:p>
    <w:p>
      <w:pPr>
        <w:spacing w:after="60"/>
        <w:ind w:left="360" w:hanging="360"/>
      </w:pPr>
      <w:r>
        <w:t xml:space="preserve">23. Pappu S, Kommineni HP. Generative AI in consumer health: leveraging large language models for health literacy and clinical safety with a digital health framework. Front Digit Health. 2025;7:1587672.</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AI-Assisted Medication-Safety Education for Caregivers of Children with Neurodevelopmental Disorders</dc:title>
  <dc:creator>Author</dc:creator>
</cp:coreProperties>
</file>