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Chapter 1. Introduction to AI-Driven Pharmacology and Biomedical Engineering</w:t>
      </w:r>
    </w:p>
    <w:p>
      <w:pPr>
        <w:pStyle w:val="Heading1"/>
      </w:pPr>
      <w:r>
        <w:t xml:space="preserve">Abstract</w:t>
      </w:r>
    </w:p>
    <w:p>
      <w:pPr>
        <w:pStyle w:val="Normal"/>
      </w:pPr>
      <w:r>
        <w:t xml:space="preserve">The twenty-first century is witnessing an unprecedented convergence of the life sciences, engineering disciplines, and computational intelligence. Pharmacology, once dominated by serendipitous discovery and painstaking bench experimentation, and biomedical engineering, historically rooted in device fabrication and physiological measurement, are being reshaped by the maturation of artificial intelligence. This chapter introduces the intellectual and technological foundations of AI-driven pharmacology and biomedical engineering, tracing the parallel evolution of these fields and the algorithmic advances that now bind them together. We examine how machine learning, deep neural networks, and generative models have moved from peripheral analytical tools to central instruments of hypothesis generation, molecular design, diagnostic reasoning, and therapeutic decision-making. The chapter frames the convergence of pharmacology, engineering, and computational sciences as a genuinely transdisciplinary enterprise in which data, models, and biological systems form tightly coupled feedback loops. It situates this convergence within the broader landscape of precision medicine, digital health, and autonomous laboratory systems. Finally, the chapter surveys the opportunities that AI unlocks—accelerated drug discovery, individualized dosing, intelligent implants, and equitable access to expertise—alongside the substantial challenges of data quality, interpretability, regulatory oversight, validation, and ethics. By establishing shared vocabulary and conceptual scaffolding, this introductory chapter prepares the reader for the detailed technical and translational discussions that follow, and argues that the responsible integration of artificial intelligence represents not merely an incremental improvement but a structural transformation of how medicines are discovered and how biomedical systems are engineered.</w:t>
      </w:r>
    </w:p>
    <w:p>
      <w:pPr>
        <w:pStyle w:val="Heading1"/>
      </w:pPr>
      <w:r>
        <w:t xml:space="preserve">1.1 Evolution of Pharmacology, Biomedical Engineering, and Artificial Intelligence</w:t>
      </w:r>
    </w:p>
    <w:p>
      <w:pPr>
        <w:pStyle w:val="Normal"/>
      </w:pPr>
      <w:r>
        <w:t xml:space="preserve">The story of AI-driven pharmacology and biomedical engineering is best understood as the confluence of three long and initially independent intellectual currents. Each field developed its own methods, cultures, and standards of evidence over more than a century, and only in recent decades have their trajectories begun to intersect in ways that fundamentally alter their practice [1]. Understanding this shared history clarifies why the present moment is distinctive and why the integration of computational intelligence is more than a passing enthusiasm.</w:t>
      </w:r>
    </w:p>
    <w:p>
      <w:pPr>
        <w:pStyle w:val="Normal"/>
      </w:pPr>
      <w:r>
        <w:t xml:space="preserve">Before examining each current in turn, it is helpful to consider why the metaphor of convergence, rather than mere collaboration, best captures the present situation. Collaboration implies distinct parties retaining their separate identities while cooperating toward a shared goal. Convergence, by contrast, describes a deeper process in which the participating disciplines are transformed by their interaction, adopting one another's methods, vocabularies, and standards until the distinctions between them blur [1]. The pharmacologist who designs a machine learning model, the engineer who reasons about drug metabolism, and the computer scientist who studies protein structure are all manifestations of this convergence. It is a process that reshapes the identity of each contributing discipline rather than simply juxtaposing them, and appreciating its depth requires understanding where each field began.</w:t>
      </w:r>
    </w:p>
    <w:p>
      <w:pPr>
        <w:pStyle w:val="Normal"/>
      </w:pPr>
      <w:r>
        <w:t xml:space="preserve">Pharmacology emerged as a rigorous scientific discipline in the nineteenth century, when investigators began to isolate active principles from medicinal plants and to characterize their physiological effects with quantitative precision. The purification of morphine from opium, the systematic study of dose-response relationships, and the articulation of receptor theory established pharmacology as the science of how chemical substances interact with living systems [2]. Throughout the twentieth century, the field matured through the golden age of small-molecule drug discovery, during which antibiotics, antihypertensives, and psychotropic agents transformed medicine. Yet the dominant paradigm remained largely empirical: compounds were screened against biological targets, promising candidates advanced through animal and human testing, and mechanisms were often elucidated only after clinical efficacy had been demonstrated [3]. This approach, while extraordinarily productive, was slow, costly, and marked by high attrition rates, with the majority of candidate molecules failing during clinical development.</w:t>
      </w:r>
    </w:p>
    <w:p>
      <w:pPr>
        <w:pStyle w:val="Normal"/>
      </w:pPr>
      <w:r>
        <w:t xml:space="preserve">Biomedical engineering followed a parallel but distinct path. Rooted in the application of engineering principles to medicine and biology, the field coalesced in the mid-twentieth century around the design of devices that could measure, support, or replace physiological function [4]. The development of the electrocardiograph, the cardiac pacemaker, hemodialysis, and diagnostic imaging modalities such as computed tomography and magnetic resonance imaging demonstrated that quantitative engineering could yield transformative clinical tools. Biomedical engineers brought to medicine a systems perspective, treating the human body as an assemblage of measurable, modelable, and in some cases controllable subsystems [5]. As the field expanded to encompass tissue engineering, biomaterials, biomechanics, and rehabilitation technology, it accumulated a rich tradition of mathematical modeling and signal processing that would later prove essential to the assimilation of artificial intelligence.</w:t>
      </w:r>
    </w:p>
    <w:p>
      <w:pPr>
        <w:pStyle w:val="Normal"/>
      </w:pPr>
      <w:r>
        <w:t xml:space="preserve">The maturation of biomedical engineering also entailed a deepening engagement with the quantitative modeling of physiological systems. Control theory, originally developed for aerospace and industrial applications, found fertile ground in the modeling of homeostatic regulation, where the body's mechanisms for maintaining stable internal conditions could be described in the language of feedback loops and set points [5]. Signal processing techniques, refined for telecommunications, were adapted to extract meaningful information from the noisy electrical activity of the heart and brain [4]. This importation of quantitative engineering methods into medicine established a tradition of rigorous mathematical description that would later provide a natural point of entry for machine learning. When statistical learning methods arrived, biomedical engineers were already accustomed to thinking of physiological processes as systems that could be measured, modeled, and controlled, and this disposition eased the assimilation of data-driven approaches into the field.</w:t>
      </w:r>
    </w:p>
    <w:p>
      <w:pPr>
        <w:pStyle w:val="Normal"/>
      </w:pPr>
      <w:r>
        <w:t xml:space="preserve">Artificial intelligence, the third current, has its own layered history. The formal birth of the discipline is often dated to the mid-1950s, when researchers first proposed that human intelligence could be so precisely described that a machine could simulate it [6]. Early optimism gave way to periods of disillusionment, the so-called AI winters, when the limitations of symbolic reasoning and the scarcity of computational resources stalled progress. The resurgence of AI in the twenty-first century rests on three pillars: the availability of massive datasets, dramatic increases in computational power driven by graphics processing units, and algorithmic breakthroughs in machine learning, particularly the deep neural network architectures that now dominate the field [7]. The demonstration that deep learning could achieve superhuman performance on image classification tasks marked a turning point, signaling that data-driven pattern recognition had reached a level of reliability suitable for high-stakes applications [8].</w:t>
      </w:r>
    </w:p>
    <w:p>
      <w:pPr>
        <w:pStyle w:val="Normal"/>
      </w:pPr>
      <w:r>
        <w:t xml:space="preserve">The most recent chapter in the history of artificial intelligence, the rise of transformer architectures and the large language and multimodal models built upon them, has particular relevance for biomedicine. These models, trained on vast corpora spanning text, images, and structured data, exhibit a flexibility and generality that earlier systems lacked, and they can be adapted to new tasks with comparatively little task-specific data [17]. In the biomedical domain, this capability is being harnessed to interpret clinical notes, answer medical questions, summarize the scientific literature, and integrate diverse modalities of patient data within a single reasoning framework [18]. The prospect of generalist medical AI systems, capable of reasoning fluidly across the boundaries that separate molecular biology, clinical medicine, and medical imaging, represents a natural extension of the convergent trajectory and hints at the shape of the field's future. Whether such systems will prove reliable enough for high-stakes clinical use remains an open and actively investigated question, but their emergence marks a significant milestone in the evolution of AI toward the generality that biomedical applications demand.</w:t>
      </w:r>
    </w:p>
    <w:p>
      <w:pPr>
        <w:pStyle w:val="Normal"/>
      </w:pPr>
      <w:r>
        <w:t xml:space="preserve">The intersection of these three currents did not occur abruptly. Early applications of computation in pharmacology included quantitative structure-activity relationship modeling, which sought to correlate molecular descriptors with biological activity using statistical regression [9]. In biomedical engineering, computational methods had long been used for image reconstruction and physiological signal analysis. What changed in the last decade was the qualitative leap in what algorithms could accomplish. Machine learning models became capable of learning representations directly from raw data rather than relying on hand-engineered features, and this capacity opened the door to modeling the extraordinarily complex, high-dimensional relationships that characterize biological systems [10]. Table 1 summarizes the principal historical milestones across the three disciplines and illustrates how their timelines increasingly overlap.</w:t>
      </w:r>
    </w:p>
    <w:p>
      <w:pPr>
        <w:pStyle w:val="TableCaption"/>
      </w:pPr>
      <w:r>
        <w:t xml:space="preserve">Table 1. Selected historical milestones in pharmacology, biomedical engineering, and artificial intelligence.</w:t>
      </w:r>
    </w:p>
    <w:tbl>
      <w:tblPr>
        <w:tblStyle w:val="TableGrid"/>
        <w:tblW w:w="935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7"/>
        <w:gridCol w:w="2337"/>
        <w:gridCol w:w="2337"/>
        <w:gridCol w:w="2337"/>
      </w:tblGrid>
      <w:tr>
        <w:trPr>
          <w:tblHeader/>
        </w:trPr>
        <w:tc>
          <w:tcPr>
            <w:shd w:val="clear" w:color="auto" w:fill="D9E2F3"/>
          </w:tcPr>
          <w:p>
            <w:pPr>
              <w:jc w:val="center"/>
              <w:spacing w:after="40"/>
            </w:pPr>
            <w:r>
              <w:rPr>
                <w:b/>
              </w:rPr>
              <w:t xml:space="preserve">Era</w:t>
            </w:r>
          </w:p>
        </w:tc>
        <w:tc>
          <w:tcPr>
            <w:shd w:val="clear" w:color="auto" w:fill="D9E2F3"/>
          </w:tcPr>
          <w:p>
            <w:pPr>
              <w:jc w:val="center"/>
              <w:spacing w:after="40"/>
            </w:pPr>
            <w:r>
              <w:rPr>
                <w:b/>
              </w:rPr>
              <w:t xml:space="preserve">Pharmacology</w:t>
            </w:r>
          </w:p>
        </w:tc>
        <w:tc>
          <w:tcPr>
            <w:shd w:val="clear" w:color="auto" w:fill="D9E2F3"/>
          </w:tcPr>
          <w:p>
            <w:pPr>
              <w:jc w:val="center"/>
              <w:spacing w:after="40"/>
            </w:pPr>
            <w:r>
              <w:rPr>
                <w:b/>
              </w:rPr>
              <w:t xml:space="preserve">Biomedical Engineering</w:t>
            </w:r>
          </w:p>
        </w:tc>
        <w:tc>
          <w:tcPr>
            <w:shd w:val="clear" w:color="auto" w:fill="D9E2F3"/>
          </w:tcPr>
          <w:p>
            <w:pPr>
              <w:jc w:val="center"/>
              <w:spacing w:after="40"/>
            </w:pPr>
            <w:r>
              <w:rPr>
                <w:b/>
              </w:rPr>
              <w:t xml:space="preserve">Artificial Intelligence</w:t>
            </w:r>
          </w:p>
        </w:tc>
      </w:tr>
      <w:tr>
        <w:tc>
          <w:p>
            <w:pPr>
              <w:spacing w:after="40"/>
            </w:pPr>
            <w:r>
              <w:t xml:space="preserve">1800s</w:t>
            </w:r>
          </w:p>
        </w:tc>
        <w:tc>
          <w:p>
            <w:pPr>
              <w:spacing w:after="40"/>
            </w:pPr>
            <w:r>
              <w:t xml:space="preserve">Isolation of active plant alkaloids</w:t>
            </w:r>
          </w:p>
        </w:tc>
        <w:tc>
          <w:p>
            <w:pPr>
              <w:spacing w:after="40"/>
            </w:pPr>
            <w:r>
              <w:t xml:space="preserve">Early physiological instrumentation</w:t>
            </w:r>
          </w:p>
        </w:tc>
        <w:tc>
          <w:p>
            <w:pPr>
              <w:spacing w:after="40"/>
            </w:pPr>
            <w:r>
              <w:t xml:space="preserve">Foundations of formal logic</w:t>
            </w:r>
          </w:p>
        </w:tc>
      </w:tr>
      <w:tr>
        <w:tc>
          <w:p>
            <w:pPr>
              <w:spacing w:after="40"/>
            </w:pPr>
            <w:r>
              <w:t xml:space="preserve">1900-1950</w:t>
            </w:r>
          </w:p>
        </w:tc>
        <w:tc>
          <w:p>
            <w:pPr>
              <w:spacing w:after="40"/>
            </w:pPr>
            <w:r>
              <w:t xml:space="preserve">Receptor theory; first antibiotics</w:t>
            </w:r>
          </w:p>
        </w:tc>
        <w:tc>
          <w:p>
            <w:pPr>
              <w:spacing w:after="40"/>
            </w:pPr>
            <w:r>
              <w:t xml:space="preserve">Electrocardiography; X-ray imaging</w:t>
            </w:r>
          </w:p>
        </w:tc>
        <w:tc>
          <w:p>
            <w:pPr>
              <w:spacing w:after="40"/>
            </w:pPr>
            <w:r>
              <w:t xml:space="preserve">Theoretical models of computation</w:t>
            </w:r>
          </w:p>
        </w:tc>
      </w:tr>
      <w:tr>
        <w:tc>
          <w:p>
            <w:pPr>
              <w:spacing w:after="40"/>
            </w:pPr>
            <w:r>
              <w:t xml:space="preserve">1950-1980</w:t>
            </w:r>
          </w:p>
        </w:tc>
        <w:tc>
          <w:p>
            <w:pPr>
              <w:spacing w:after="40"/>
            </w:pPr>
            <w:r>
              <w:t xml:space="preserve">Rational target-based screening</w:t>
            </w:r>
          </w:p>
        </w:tc>
        <w:tc>
          <w:p>
            <w:pPr>
              <w:spacing w:after="40"/>
            </w:pPr>
            <w:r>
              <w:t xml:space="preserve">Pacemakers; dialysis; CT imaging</w:t>
            </w:r>
          </w:p>
        </w:tc>
        <w:tc>
          <w:p>
            <w:pPr>
              <w:spacing w:after="40"/>
            </w:pPr>
            <w:r>
              <w:t xml:space="preserve">Birth of AI; symbolic reasoning</w:t>
            </w:r>
          </w:p>
        </w:tc>
      </w:tr>
      <w:tr>
        <w:tc>
          <w:p>
            <w:pPr>
              <w:spacing w:after="40"/>
            </w:pPr>
            <w:r>
              <w:t xml:space="preserve">1980-2010</w:t>
            </w:r>
          </w:p>
        </w:tc>
        <w:tc>
          <w:p>
            <w:pPr>
              <w:spacing w:after="40"/>
            </w:pPr>
            <w:r>
              <w:t xml:space="preserve">QSAR; combinatorial chemistry</w:t>
            </w:r>
          </w:p>
        </w:tc>
        <w:tc>
          <w:p>
            <w:pPr>
              <w:spacing w:after="40"/>
            </w:pPr>
            <w:r>
              <w:t xml:space="preserve">MRI; tissue engineering</w:t>
            </w:r>
          </w:p>
        </w:tc>
        <w:tc>
          <w:p>
            <w:pPr>
              <w:spacing w:after="40"/>
            </w:pPr>
            <w:r>
              <w:t xml:space="preserve">Machine learning; expert systems</w:t>
            </w:r>
          </w:p>
        </w:tc>
      </w:tr>
      <w:tr>
        <w:tc>
          <w:p>
            <w:pPr>
              <w:spacing w:after="40"/>
            </w:pPr>
            <w:r>
              <w:t xml:space="preserve">2010-present</w:t>
            </w:r>
          </w:p>
        </w:tc>
        <w:tc>
          <w:p>
            <w:pPr>
              <w:spacing w:after="40"/>
            </w:pPr>
            <w:r>
              <w:t xml:space="preserve">AI-guided discovery and design</w:t>
            </w:r>
          </w:p>
        </w:tc>
        <w:tc>
          <w:p>
            <w:pPr>
              <w:spacing w:after="40"/>
            </w:pPr>
            <w:r>
              <w:t xml:space="preserve">Intelligent implants; digital twins</w:t>
            </w:r>
          </w:p>
        </w:tc>
        <w:tc>
          <w:p>
            <w:pPr>
              <w:spacing w:after="40"/>
            </w:pPr>
            <w:r>
              <w:t xml:space="preserve">Deep learning; generative models</w:t>
            </w:r>
          </w:p>
        </w:tc>
      </w:tr>
    </w:tbl>
    <w:p>
      <w:pPr>
        <w:pStyle w:val="Normal"/>
      </w:pPr>
      <w:r>
        <w:t xml:space="preserve">As Table 1 makes clear, the acceleration of all three fields in the most recent era is not coincidental. The same computational infrastructure that powered deep learning also enabled the storage and analysis of the enormous biological datasets generated by high-throughput sequencing, proteomics, and electronic health records [11]. Pharmacology gained access to genomic and transcriptomic data that revealed the molecular heterogeneity of disease, while biomedical engineering acquired sensors and imaging systems capable of producing continuous, high-resolution physiological data streams [12]. Artificial intelligence provided the analytical engine capable of extracting actionable insight from this deluge of information.</w:t>
      </w:r>
    </w:p>
    <w:p>
      <w:pPr>
        <w:pStyle w:val="Normal"/>
      </w:pPr>
      <w:r>
        <w:t xml:space="preserve">The economics of the three fields have also shaped their convergence in ways that are easy to overlook but important to acknowledge. The soaring cost of bringing a new drug to market, together with declining productivity in traditional research and development, created powerful commercial incentives to seek more efficient approaches [3]. Pharmaceutical organizations that once regarded computational methods as peripheral began to invest heavily in data science capabilities, recognizing that even modest improvements in the probability of clinical success could translate into enormous savings given the extraordinary expense of late-stage failures [10]. In biomedical engineering, the falling cost of sensors, processors, and manufacturing has made intelligent devices commercially viable at scale, while in artificial intelligence, the availability of open-source frameworks and cloud computing has dramatically lowered the barrier to developing sophisticated models [35]. These economic forces have accelerated convergence by aligning commercial interest with technical possibility, ensuring that the integration of computation into biomedicine is driven not merely by scientific curiosity but by sustained investment.</w:t>
      </w:r>
    </w:p>
    <w:p>
      <w:pPr>
        <w:pStyle w:val="Normal"/>
      </w:pPr>
      <w:r>
        <w:t xml:space="preserve">A defining feature of modern pharmacology is the shift from a one-size-fits-all model of therapeutics toward precision and personalized medicine. The recognition that patients differ in their genetic makeup, metabolism, and disease biology has motivated a search for biomarkers that predict who will respond to a given treatment and who will suffer adverse effects [13]. Pharmacogenomics, the study of how genetic variation influences drug response, exemplifies this trend and depends critically on computational methods to identify meaningful patterns within vast genomic datasets [14]. Machine learning has become indispensable for stratifying patient populations, predicting drug metabolism, and anticipating toxicity before a compound ever reaches human testing.</w:t>
      </w:r>
    </w:p>
    <w:p>
      <w:pPr>
        <w:pStyle w:val="Normal"/>
      </w:pPr>
      <w:r>
        <w:t xml:space="preserve">Biomedical engineering has undergone an equally profound transformation. The classical engineering device—passive, static, and identical for every patient—is giving way to adaptive, intelligent systems that sense their environment and modify their behavior accordingly [15]. Closed-loop insulin delivery systems, responsive neurostimulators for epilepsy, and adaptive prosthetic limbs illustrate a new generation of technologies in which embedded algorithms continuously interpret physiological signals and adjust therapy in real time [16]. These systems blur the boundary between device and decision-maker, embedding a form of localized artificial intelligence directly within the therapeutic apparatus.</w:t>
      </w:r>
    </w:p>
    <w:p>
      <w:pPr>
        <w:pStyle w:val="Normal"/>
      </w:pPr>
      <w:r>
        <w:t xml:space="preserve">The evolution of artificial intelligence itself has been characterized by a movement from narrow, task-specific systems toward increasingly general and flexible models. The advent of large-scale foundation models, trained on enormous and diverse datasets, has demonstrated that a single architecture can be adapted to a remarkable range of downstream tasks [17]. In the biomedical context, this trend manifests as models that can simultaneously reason about molecular structures, biological pathways, clinical text, and medical images. Such models promise to break down the silos that have historically separated different types of biomedical data, enabling a more integrated and holistic understanding of health and disease [18].</w:t>
      </w:r>
    </w:p>
    <w:p>
      <w:pPr>
        <w:pStyle w:val="Normal"/>
      </w:pPr>
      <w:r>
        <w:t xml:space="preserve">The cultural evolution of these disciplines merits attention alongside their technical development, because the assimilation of artificial intelligence has required not only new algorithms but new ways of thinking about evidence and expertise. Pharmacologists trained in the tradition of controlled experimentation initially regarded data-driven predictions with skepticism, wary of correlations unsupported by mechanistic understanding [10]. Biomedical engineers, accustomed to deterministic models grounded in physical law, had to accommodate the probabilistic and often opaque outputs of statistical learning systems [12]. The gradual acceptance of machine learning across these communities reflects a broader epistemological shift in which predictive accuracy, rigorously validated, is increasingly acknowledged as a legitimate form of scientific knowledge even when full mechanistic explanation remains elusive. This shift has been neither uniform nor uncontested, and it continues to shape debates about the proper role of computation in biomedical science.</w:t>
      </w:r>
    </w:p>
    <w:p>
      <w:pPr>
        <w:pStyle w:val="Normal"/>
      </w:pPr>
      <w:r>
        <w:t xml:space="preserve">The trajectory of pharmacology in particular illustrates how a discipline can be reoriented by the availability of new data and tools. The completion of the human genome sequence and the subsequent proliferation of high-throughput molecular profiling technologies transformed pharmacology from a science oriented toward single targets into one that must grapple with the systems-level complexity of biological networks [11]. Diseases once conceived as monolithic entities are now understood as heterogeneous collections of molecular subtypes, each potentially requiring a distinct therapeutic strategy [13]. This reconceptualization would have been impossible without computational methods capable of discerning structure within enormous, high-dimensional datasets, and it exemplifies how the evolution of one discipline is bound to the tools furnished by another. The pharmacologist of today routinely reasons about networks, pathways, and probabilistic predictions in ways that would have been foreign to practitioners only a few decades ago.</w:t>
      </w:r>
    </w:p>
    <w:p>
      <w:pPr>
        <w:pStyle w:val="Normal"/>
      </w:pPr>
      <w:r>
        <w:t xml:space="preserve">Similarly, the evolution of biomedical engineering has been propelled by the miniaturization of electronics and the corresponding explosion of sensing capability. Devices that once occupied entire rooms now fit within the body or are worn unobtrusively on the skin, generating continuous streams of physiological data [15]. This transformation created both an opportunity and a necessity: the opportunity to monitor health with unprecedented granularity, and the necessity of computational methods capable of interpreting the resulting torrents of data. The engineer's traditional preoccupation with the physical design of devices has thus expanded to encompass the design of the algorithms that give those devices their intelligence [16]. In this sense, biomedical engineering has itself become partly a computational discipline, further eroding the boundaries that once separated it from data science.</w:t>
      </w:r>
    </w:p>
    <w:p>
      <w:pPr>
        <w:pStyle w:val="Normal"/>
      </w:pPr>
      <w:r>
        <w:t xml:space="preserve">It is worth emphasizing that the evolution described here is not merely additive but genuinely synergistic. Advances in one field increasingly catalyze advances in the others. Improvements in biomedical sensing generate the data that trains better algorithms; better algorithms enable more sophisticated pharmacological modeling; and pharmacological insights inform the design of more effective engineered systems [19]. This reciprocal reinforcement is the hallmark of a maturing convergent field and distinguishes the current moment from earlier periods in which computation played a merely supportive role. The remainder of this chapter examines that convergence in greater depth and considers both its transformative promise and its considerable challenges.</w:t>
      </w:r>
    </w:p>
    <w:p>
      <w:pPr>
        <w:pStyle w:val="Heading1"/>
      </w:pPr>
      <w:r>
        <w:t xml:space="preserve">1.2 Convergence of Pharmacology, Engineering, and Computational Sciences</w:t>
      </w:r>
    </w:p>
    <w:p>
      <w:pPr>
        <w:pStyle w:val="Normal"/>
      </w:pPr>
      <w:r>
        <w:t xml:space="preserve">The convergence of pharmacology, biomedical engineering, and computational sciences is best conceptualized not as the simple coexistence of three disciplines but as the emergence of an integrated methodology in which the boundaries between them dissolve. In this convergent paradigm, a drug is understood simultaneously as a chemical entity, a component of an engineered delivery system, and a set of parameters within a predictive computational model [20]. This section examines the mechanisms of that convergence, the shared computational substrate that makes it possible, and the new modes of scientific practice it enables.</w:t>
      </w:r>
    </w:p>
    <w:p>
      <w:pPr>
        <w:pStyle w:val="Normal"/>
      </w:pPr>
      <w:r>
        <w:t xml:space="preserve">To appreciate the significance of this convergence, it is useful to contrast it with the mode of interdisciplinary work that preceded it. In earlier decades, collaboration across pharmacology, engineering, and computation typically took the form of a division of labor: the pharmacologist defined the biological problem, the engineer built an apparatus, and the statistician analyzed the resulting data, each working within the confines of their own expertise and handing off products at defined interfaces [37]. The convergent paradigm dissolves these clean handoffs. The computational model is not a downstream analytical afterthought but an active participant in defining the problem and shaping the experiment; the engineered system is not a fixed instrument but an adaptive component that responds to computational guidance; and the biological question is continuously refined in light of what the models reveal [20]. This tight coupling of previously separable activities is the essence of convergence and the source of both its power and its complexity.</w:t>
      </w:r>
    </w:p>
    <w:p>
      <w:pPr>
        <w:pStyle w:val="Normal"/>
      </w:pPr>
      <w:r>
        <w:t xml:space="preserve">At the heart of the convergence lies data. Modern biomedical research generates data of staggering volume, variety, and velocity. Genomic sequencing produces billions of base pairs per patient; high-content screening captures thousands of cellular phenotypes per experiment; wearable sensors stream continuous physiological measurements; and electronic health records accumulate longitudinal clinical narratives [21]. Each of these data types was historically analyzed in isolation by specialists using discipline-specific tools. The computational sciences provide a unifying framework in which heterogeneous data can be represented, integrated, and jointly analyzed. This integrative capacity is what transforms a collection of separate datasets into a coherent, multiscale model of biological function [22].</w:t>
      </w:r>
    </w:p>
    <w:p>
      <w:pPr>
        <w:pStyle w:val="Normal"/>
      </w:pPr>
      <w:r>
        <w:t xml:space="preserve">The integration of heterogeneous data is not merely a technical convenience but a scientific necessity, for biological function emerges from the interaction of components that span multiple levels of organization. A drug's therapeutic effect depends on its chemical structure, its interaction with molecular targets, its distribution through tissues, and the physiological state of the patient, each of which is captured by a different type of data [22]. Analyzing any one of these in isolation yields an incomplete and potentially misleading picture. The computational sciences enable the construction of integrated models in which molecular, cellular, physiological, and clinical data are jointly considered, allowing patterns invisible within any single modality to become apparent when the data are viewed together [18]. This capacity for integrative analysis is arguably the single most important contribution that computation brings to the convergent enterprise, for it addresses the fundamental mismatch between the fragmented nature of biomedical data and the deeply interconnected nature of the biological systems that data describe.</w:t>
      </w:r>
    </w:p>
    <w:p>
      <w:pPr>
        <w:pStyle w:val="Normal"/>
      </w:pPr>
      <w:r>
        <w:t xml:space="preserve">Machine learning, and deep learning in particular, supplies the analytical machinery for this integration. A central insight of deep learning is that complex phenomena can be modeled through hierarchical representations, in which successive layers of a neural network capture progressively more abstract features of the data [23]. In pharmacology, this means that a model can learn to represent a molecule not through a fixed set of predefined descriptors but through a learned encoding that captures the chemical features most relevant to a given prediction task. Graph neural networks, which treat molecules as graphs of atoms and bonds, have proven especially powerful for predicting molecular properties, binding affinities, and toxicity [24]. Table 2 catalogs the principal families of computational methods and their characteristic applications across the convergent domains.</w:t>
      </w:r>
    </w:p>
    <w:p>
      <w:pPr>
        <w:pStyle w:val="TableCaption"/>
      </w:pPr>
      <w:r>
        <w:t xml:space="preserve">Table 2. Computational method families and their applications in convergent biomedicine.</w:t>
      </w:r>
    </w:p>
    <w:tbl>
      <w:tblPr>
        <w:tblStyle w:val="TableGrid"/>
        <w:tblW w:w="935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7"/>
        <w:gridCol w:w="2337"/>
        <w:gridCol w:w="2337"/>
        <w:gridCol w:w="2337"/>
      </w:tblGrid>
      <w:tr>
        <w:trPr>
          <w:tblHeader/>
        </w:trPr>
        <w:tc>
          <w:tcPr>
            <w:shd w:val="clear" w:color="auto" w:fill="D9E2F3"/>
          </w:tcPr>
          <w:p>
            <w:pPr>
              <w:jc w:val="center"/>
              <w:spacing w:after="40"/>
            </w:pPr>
            <w:r>
              <w:rPr>
                <w:b/>
              </w:rPr>
              <w:t xml:space="preserve">Method Family</w:t>
            </w:r>
          </w:p>
        </w:tc>
        <w:tc>
          <w:tcPr>
            <w:shd w:val="clear" w:color="auto" w:fill="D9E2F3"/>
          </w:tcPr>
          <w:p>
            <w:pPr>
              <w:jc w:val="center"/>
              <w:spacing w:after="40"/>
            </w:pPr>
            <w:r>
              <w:rPr>
                <w:b/>
              </w:rPr>
              <w:t xml:space="preserve">Representative Techniques</w:t>
            </w:r>
          </w:p>
        </w:tc>
        <w:tc>
          <w:tcPr>
            <w:shd w:val="clear" w:color="auto" w:fill="D9E2F3"/>
          </w:tcPr>
          <w:p>
            <w:pPr>
              <w:jc w:val="center"/>
              <w:spacing w:after="40"/>
            </w:pPr>
            <w:r>
              <w:rPr>
                <w:b/>
              </w:rPr>
              <w:t xml:space="preserve">Primary Applications</w:t>
            </w:r>
          </w:p>
        </w:tc>
        <w:tc>
          <w:tcPr>
            <w:shd w:val="clear" w:color="auto" w:fill="D9E2F3"/>
          </w:tcPr>
          <w:p>
            <w:pPr>
              <w:jc w:val="center"/>
              <w:spacing w:after="40"/>
            </w:pPr>
            <w:r>
              <w:rPr>
                <w:b/>
              </w:rPr>
              <w:t xml:space="preserve">Key Strengths</w:t>
            </w:r>
          </w:p>
        </w:tc>
      </w:tr>
      <w:tr>
        <w:tc>
          <w:p>
            <w:pPr>
              <w:spacing w:after="40"/>
            </w:pPr>
            <w:r>
              <w:t xml:space="preserve">Supervised learning</w:t>
            </w:r>
          </w:p>
        </w:tc>
        <w:tc>
          <w:p>
            <w:pPr>
              <w:spacing w:after="40"/>
            </w:pPr>
            <w:r>
              <w:t xml:space="preserve">Random forests, gradient boosting</w:t>
            </w:r>
          </w:p>
        </w:tc>
        <w:tc>
          <w:p>
            <w:pPr>
              <w:spacing w:after="40"/>
            </w:pPr>
            <w:r>
              <w:t xml:space="preserve">Property and toxicity prediction</w:t>
            </w:r>
          </w:p>
        </w:tc>
        <w:tc>
          <w:p>
            <w:pPr>
              <w:spacing w:after="40"/>
            </w:pPr>
            <w:r>
              <w:t xml:space="preserve">Interpretable; robust with tabular data</w:t>
            </w:r>
          </w:p>
        </w:tc>
      </w:tr>
      <w:tr>
        <w:tc>
          <w:p>
            <w:pPr>
              <w:spacing w:after="40"/>
            </w:pPr>
            <w:r>
              <w:t xml:space="preserve">Deep neural networks</w:t>
            </w:r>
          </w:p>
        </w:tc>
        <w:tc>
          <w:p>
            <w:pPr>
              <w:spacing w:after="40"/>
            </w:pPr>
            <w:r>
              <w:t xml:space="preserve">CNNs, RNNs, transformers</w:t>
            </w:r>
          </w:p>
        </w:tc>
        <w:tc>
          <w:p>
            <w:pPr>
              <w:spacing w:after="40"/>
            </w:pPr>
            <w:r>
              <w:t xml:space="preserve">Imaging, sequence, and signal analysis</w:t>
            </w:r>
          </w:p>
        </w:tc>
        <w:tc>
          <w:p>
            <w:pPr>
              <w:spacing w:after="40"/>
            </w:pPr>
            <w:r>
              <w:t xml:space="preserve">Learns features from raw data</w:t>
            </w:r>
          </w:p>
        </w:tc>
      </w:tr>
      <w:tr>
        <w:tc>
          <w:p>
            <w:pPr>
              <w:spacing w:after="40"/>
            </w:pPr>
            <w:r>
              <w:t xml:space="preserve">Graph learning</w:t>
            </w:r>
          </w:p>
        </w:tc>
        <w:tc>
          <w:p>
            <w:pPr>
              <w:spacing w:after="40"/>
            </w:pPr>
            <w:r>
              <w:t xml:space="preserve">Graph neural networks</w:t>
            </w:r>
          </w:p>
        </w:tc>
        <w:tc>
          <w:p>
            <w:pPr>
              <w:spacing w:after="40"/>
            </w:pPr>
            <w:r>
              <w:t xml:space="preserve">Molecular and interaction modeling</w:t>
            </w:r>
          </w:p>
        </w:tc>
        <w:tc>
          <w:p>
            <w:pPr>
              <w:spacing w:after="40"/>
            </w:pPr>
            <w:r>
              <w:t xml:space="preserve">Naturally represents structure</w:t>
            </w:r>
          </w:p>
        </w:tc>
      </w:tr>
      <w:tr>
        <w:tc>
          <w:p>
            <w:pPr>
              <w:spacing w:after="40"/>
            </w:pPr>
            <w:r>
              <w:t xml:space="preserve">Generative models</w:t>
            </w:r>
          </w:p>
        </w:tc>
        <w:tc>
          <w:p>
            <w:pPr>
              <w:spacing w:after="40"/>
            </w:pPr>
            <w:r>
              <w:t xml:space="preserve">GANs, diffusion, VAEs</w:t>
            </w:r>
          </w:p>
        </w:tc>
        <w:tc>
          <w:p>
            <w:pPr>
              <w:spacing w:after="40"/>
            </w:pPr>
            <w:r>
              <w:t xml:space="preserve">De novo molecular design</w:t>
            </w:r>
          </w:p>
        </w:tc>
        <w:tc>
          <w:p>
            <w:pPr>
              <w:spacing w:after="40"/>
            </w:pPr>
            <w:r>
              <w:t xml:space="preserve">Explores vast chemical space</w:t>
            </w:r>
          </w:p>
        </w:tc>
      </w:tr>
      <w:tr>
        <w:tc>
          <w:p>
            <w:pPr>
              <w:spacing w:after="40"/>
            </w:pPr>
            <w:r>
              <w:t xml:space="preserve">Reinforcement learning</w:t>
            </w:r>
          </w:p>
        </w:tc>
        <w:tc>
          <w:p>
            <w:pPr>
              <w:spacing w:after="40"/>
            </w:pPr>
            <w:r>
              <w:t xml:space="preserve">Policy gradient, Q-learning</w:t>
            </w:r>
          </w:p>
        </w:tc>
        <w:tc>
          <w:p>
            <w:pPr>
              <w:spacing w:after="40"/>
            </w:pPr>
            <w:r>
              <w:t xml:space="preserve">Adaptive dosing and control</w:t>
            </w:r>
          </w:p>
        </w:tc>
        <w:tc>
          <w:p>
            <w:pPr>
              <w:spacing w:after="40"/>
            </w:pPr>
            <w:r>
              <w:t xml:space="preserve">Optimizes sequential decisions</w:t>
            </w:r>
          </w:p>
        </w:tc>
      </w:tr>
    </w:tbl>
    <w:p>
      <w:pPr>
        <w:pStyle w:val="Normal"/>
      </w:pPr>
      <w:r>
        <w:t xml:space="preserve">The methods summarized in Table 2 are rarely deployed in isolation. A typical convergent workflow chains several of them together: a generative model proposes novel molecular structures, a graph neural network predicts their properties, a reinforcement learning agent guides the exploration of chemical space toward desirable regions, and supervised models filter candidates for synthesizability and safety [25]. This orchestration of complementary algorithms represents a qualitatively new mode of scientific inquiry in which the computer participates actively in hypothesis generation rather than serving merely as a tool for data analysis. Figure 1 depicts this integrated discovery and design pipeline, illustrating how the disciplines interlock at each stage.</w:t>
      </w:r>
    </w:p>
    <w:p>
      <w:pPr>
        <w:jc w:val="center"/>
        <w:spacing w:before="200" w:after="60"/>
      </w:pPr>
      <w:r>
        <w:drawing>
          <wp:inline xmlns:wp="http://schemas.openxmlformats.org/drawingml/2006/wordprocessingDrawing" distT="0" distB="0" distL="0" distR="0">
            <wp:extent cx="5486400" cy="3392905"/>
            <wp:effectExtent l="0" t="0" r="0" b="0"/>
            <wp:docPr id="58399" name="Figure_1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9" name="Figure_1_Pipeline.png"/>
                    <pic:cNvPicPr/>
                  </pic:nvPicPr>
                  <pic:blipFill>
                    <a:blip r:embed="rId2"/>
                    <a:stretch>
                      <a:fillRect/>
                    </a:stretch>
                  </pic:blipFill>
                  <pic:spPr>
                    <a:xfrm>
                      <a:off x="0" y="0"/>
                      <a:ext cx="5486400" cy="3392905"/>
                    </a:xfrm>
                    <a:prstGeom prst="rect">
                      <a:avLst/>
                    </a:prstGeom>
                  </pic:spPr>
                </pic:pic>
              </a:graphicData>
            </a:graphic>
          </wp:inline>
        </w:drawing>
      </w:r>
    </w:p>
    <w:p>
      <w:pPr>
        <w:pStyle w:val="FigureCaption"/>
      </w:pPr>
      <w:r>
        <w:t xml:space="preserve">Figure 1. Integrated AI-driven pipeline linking pharmacological discovery, engineering design, and computational modeling.</w:t>
      </w:r>
    </w:p>
    <w:p>
      <w:pPr>
        <w:pStyle w:val="Normal"/>
      </w:pPr>
      <w:r>
        <w:t xml:space="preserve">The integrated pipeline shown in Figure 1 also underscores a crucial methodological point: the value of the convergent approach lies not in any single algorithm but in the coordination of many, each compensating for the limitations of the others. A generative model unconstrained by property prediction will propose molecules that are novel but useless; a property predictor without a generative front end can only evaluate what already exists; and neither is of practical value without a synthesizability filter grounded in chemical reality [25]. The orchestration of these components into a coherent workflow is itself an engineering achievement, requiring careful attention to how information flows between modules and how uncertainty propagates through the pipeline. This systems-level design sensibility, native to biomedical engineering, has proven essential to translating computational advances into practical discovery tools.</w:t>
      </w:r>
    </w:p>
    <w:p>
      <w:pPr>
        <w:pStyle w:val="Normal"/>
      </w:pPr>
      <w:r>
        <w:t xml:space="preserve">Generative artificial intelligence deserves particular attention because it embodies the shift from analysis to creation. Rather than simply classifying or predicting, generative models learn the underlying distribution of a dataset and can sample from it to produce novel instances [26]. In drug discovery, generative models can design molecules with specified properties, effectively inverting the traditional workflow: instead of screening existing compounds, the model proposes new ones tailored to a therapeutic objective [27]. Diffusion models, which have revolutionized image synthesis, are increasingly applied to the generation of three-dimensional molecular structures and protein conformations, opening pathways to the design of entirely novel therapeutic modalities [28]. The same generative capacity is being applied in biomedical engineering to design biomaterials, optimize scaffold geometries for tissue engineering, and configure the parameters of implantable devices [29].</w:t>
      </w:r>
    </w:p>
    <w:p>
      <w:pPr>
        <w:pStyle w:val="Normal"/>
      </w:pPr>
      <w:r>
        <w:t xml:space="preserve">Reinforcement learning, the final method family in Table 2, occupies a distinctive place in the convergent toolkit because it addresses problems of sequential decision-making under uncertainty. Whereas supervised learning maps inputs to outputs and generative models synthesize new instances, reinforcement learning learns policies that specify which actions to take in order to maximize a cumulative reward over time [16]. This paradigm maps naturally onto a range of biomedical problems, from the adaptive titration of drug doses in response to a patient's evolving physiology to the navigation of chemical space in search of optimal molecular structures. An agent controlling an artificial pancreas, for example, must decide how much insulin to deliver at each moment based on continuous glucose measurements, balancing the competing risks of hyperglycemia and hypoglycemia [16]. The formalism of reinforcement learning provides a principled framework for such problems, though its application in safety-critical medical settings demands careful attention to the consequences of exploratory actions, since an agent learning through trial and error cannot be permitted to endanger a patient in the course of discovering an optimal policy.</w:t>
      </w:r>
    </w:p>
    <w:p>
      <w:pPr>
        <w:pStyle w:val="Normal"/>
      </w:pPr>
      <w:r>
        <w:t xml:space="preserve">Perhaps the most striking manifestation of convergence in recent years has been the application of deep learning to the protein folding problem. For decades, predicting the three-dimensional structure of a protein from its amino acid sequence stood as one of biology's grand challenges. The demonstration that a deep learning system could predict protein structures with near-experimental accuracy transformed structural biology overnight and has profound implications for pharmacology [30]. Accurate structural predictions enable structure-based drug design at a scale previously unimaginable, allowing researchers to model how candidate molecules interact with their targets before any laboratory synthesis occurs [31]. This achievement exemplifies how a computational advance can ripple across the entire convergent enterprise, reshaping the practice of both pharmacology and engineering.</w:t>
      </w:r>
    </w:p>
    <w:p>
      <w:pPr>
        <w:pStyle w:val="Normal"/>
      </w:pPr>
      <w:r>
        <w:t xml:space="preserve">The success of deep learning in structural biology also illustrates a recurring pattern in the convergent enterprise: a breakthrough in one narrowly defined problem cascades outward to enable progress on many others. Accurate structure prediction not only accelerates structure-based drug design but also improves the annotation of protein function, informs the engineering of novel enzymes, and enhances the interpretation of genetic variants of unknown significance [31]. A single computational advance thus propagates through the network of interconnected problems that constitute modern biomedicine, amplifying its impact far beyond its original domain. This property of computational advances—their capacity to generalize and cascade—is a distinctive feature of the convergent era and helps explain why progress, once slow and incremental, can now appear to accelerate in sudden and dramatic bursts [28].</w:t>
      </w:r>
    </w:p>
    <w:p>
      <w:pPr>
        <w:pStyle w:val="Normal"/>
      </w:pPr>
      <w:r>
        <w:t xml:space="preserve">The concept of the digital twin illustrates convergence from the engineering side. A digital twin is a dynamic computational replica of a physical system that is continuously updated with real-world data [32]. In biomedicine, digital twins of organs, physiological systems, or even entire patients are being developed to simulate disease progression, predict therapeutic responses, and personalize treatment. A cardiac digital twin, for example, can integrate a patient's imaging data, electrophysiological measurements, and genetic information to simulate the effect of a candidate drug or device before it is applied [33]. The digital twin embodies the convergent ideal: it is simultaneously a pharmacological model, an engineering simulation, and a computational construct, indistinguishable from any single disciplinary lens.</w:t>
      </w:r>
    </w:p>
    <w:p>
      <w:pPr>
        <w:pStyle w:val="Normal"/>
      </w:pPr>
      <w:r>
        <w:t xml:space="preserve">The application of generative and predictive methods to biomaterials and device design illustrates how convergence operates on the engineering side of the enterprise. In tissue engineering, the geometry of a scaffold profoundly influences how cells attach, proliferate, and organize into functional tissue, yet the space of possible geometries is vast and the relationship between structure and biological outcome is complex [29]. Machine learning models can learn this relationship from experimental data and generative algorithms can then propose scaffold designs optimized for a desired tissue response, inverting the traditional trial-and-error approach to biomaterial development. Similarly, the design of drug-delivery nanoparticles involves navigating trade-offs among size, surface chemistry, drug-loading capacity, and release kinetics, a multidimensional optimization problem well suited to computational methods [36]. In each case, the engineering objective is defined pharmacologically, the design is realized through materials engineering, and the optimization is performed computationally, exemplifying the seamless integration that characterizes convergent practice.</w:t>
      </w:r>
    </w:p>
    <w:p>
      <w:pPr>
        <w:pStyle w:val="Normal"/>
      </w:pPr>
      <w:r>
        <w:t xml:space="preserve">The infrastructure enabling this convergence extends beyond algorithms to encompass data standards, computational platforms, and collaborative practices. The adoption of findable, accessible, interoperable, and reusable data principles has been essential for enabling the integration of datasets across institutions and disciplines [34]. Cloud computing platforms provide the scalable resources needed to train large models and to share them across research communities. Open-source software libraries have democratized access to sophisticated algorithms, allowing pharmacologists and biomedical engineers without deep computational training to apply state-of-the-art methods [35]. Table 3 outlines representative convergent application areas and the specific ways in which the three disciplines contribute to each.</w:t>
      </w:r>
    </w:p>
    <w:p>
      <w:pPr>
        <w:pStyle w:val="TableCaption"/>
      </w:pPr>
      <w:r>
        <w:t xml:space="preserve">Table 3. Convergent application areas and disciplinary contributions.</w:t>
      </w:r>
    </w:p>
    <w:tbl>
      <w:tblPr>
        <w:tblStyle w:val="TableGrid"/>
        <w:tblW w:w="935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7"/>
        <w:gridCol w:w="2337"/>
        <w:gridCol w:w="2337"/>
        <w:gridCol w:w="2337"/>
      </w:tblGrid>
      <w:tr>
        <w:trPr>
          <w:tblHeader/>
        </w:trPr>
        <w:tc>
          <w:tcPr>
            <w:shd w:val="clear" w:color="auto" w:fill="D9E2F3"/>
          </w:tcPr>
          <w:p>
            <w:pPr>
              <w:jc w:val="center"/>
              <w:spacing w:after="40"/>
            </w:pPr>
            <w:r>
              <w:rPr>
                <w:b/>
              </w:rPr>
              <w:t xml:space="preserve">Application Area</w:t>
            </w:r>
          </w:p>
        </w:tc>
        <w:tc>
          <w:tcPr>
            <w:shd w:val="clear" w:color="auto" w:fill="D9E2F3"/>
          </w:tcPr>
          <w:p>
            <w:pPr>
              <w:jc w:val="center"/>
              <w:spacing w:after="40"/>
            </w:pPr>
            <w:r>
              <w:rPr>
                <w:b/>
              </w:rPr>
              <w:t xml:space="preserve">Pharmacology Contribution</w:t>
            </w:r>
          </w:p>
        </w:tc>
        <w:tc>
          <w:tcPr>
            <w:shd w:val="clear" w:color="auto" w:fill="D9E2F3"/>
          </w:tcPr>
          <w:p>
            <w:pPr>
              <w:jc w:val="center"/>
              <w:spacing w:after="40"/>
            </w:pPr>
            <w:r>
              <w:rPr>
                <w:b/>
              </w:rPr>
              <w:t xml:space="preserve">Engineering Contribution</w:t>
            </w:r>
          </w:p>
        </w:tc>
        <w:tc>
          <w:tcPr>
            <w:shd w:val="clear" w:color="auto" w:fill="D9E2F3"/>
          </w:tcPr>
          <w:p>
            <w:pPr>
              <w:jc w:val="center"/>
              <w:spacing w:after="40"/>
            </w:pPr>
            <w:r>
              <w:rPr>
                <w:b/>
              </w:rPr>
              <w:t xml:space="preserve">Computational Contribution</w:t>
            </w:r>
          </w:p>
        </w:tc>
      </w:tr>
      <w:tr>
        <w:tc>
          <w:p>
            <w:pPr>
              <w:spacing w:after="40"/>
            </w:pPr>
            <w:r>
              <w:t xml:space="preserve">Targeted drug delivery</w:t>
            </w:r>
          </w:p>
        </w:tc>
        <w:tc>
          <w:p>
            <w:pPr>
              <w:spacing w:after="40"/>
            </w:pPr>
            <w:r>
              <w:t xml:space="preserve">Pharmacokinetic modeling</w:t>
            </w:r>
          </w:p>
        </w:tc>
        <w:tc>
          <w:p>
            <w:pPr>
              <w:spacing w:after="40"/>
            </w:pPr>
            <w:r>
              <w:t xml:space="preserve">Nanoparticle carrier design</w:t>
            </w:r>
          </w:p>
        </w:tc>
        <w:tc>
          <w:p>
            <w:pPr>
              <w:spacing w:after="40"/>
            </w:pPr>
            <w:r>
              <w:t xml:space="preserve">Release optimization algorithms</w:t>
            </w:r>
          </w:p>
        </w:tc>
      </w:tr>
      <w:tr>
        <w:tc>
          <w:p>
            <w:pPr>
              <w:spacing w:after="40"/>
            </w:pPr>
            <w:r>
              <w:t xml:space="preserve">Closed-loop therapy</w:t>
            </w:r>
          </w:p>
        </w:tc>
        <w:tc>
          <w:p>
            <w:pPr>
              <w:spacing w:after="40"/>
            </w:pPr>
            <w:r>
              <w:t xml:space="preserve">Dose-response characterization</w:t>
            </w:r>
          </w:p>
        </w:tc>
        <w:tc>
          <w:p>
            <w:pPr>
              <w:spacing w:after="40"/>
            </w:pPr>
            <w:r>
              <w:t xml:space="preserve">Sensor and actuator integration</w:t>
            </w:r>
          </w:p>
        </w:tc>
        <w:tc>
          <w:p>
            <w:pPr>
              <w:spacing w:after="40"/>
            </w:pPr>
            <w:r>
              <w:t xml:space="preserve">Real-time control policies</w:t>
            </w:r>
          </w:p>
        </w:tc>
      </w:tr>
      <w:tr>
        <w:tc>
          <w:p>
            <w:pPr>
              <w:spacing w:after="40"/>
            </w:pPr>
            <w:r>
              <w:t xml:space="preserve">Precision oncology</w:t>
            </w:r>
          </w:p>
        </w:tc>
        <w:tc>
          <w:p>
            <w:pPr>
              <w:spacing w:after="40"/>
            </w:pPr>
            <w:r>
              <w:t xml:space="preserve">Biomarker identification</w:t>
            </w:r>
          </w:p>
        </w:tc>
        <w:tc>
          <w:p>
            <w:pPr>
              <w:spacing w:after="40"/>
            </w:pPr>
            <w:r>
              <w:t xml:space="preserve">Imaging and biopsy platforms</w:t>
            </w:r>
          </w:p>
        </w:tc>
        <w:tc>
          <w:p>
            <w:pPr>
              <w:spacing w:after="40"/>
            </w:pPr>
            <w:r>
              <w:t xml:space="preserve">Predictive stratification models</w:t>
            </w:r>
          </w:p>
        </w:tc>
      </w:tr>
      <w:tr>
        <w:tc>
          <w:p>
            <w:pPr>
              <w:spacing w:after="40"/>
            </w:pPr>
            <w:r>
              <w:t xml:space="preserve">Regenerative medicine</w:t>
            </w:r>
          </w:p>
        </w:tc>
        <w:tc>
          <w:p>
            <w:pPr>
              <w:spacing w:after="40"/>
            </w:pPr>
            <w:r>
              <w:t xml:space="preserve">Growth factor pharmacology</w:t>
            </w:r>
          </w:p>
        </w:tc>
        <w:tc>
          <w:p>
            <w:pPr>
              <w:spacing w:after="40"/>
            </w:pPr>
            <w:r>
              <w:t xml:space="preserve">Scaffold and bioreactor design</w:t>
            </w:r>
          </w:p>
        </w:tc>
        <w:tc>
          <w:p>
            <w:pPr>
              <w:spacing w:after="40"/>
            </w:pPr>
            <w:r>
              <w:t xml:space="preserve">Generative geometry optimization</w:t>
            </w:r>
          </w:p>
        </w:tc>
      </w:tr>
      <w:tr>
        <w:tc>
          <w:p>
            <w:pPr>
              <w:spacing w:after="40"/>
            </w:pPr>
            <w:r>
              <w:t xml:space="preserve">Neuroprosthetics</w:t>
            </w:r>
          </w:p>
        </w:tc>
        <w:tc>
          <w:p>
            <w:pPr>
              <w:spacing w:after="40"/>
            </w:pPr>
            <w:r>
              <w:t xml:space="preserve">Neuropharmacological modulation</w:t>
            </w:r>
          </w:p>
        </w:tc>
        <w:tc>
          <w:p>
            <w:pPr>
              <w:spacing w:after="40"/>
            </w:pPr>
            <w:r>
              <w:t xml:space="preserve">Electrode and interface design</w:t>
            </w:r>
          </w:p>
        </w:tc>
        <w:tc>
          <w:p>
            <w:pPr>
              <w:spacing w:after="40"/>
            </w:pPr>
            <w:r>
              <w:t xml:space="preserve">Neural signal decoding</w:t>
            </w:r>
          </w:p>
        </w:tc>
      </w:tr>
    </w:tbl>
    <w:p>
      <w:pPr>
        <w:pStyle w:val="Normal"/>
      </w:pPr>
      <w:r>
        <w:t xml:space="preserve">As Table 3 demonstrates, no single discipline can realize these applications alone. Targeted drug delivery, for instance, requires pharmacological understanding of how a drug behaves in the body, engineering expertise to design the nanoparticle carriers that transport it, and computational optimization to tune the release kinetics for maximal therapeutic effect [36]. The convergence is thus not merely conceptual but operational, embedded in the day-to-day workflows of research teams that increasingly comprise pharmacologists, engineers, and data scientists working in concert [37].</w:t>
      </w:r>
    </w:p>
    <w:p>
      <w:pPr>
        <w:pStyle w:val="Normal"/>
      </w:pPr>
      <w:r>
        <w:t xml:space="preserve">An important dimension of convergence is the emergence of autonomous experimentation, sometimes described as the self-driving laboratory. In these systems, artificial intelligence not only analyzes data and proposes hypotheses but also directs robotic platforms to execute experiments, observe the results, and iterate without human intervention [38]. Such closed-loop systems dramatically accelerate the pace of discovery by removing the bottleneck of manual experimentation and by enabling the systematic exploration of experimental parameter spaces that would be infeasible for human researchers [39]. The self-driving laboratory represents the culmination of convergence, integrating computational reasoning, engineered automation, and pharmacological or materials-science objectives into a unified, autonomous scientific agent. Figure 2 presents the architecture of such a closed-loop autonomous system, highlighting the flow of information among its computational, robotic, and analytical components.</w:t>
      </w:r>
    </w:p>
    <w:p>
      <w:pPr>
        <w:jc w:val="center"/>
        <w:spacing w:before="200" w:after="60"/>
      </w:pPr>
      <w:r>
        <w:drawing>
          <wp:inline xmlns:wp="http://schemas.openxmlformats.org/drawingml/2006/wordprocessingDrawing" distT="0" distB="0" distL="0" distR="0">
            <wp:extent cx="5486400" cy="3392905"/>
            <wp:effectExtent l="0" t="0" r="0" b="0"/>
            <wp:docPr id="95218" name="Figure_2_Autonomous_L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8" name="Figure_2_Autonomous_Lab.png"/>
                    <pic:cNvPicPr/>
                  </pic:nvPicPr>
                  <pic:blipFill>
                    <a:blip r:embed="rId3"/>
                    <a:stretch>
                      <a:fillRect/>
                    </a:stretch>
                  </pic:blipFill>
                  <pic:spPr>
                    <a:xfrm>
                      <a:off x="0" y="0"/>
                      <a:ext cx="5486400" cy="3392905"/>
                    </a:xfrm>
                    <a:prstGeom prst="rect">
                      <a:avLst/>
                    </a:prstGeom>
                  </pic:spPr>
                </pic:pic>
              </a:graphicData>
            </a:graphic>
          </wp:inline>
        </w:drawing>
      </w:r>
    </w:p>
    <w:p>
      <w:pPr>
        <w:pStyle w:val="FigureCaption"/>
      </w:pPr>
      <w:r>
        <w:t xml:space="preserve">Figure 2. Architecture of a closed-loop autonomous laboratory integrating AI reasoning, robotic execution, and analytical feedback.</w:t>
      </w:r>
    </w:p>
    <w:p>
      <w:pPr>
        <w:pStyle w:val="Normal"/>
      </w:pPr>
      <w:r>
        <w:t xml:space="preserve">The closed-loop architecture depicted in Figure 2 represents more than an incremental gain in laboratory efficiency; it signals a reconfiguration of the scientific method itself. In the conventional research cycle, a human investigator formulates a hypothesis, designs an experiment, interprets the results, and decides what to do next, with each step gated by the pace of human cognition and manual labor. In the autonomous laboratory, these steps are compressed into a rapid computational loop in which the machine proposes, executes, observes, and revises, potentially conducting thousands of experiments in the time a human team might complete a handful [38]. The role of the human investigator shifts from performing each experiment to specifying objectives, defining constraints, and exercising oversight over a system that operates with considerable autonomy. This reallocation of cognitive labor between human and machine is among the most consequential developments of the convergent era, and its implications for scientific training, productivity, and creativity are only beginning to be understood [39].</w:t>
      </w:r>
    </w:p>
    <w:p>
      <w:pPr>
        <w:pStyle w:val="Normal"/>
      </w:pPr>
      <w:r>
        <w:t xml:space="preserve">A further dimension of convergence concerns the multiscale nature of biological systems and the corresponding need for models that span scales. Biological phenomena unfold across an enormous range of spatial and temporal scales, from the femtosecond dynamics of molecular interactions to the years-long progression of chronic disease, and from the angstrom dimensions of a binding site to the meter-scale organization of the human body [22]. No single modeling approach can capture this full range, and the convergent enterprise therefore depends on the coupling of models operating at different scales. Molecular simulations inform pharmacokinetic models; pharmacokinetic models feed into physiological simulations; and physiological simulations connect to population-level epidemiological analyses [33]. Machine learning increasingly serves as the connective tissue among these scales, learning surrogate models that approximate expensive simulations and enabling information to flow efficiently from the molecular to the systemic level. This multiscale integration represents one of the most technically demanding and intellectually ambitious aspects of the convergent program.</w:t>
      </w:r>
    </w:p>
    <w:p>
      <w:pPr>
        <w:pStyle w:val="Normal"/>
      </w:pPr>
      <w:r>
        <w:t xml:space="preserve">The convergence described in this section carries profound implications for how scientific knowledge is produced and validated. When a computational model proposes a molecule, an engineered system synthesizes it, and an automated assay tests it, the traditional roles of hypothesis, experiment, and analysis become deeply intertwined [40]. This raises important questions about reproducibility, interpretability, and the appropriate division of labor between human and machine judgment—questions that the next section addresses in the context of the broader opportunities and challenges of AI-enabled healthcare.</w:t>
      </w:r>
    </w:p>
    <w:p>
      <w:pPr>
        <w:pStyle w:val="Heading1"/>
      </w:pPr>
      <w:r>
        <w:t xml:space="preserve">1.3 Opportunities and Challenges of AI-Enabled Healthcare</w:t>
      </w:r>
    </w:p>
    <w:p>
      <w:pPr>
        <w:pStyle w:val="Normal"/>
      </w:pPr>
      <w:r>
        <w:t xml:space="preserve">The convergence of pharmacology, biomedical engineering, and computational sciences promises to reshape healthcare in ways that were scarcely imaginable a generation ago. Yet the same forces that generate these opportunities also introduce substantial challenges. A balanced appraisal of AI-enabled healthcare must weigh its transformative potential against the technical, ethical, and societal obstacles that stand between promise and practice [41]. This section surveys both, providing a framework for the critical evaluation that should accompany every application of artificial intelligence in the biomedical domain.</w:t>
      </w:r>
    </w:p>
    <w:p>
      <w:pPr>
        <w:pStyle w:val="Normal"/>
      </w:pPr>
      <w:r>
        <w:t xml:space="preserve">It is helpful to frame the discussion by recognizing that opportunities and challenges in AI-enabled healthcare are frequently two faces of the same underlying characteristic. The capacity of machine learning to detect subtle patterns in vast datasets is precisely what enables both remarkable diagnostic accuracy and the insidious propagation of hidden biases [44]. The adaptability that allows an AI system to personalize therapy is the same property that complicates its regulation and validation [42]. The automation that accelerates discovery is what raises questions about accountability and the appropriate role of human judgment [40]. Recognizing this duality guards against the twin errors of naive techno-optimism and unreflective rejection, and it underscores that the responsible development of AI-enabled healthcare consists largely in cultivating the benefits of these powerful capabilities while containing their attendant risks.</w:t>
      </w:r>
    </w:p>
    <w:p>
      <w:pPr>
        <w:pStyle w:val="Normal"/>
      </w:pPr>
      <w:r>
        <w:t xml:space="preserve">The opportunities begin with the acceleration of drug discovery and development. The traditional pipeline from target identification to approved therapy typically spans well over a decade and consumes billions of dollars, with the majority of candidates failing along the way. Artificial intelligence offers the prospect of compressing this timeline dramatically by improving the quality of candidates entering the pipeline and by identifying likely failures earlier [42]. Predictive models can flag toxicity and poor pharmacokinetic properties before costly synthesis and testing, while generative models can propose optimized structures that satisfy multiple objectives simultaneously. Early evidence suggests that AI-guided discovery programs can reach clinical candidate nomination substantially faster than conventional approaches, though the ultimate clinical success of these candidates remains to be fully demonstrated [43].</w:t>
      </w:r>
    </w:p>
    <w:p>
      <w:pPr>
        <w:pStyle w:val="Normal"/>
      </w:pPr>
      <w:r>
        <w:t xml:space="preserve">The acceleration of discovery extends beyond small-molecule drugs to encompass biologics, vaccines, and novel therapeutic modalities. During public health emergencies, the speed at which candidate therapies can be identified and optimized carries direct consequences for human lives, and computational methods that shorten this timeline have correspondingly high value [30]. AI systems can rapidly screen existing approved drugs for repurposing against emerging threats, design candidate vaccine components, and predict which molecular variants of a pathogen are likely to escape existing treatments [31]. The capacity to compress discovery timelines from years to months, while maintaining scientific rigor, represents a transformation whose importance became especially evident during recent global health crises and which continues to motivate substantial investment in computational discovery platforms.</w:t>
      </w:r>
    </w:p>
    <w:p>
      <w:pPr>
        <w:pStyle w:val="Normal"/>
      </w:pPr>
      <w:r>
        <w:t xml:space="preserve">A second major opportunity lies in the personalization of therapy. By integrating a patient's genomic profile, physiological measurements, and clinical history, AI systems can tailor treatment decisions to the individual rather than the population average [44]. This personalization extends from selecting the most appropriate drug and dose to configuring the parameters of an implanted device for a specific patient's physiology. In oncology, for example, machine learning models trained on tumor genomic data can help predict which patients will respond to particular targeted therapies, sparing others from ineffective and toxic treatments [45]. The vision of precision medicine, long articulated but slow to materialize, becomes tractable when AI can synthesize the multidimensional data required to match each patient with the optimal intervention. Figure 3 illustrates the personalized, closed-loop treatment cycle enabled by the integration of patient data, predictive models, and adaptive therapeutic systems.</w:t>
      </w:r>
    </w:p>
    <w:p>
      <w:pPr>
        <w:jc w:val="center"/>
        <w:spacing w:before="200" w:after="60"/>
      </w:pPr>
      <w:r>
        <w:drawing>
          <wp:inline xmlns:wp="http://schemas.openxmlformats.org/drawingml/2006/wordprocessingDrawing" distT="0" distB="0" distL="0" distR="0">
            <wp:extent cx="5486400" cy="3392905"/>
            <wp:effectExtent l="0" t="0" r="0" b="0"/>
            <wp:docPr id="30314" name="Figure_3_Treatment_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4" name="Figure_3_Treatment_Cycle.png"/>
                    <pic:cNvPicPr/>
                  </pic:nvPicPr>
                  <pic:blipFill>
                    <a:blip r:embed="rId4"/>
                    <a:stretch>
                      <a:fillRect/>
                    </a:stretch>
                  </pic:blipFill>
                  <pic:spPr>
                    <a:xfrm>
                      <a:off x="0" y="0"/>
                      <a:ext cx="5486400" cy="3392905"/>
                    </a:xfrm>
                    <a:prstGeom prst="rect">
                      <a:avLst/>
                    </a:prstGeom>
                  </pic:spPr>
                </pic:pic>
              </a:graphicData>
            </a:graphic>
          </wp:inline>
        </w:drawing>
      </w:r>
    </w:p>
    <w:p>
      <w:pPr>
        <w:pStyle w:val="FigureCaption"/>
      </w:pPr>
      <w:r>
        <w:t xml:space="preserve">Figure 3. Personalized closed-loop treatment cycle integrating multi-modal patient data with predictive modeling and adaptive therapy.</w:t>
      </w:r>
    </w:p>
    <w:p>
      <w:pPr>
        <w:pStyle w:val="Normal"/>
      </w:pPr>
      <w:r>
        <w:t xml:space="preserve">The closed-loop treatment cycle in Figure 3 also captures an important qualitative change in the nature of therapy itself. Traditional treatment is episodic: a clinician makes a decision at a point in time, the patient receives an intervention, and outcomes are assessed at subsequent visits. The AI-enabled paradigm envisions therapy as a continuous process in which physiological signals are monitored, models update their assessment of the patient's state, and interventions are adjusted dynamically [16]. This continuous, adaptive mode of care is already realized in closed-loop glucose control systems and is being extended to other domains, from adaptive neurostimulation to responsive drug infusion [44]. The result is a form of therapy that is not merely personalized at the outset but continuously individualized in response to the patient's evolving condition, a capability that would be impossible without the integration of sensing, modeling, and actuation that AI makes feasible.</w:t>
      </w:r>
    </w:p>
    <w:p>
      <w:pPr>
        <w:pStyle w:val="Normal"/>
      </w:pPr>
      <w:r>
        <w:t xml:space="preserve">A third opportunity concerns the democratization of expertise. Diagnostic and therapeutic knowledge that once resided exclusively with specialists concentrated in well-resourced medical centers can, in principle, be encoded in AI systems and deployed anywhere [46]. Deep learning models that interpret medical images with expert-level accuracy could bring diagnostic capability to regions lacking trained radiologists or pathologists. Intelligent decision-support systems could extend the reach of specialist knowledge to primary care and remote settings, helping to address the profound global inequities in access to healthcare [47]. This potential for expanding access represents one of the most socially significant promises of AI-enabled healthcare, though realizing it equitably requires deliberate attention to the contexts in which these systems are deployed.</w:t>
      </w:r>
    </w:p>
    <w:p>
      <w:pPr>
        <w:pStyle w:val="Normal"/>
      </w:pPr>
      <w:r>
        <w:t xml:space="preserve">A fourth opportunity, less frequently emphasized but of growing importance, concerns the acceleration of scientific understanding itself. Beyond designing specific drugs or devices, AI systems can help researchers discern the underlying principles that govern biological systems, generating hypotheses that human investigators might never have conceived [19]. By identifying unexpected relationships within complex datasets, machine learning can point toward novel disease mechanisms, previously unrecognized drug targets, and surprising connections between seemingly unrelated conditions [22]. This hypothesis-generating capacity complements the hypothesis-testing tradition of experimental science, and when the two are combined within closed-loop autonomous systems, the pace at which scientific knowledge accumulates may increase substantially. The prospect of AI not merely as a tool for executing predefined analyses but as a genuine partner in scientific discovery is among the most intellectually exciting possibilities that the convergent era opens, even as it raises profound questions about the nature of understanding and the respective contributions of human and machine intelligence.</w:t>
      </w:r>
    </w:p>
    <w:p>
      <w:pPr>
        <w:pStyle w:val="Normal"/>
      </w:pPr>
      <w:r>
        <w:t xml:space="preserve">Despite these opportunities, formidable challenges must be confronted. The first and most fundamental concerns data. Machine learning models are only as good as the data on which they are trained, and biomedical data are frequently incomplete, noisy, biased, and fragmented across incompatible systems [21]. Models trained on data from a particular population may perform poorly when applied to different populations, and biases embedded in historical data can be perpetuated or amplified by the models that learn from them [44]. Ensuring that training data are representative, high-quality, and ethically sourced is a persistent and non-trivial obstacle. Table 4 organizes the principal challenges of AI-enabled healthcare alongside their implications and representative mitigation strategies.</w:t>
      </w:r>
    </w:p>
    <w:p>
      <w:pPr>
        <w:pStyle w:val="TableCaption"/>
      </w:pPr>
      <w:r>
        <w:t xml:space="preserve">Table 4. Key challenges in AI-enabled healthcare with implications and mitigation strategies.</w:t>
      </w:r>
    </w:p>
    <w:tbl>
      <w:tblPr>
        <w:tblStyle w:val="TableGrid"/>
        <w:tblW w:w="935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6"/>
        <w:gridCol w:w="3116"/>
        <w:gridCol w:w="3116"/>
      </w:tblGrid>
      <w:tr>
        <w:trPr>
          <w:tblHeader/>
        </w:trPr>
        <w:tc>
          <w:tcPr>
            <w:shd w:val="clear" w:color="auto" w:fill="D9E2F3"/>
          </w:tcPr>
          <w:p>
            <w:pPr>
              <w:jc w:val="center"/>
              <w:spacing w:after="40"/>
            </w:pPr>
            <w:r>
              <w:rPr>
                <w:b/>
              </w:rPr>
              <w:t xml:space="preserve">Challenge</w:t>
            </w:r>
          </w:p>
        </w:tc>
        <w:tc>
          <w:tcPr>
            <w:shd w:val="clear" w:color="auto" w:fill="D9E2F3"/>
          </w:tcPr>
          <w:p>
            <w:pPr>
              <w:jc w:val="center"/>
              <w:spacing w:after="40"/>
            </w:pPr>
            <w:r>
              <w:rPr>
                <w:b/>
              </w:rPr>
              <w:t xml:space="preserve">Implication</w:t>
            </w:r>
          </w:p>
        </w:tc>
        <w:tc>
          <w:tcPr>
            <w:shd w:val="clear" w:color="auto" w:fill="D9E2F3"/>
          </w:tcPr>
          <w:p>
            <w:pPr>
              <w:jc w:val="center"/>
              <w:spacing w:after="40"/>
            </w:pPr>
            <w:r>
              <w:rPr>
                <w:b/>
              </w:rPr>
              <w:t xml:space="preserve">Mitigation Strategy</w:t>
            </w:r>
          </w:p>
        </w:tc>
      </w:tr>
      <w:tr>
        <w:tc>
          <w:p>
            <w:pPr>
              <w:spacing w:after="40"/>
            </w:pPr>
            <w:r>
              <w:t xml:space="preserve">Data quality and bias</w:t>
            </w:r>
          </w:p>
        </w:tc>
        <w:tc>
          <w:p>
            <w:pPr>
              <w:spacing w:after="40"/>
            </w:pPr>
            <w:r>
              <w:t xml:space="preserve">Inequitable or unreliable predictions</w:t>
            </w:r>
          </w:p>
        </w:tc>
        <w:tc>
          <w:p>
            <w:pPr>
              <w:spacing w:after="40"/>
            </w:pPr>
            <w:r>
              <w:t xml:space="preserve">Diverse, curated, representative datasets</w:t>
            </w:r>
          </w:p>
        </w:tc>
      </w:tr>
      <w:tr>
        <w:tc>
          <w:p>
            <w:pPr>
              <w:spacing w:after="40"/>
            </w:pPr>
            <w:r>
              <w:t xml:space="preserve">Interpretability</w:t>
            </w:r>
          </w:p>
        </w:tc>
        <w:tc>
          <w:p>
            <w:pPr>
              <w:spacing w:after="40"/>
            </w:pPr>
            <w:r>
              <w:t xml:space="preserve">Reduced clinician trust and oversight</w:t>
            </w:r>
          </w:p>
        </w:tc>
        <w:tc>
          <w:p>
            <w:pPr>
              <w:spacing w:after="40"/>
            </w:pPr>
            <w:r>
              <w:t xml:space="preserve">Explainable AI and transparency methods</w:t>
            </w:r>
          </w:p>
        </w:tc>
      </w:tr>
      <w:tr>
        <w:tc>
          <w:p>
            <w:pPr>
              <w:spacing w:after="40"/>
            </w:pPr>
            <w:r>
              <w:t xml:space="preserve">Validation and generalization</w:t>
            </w:r>
          </w:p>
        </w:tc>
        <w:tc>
          <w:p>
            <w:pPr>
              <w:spacing w:after="40"/>
            </w:pPr>
            <w:r>
              <w:t xml:space="preserve">Poor real-world performance</w:t>
            </w:r>
          </w:p>
        </w:tc>
        <w:tc>
          <w:p>
            <w:pPr>
              <w:spacing w:after="40"/>
            </w:pPr>
            <w:r>
              <w:t xml:space="preserve">Rigorous prospective clinical evaluation</w:t>
            </w:r>
          </w:p>
        </w:tc>
      </w:tr>
      <w:tr>
        <w:tc>
          <w:p>
            <w:pPr>
              <w:spacing w:after="40"/>
            </w:pPr>
            <w:r>
              <w:t xml:space="preserve">Regulatory uncertainty</w:t>
            </w:r>
          </w:p>
        </w:tc>
        <w:tc>
          <w:p>
            <w:pPr>
              <w:spacing w:after="40"/>
            </w:pPr>
            <w:r>
              <w:t xml:space="preserve">Delayed or inconsistent adoption</w:t>
            </w:r>
          </w:p>
        </w:tc>
        <w:tc>
          <w:p>
            <w:pPr>
              <w:spacing w:after="40"/>
            </w:pPr>
            <w:r>
              <w:t xml:space="preserve">Adaptive, risk-based regulatory frameworks</w:t>
            </w:r>
          </w:p>
        </w:tc>
      </w:tr>
      <w:tr>
        <w:tc>
          <w:p>
            <w:pPr>
              <w:spacing w:after="40"/>
            </w:pPr>
            <w:r>
              <w:t xml:space="preserve">Privacy and security</w:t>
            </w:r>
          </w:p>
        </w:tc>
        <w:tc>
          <w:p>
            <w:pPr>
              <w:spacing w:after="40"/>
            </w:pPr>
            <w:r>
              <w:t xml:space="preserve">Patient harm and loss of trust</w:t>
            </w:r>
          </w:p>
        </w:tc>
        <w:tc>
          <w:p>
            <w:pPr>
              <w:spacing w:after="40"/>
            </w:pPr>
            <w:r>
              <w:t xml:space="preserve">Federated learning and strong governance</w:t>
            </w:r>
          </w:p>
        </w:tc>
      </w:tr>
      <w:tr>
        <w:tc>
          <w:p>
            <w:pPr>
              <w:spacing w:after="40"/>
            </w:pPr>
            <w:r>
              <w:t xml:space="preserve">Accountability and ethics</w:t>
            </w:r>
          </w:p>
        </w:tc>
        <w:tc>
          <w:p>
            <w:pPr>
              <w:spacing w:after="40"/>
            </w:pPr>
            <w:r>
              <w:t xml:space="preserve">Ambiguous responsibility for errors</w:t>
            </w:r>
          </w:p>
        </w:tc>
        <w:tc>
          <w:p>
            <w:pPr>
              <w:spacing w:after="40"/>
            </w:pPr>
            <w:r>
              <w:t xml:space="preserve">Clear human oversight and liability rules</w:t>
            </w:r>
          </w:p>
        </w:tc>
      </w:tr>
    </w:tbl>
    <w:p>
      <w:pPr>
        <w:pStyle w:val="Normal"/>
      </w:pPr>
      <w:r>
        <w:t xml:space="preserve">The challenge of interpretability, listed prominently in Table 4, deserves particular emphasis. Many of the most powerful machine learning models, especially deep neural networks, operate as opaque systems whose internal reasoning is difficult to inspect or explain [23]. In high-stakes medical contexts, where a decision may affect a patient's life, the inability to understand why a model reached a particular conclusion poses serious problems for clinical trust, error diagnosis, and accountability [46]. The field of explainable artificial intelligence seeks to address this by developing methods that render model reasoning more transparent, but the tension between predictive performance and interpretability remains unresolved in many applications [47]. Clinicians and regulators alike are understandably reluctant to entrust critical decisions to systems whose behavior cannot be adequately explained or anticipated.</w:t>
      </w:r>
    </w:p>
    <w:p>
      <w:pPr>
        <w:pStyle w:val="Normal"/>
      </w:pPr>
      <w:r>
        <w:t xml:space="preserve">Validation presents a related and equally serious challenge. A model that performs impressively on a retrospective dataset may fail when confronted with the messy realities of clinical practice, where data distributions shift, patient populations differ, and edge cases abound [43]. Rigorous prospective validation, ideally through controlled clinical trials, is essential before an AI system can be trusted for patient care, yet such validation is expensive, time-consuming, and complicated by the fact that models may be updated frequently [45]. The static evaluation paradigms developed for conventional drugs and devices are poorly suited to adaptive, continuously learning systems, necessitating new approaches to validation that can keep pace with the technology.</w:t>
      </w:r>
    </w:p>
    <w:p>
      <w:pPr>
        <w:pStyle w:val="Normal"/>
      </w:pPr>
      <w:r>
        <w:t xml:space="preserve">Regulatory oversight constitutes a further challenge. Regulatory agencies have traditionally evaluated drugs and devices as fixed entities with well-characterized behavior. An AI system that learns and changes over time confounds this model, raising difficult questions about how to certify a system whose behavior is not static [42]. Regulators are actively developing new frameworks to accommodate adaptive AI, including approaches that focus on the quality of the development process rather than on the frozen state of a particular model version. Nevertheless, considerable uncertainty remains, and the pace of regulatory adaptation lags behind the pace of technological innovation, creating friction that can delay the deployment of beneficial technologies [41].</w:t>
      </w:r>
    </w:p>
    <w:p>
      <w:pPr>
        <w:pStyle w:val="Normal"/>
      </w:pPr>
      <w:r>
        <w:t xml:space="preserve">Privacy and security concerns are magnified in the AI era. The data-hungry nature of machine learning creates pressure to aggregate large quantities of sensitive patient information, increasing the risk of breaches and misuse [21]. Techniques such as federated learning, which allows models to be trained across distributed datasets without centralizing the raw data, offer promising avenues for reconciling the need for data with the imperative to protect privacy [34]. Yet these techniques introduce their own complexities and are not yet universally adopted. Ensuring that patient data are used responsibly, with appropriate consent and robust safeguards, is an ethical and legal obligation that grows more pressing as AI systems proliferate.</w:t>
      </w:r>
    </w:p>
    <w:p>
      <w:pPr>
        <w:pStyle w:val="Normal"/>
      </w:pPr>
      <w:r>
        <w:t xml:space="preserve">The phenomenon of distributional shift deserves elaboration because it lies at the root of many validation failures. Machine learning models implicitly assume that the data encountered during deployment resemble the data on which they were trained, but in medicine this assumption is frequently violated [43]. Clinical practices evolve, patient populations change, measurement instruments are replaced, and disease patterns shift over time, all of which can degrade the performance of a model that was accurate when first developed. A diagnostic model trained at one hospital may falter at another with different equipment, patient demographics, or documentation practices [45]. Detecting and correcting for such shifts requires ongoing monitoring and, in many cases, periodic retraining, which in turn reintroduces the validation challenges described above. This cyclical dependency between adaptation and validation is among the most vexing practical problems in deploying AI systems for healthcare, and it distinguishes machine learning models sharply from the static interventions that regulatory and clinical frameworks were designed to evaluate.</w:t>
      </w:r>
    </w:p>
    <w:p>
      <w:pPr>
        <w:pStyle w:val="Normal"/>
      </w:pPr>
      <w:r>
        <w:t xml:space="preserve">Closely related is the problem of automation bias, the well-documented human tendency to over-rely on automated recommendations even when they are incorrect [46]. If clinicians come to trust AI systems uncritically, they may fail to catch errors that their own judgment would otherwise have identified, potentially resulting in harm that neither the human nor the machine would have caused independently. Conversely, if clinicians distrust AI systems and disregard their recommendations, the potential benefits go unrealized. Calibrating the appropriate level of reliance—neither too much nor too little—is a subtle challenge that depends on the transparency of the system, the clarity with which it communicates its confidence, and the training and disposition of the human user [23]. The design of effective human-AI collaboration in clinical settings is thus an interdisciplinary problem in its own right, drawing on insights from human factors engineering, cognitive psychology, and clinical practice as much as from computer science.</w:t>
      </w:r>
    </w:p>
    <w:p>
      <w:pPr>
        <w:pStyle w:val="Normal"/>
      </w:pPr>
      <w:r>
        <w:t xml:space="preserve">Beyond these technical and regulatory challenges lie deeper ethical and societal questions. Who bears responsibility when an AI system contributes to a medical error? How should the benefits and risks of these technologies be distributed across society? Will AI-enabled healthcare narrow or widen existing health disparities? [47] The concentration of the data, computational resources, and expertise required to build advanced AI systems in the hands of a small number of well-resourced institutions and companies raises concerns about equitable access and the potential for these powerful technologies to exacerbate rather than ameliorate inequality [46]. Thoughtful governance, inclusive design practices, and sustained attention to the social dimensions of technology are essential if the promise of AI-enabled healthcare is to be realized for all rather than a privileged few. Figure 4 synthesizes the balance of opportunities and challenges, situating them within a governance framework that spans the technical, clinical, regulatory, and ethical dimensions of responsible deployment.</w:t>
      </w:r>
    </w:p>
    <w:p>
      <w:pPr>
        <w:jc w:val="center"/>
        <w:spacing w:before="200" w:after="60"/>
      </w:pPr>
      <w:r>
        <w:drawing>
          <wp:inline xmlns:wp="http://schemas.openxmlformats.org/drawingml/2006/wordprocessingDrawing" distT="0" distB="0" distL="0" distR="0">
            <wp:extent cx="5486400" cy="3537284"/>
            <wp:effectExtent l="0" t="0" r="0" b="0"/>
            <wp:docPr id="86280" name="Figure_4_Govern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80" name="Figure_4_Governance.png"/>
                    <pic:cNvPicPr/>
                  </pic:nvPicPr>
                  <pic:blipFill>
                    <a:blip r:embed="rId5"/>
                    <a:stretch>
                      <a:fillRect/>
                    </a:stretch>
                  </pic:blipFill>
                  <pic:spPr>
                    <a:xfrm>
                      <a:off x="0" y="0"/>
                      <a:ext cx="5486400" cy="3537284"/>
                    </a:xfrm>
                    <a:prstGeom prst="rect">
                      <a:avLst/>
                    </a:prstGeom>
                  </pic:spPr>
                </pic:pic>
              </a:graphicData>
            </a:graphic>
          </wp:inline>
        </w:drawing>
      </w:r>
    </w:p>
    <w:p>
      <w:pPr>
        <w:pStyle w:val="FigureCaption"/>
      </w:pPr>
      <w:r>
        <w:t xml:space="preserve">Figure 4. A governance framework balancing the opportunities and challenges of AI-enabled healthcare across technical, clinical, regulatory, and ethical dimensions.</w:t>
      </w:r>
    </w:p>
    <w:p>
      <w:pPr>
        <w:pStyle w:val="Normal"/>
      </w:pPr>
      <w:r>
        <w:t xml:space="preserve">The governance framework outlined in Figure 4 emphasizes that responsible deployment is not a single checkpoint but a continuous obligation spanning the entire lifecycle of an AI system. Before deployment, developers must ensure that training data are representative and that models are validated against appropriate benchmarks; during deployment, systems must be monitored for performance drift and unexpected behavior; and after deployment, mechanisms must exist for auditing decisions, reporting harms, and updating models safely [41]. Each of these stages engages different stakeholders—developers, clinicians, regulators, patients, and institutions—and effective governance requires clear articulation of their respective roles and responsibilities. The framework thus reframes the challenges enumerated in Table 4 not as isolated technical problems to be solved once, but as ongoing commitments that must be sustained throughout the life of every deployed system [47].</w:t>
      </w:r>
    </w:p>
    <w:p>
      <w:pPr>
        <w:pStyle w:val="Normal"/>
      </w:pPr>
      <w:r>
        <w:t xml:space="preserve">The distribution of benefits and burdens across society constitutes a challenge that transcends the technical and demands sustained societal engagement. There is a genuine risk that AI-enabled healthcare, like many technological advances before it, will accrue disproportionately to those already advantaged, while the communities most in need of improved care remain underserved [46]. Training data drawn predominantly from well-resourced populations may yield models that perform poorly for underrepresented groups, and the computational infrastructure required to develop and deploy sophisticated systems is unevenly distributed across the globe [44]. Addressing these disparities requires deliberate investment in diverse and representative datasets, in the computational capacity of under-resourced settings, and in participatory design processes that include the perspectives of the communities these technologies are meant to serve. Without such deliberate effort, the democratizing promise of AI-enabled healthcare may go unrealized, and existing inequities may be entrenched rather than alleviated.</w:t>
      </w:r>
    </w:p>
    <w:p>
      <w:pPr>
        <w:pStyle w:val="Normal"/>
      </w:pPr>
      <w:r>
        <w:t xml:space="preserve">The workforce implications of AI-enabled healthcare also warrant consideration. As algorithms assume responsibility for tasks previously performed by human experts, the roles of pharmacologists, engineers, and clinicians will evolve, requiring new skills and new modes of collaboration between humans and machines [37]. Rather than replacing human expertise wholesale, the most promising vision is one of augmentation, in which AI systems handle routine analysis and pattern recognition while human professionals focus on judgment, communication, and the aspects of care that require empathy and contextual understanding [12]. Realizing this vision requires investment in education and training so that the biomedical workforce can work effectively alongside intelligent systems, understanding both their capabilities and their limitations. The successful integration of AI into healthcare will depend as much on human factors and organizational change as on the technical performance of the algorithms themselves.</w:t>
      </w:r>
    </w:p>
    <w:p>
      <w:pPr>
        <w:pStyle w:val="Normal"/>
      </w:pPr>
      <w:r>
        <w:t xml:space="preserve">The appropriate stance toward AI-enabled healthcare is therefore neither uncritical enthusiasm nor reflexive skepticism, but informed and cautious optimism. The opportunities are genuine and potentially transformative, offering the prospect of faster discovery, more precise therapy, and broader access to expertise. Yet these opportunities will be realized responsibly only if the accompanying challenges are confronted with equal seriousness [40]. Technical rigor in validation, transparency in model behavior, thoughtful regulation, robust privacy protection, and sustained ethical reflection must accompany every advance. The chapters that follow explore these themes in greater technical and practical detail, building on the conceptual foundation established here.</w:t>
      </w:r>
    </w:p>
    <w:p>
      <w:pPr>
        <w:pStyle w:val="Normal"/>
      </w:pPr>
      <w:r>
        <w:t xml:space="preserve">It bears emphasizing that the trajectory of AI-enabled healthcare will be shaped not only by technical progress but by the choices that societies make about how to develop, govern, and deploy these technologies. The same computational capability can be directed toward widening access or entrenching privilege, toward augmenting human judgment or displacing it, toward transparency or opacity [41]. These are not predetermined outcomes dictated by the technology itself but contingent results of decisions made by researchers, companies, regulators, clinicians, and citizens. Recognizing this contingency is empowering, for it means that the future of AI-enabled healthcare remains open and subject to deliberate shaping. The technical foundations described throughout this chapter are necessary but not sufficient for realizing the field's promise; they must be complemented by wise governance, inclusive participation, and an unwavering commitment to the welfare of patients [47]. The subsequent chapters return repeatedly to this theme, examining not only what these technologies can do but how they ought to be developed and used.</w:t>
      </w:r>
    </w:p>
    <w:p>
      <w:pPr>
        <w:pStyle w:val="Normal"/>
      </w:pPr>
      <w:r>
        <w:t xml:space="preserve">In concluding this introductory chapter, it is useful to reflect on the trajectory the field has traced and the direction in which it is heading. Pharmacology, biomedical engineering, and artificial intelligence began as separate enterprises with distinct methods and cultures. Over the course of more than a century, they have gradually converged, and in the present era they have become so deeply intertwined that they are best understood as facets of a single integrated endeavor [1]. The tools of computation now permeate every stage of the pharmacological and biomedical engineering enterprise, from the initial conception of a therapeutic idea to its final deployment in a patient. This integration represents a structural transformation of the field rather than a mere accumulation of new techniques [19]. Understanding this transformation—its history, its mechanisms, its promise, and its perils—is the essential foundation on which the reader will build in the chapters that follow, and it is the purpose of this introductory chapter to have laid that foundation clearly and completely.</w:t>
      </w:r>
    </w:p>
    <w:p>
      <w:pPr>
        <w:pStyle w:val="Heading1"/>
      </w:pPr>
      <w:r>
        <w:t xml:space="preserve">References</w:t>
      </w:r>
    </w:p>
    <w:p>
      <w:pPr>
        <w:pStyle w:val="References"/>
      </w:pPr>
      <w:r>
        <w:t xml:space="preserve">[1] Topol EJ. High-performance medicine: the convergence of human and artificial intelligence. Nature Medicine. 2019;25(1):44-56.</w:t>
      </w:r>
    </w:p>
    <w:p>
      <w:pPr>
        <w:pStyle w:val="References"/>
      </w:pPr>
      <w:r>
        <w:t xml:space="preserve">[2] Rang HP, Ritter JM, Flower RJ, Henderson G. Rang and Dale's Pharmacology. 9th ed. Edinburgh: Elsevier; 2019.</w:t>
      </w:r>
    </w:p>
    <w:p>
      <w:pPr>
        <w:pStyle w:val="References"/>
      </w:pPr>
      <w:r>
        <w:t xml:space="preserve">[3] Paul SM, Mytelka DS, Dunwiddie CT, et al. How to improve R&amp;D productivity: the pharmaceutical industry's grand challenge. Nature Reviews Drug Discovery. 2010;9(3):203-214.</w:t>
      </w:r>
    </w:p>
    <w:p>
      <w:pPr>
        <w:pStyle w:val="References"/>
      </w:pPr>
      <w:r>
        <w:t xml:space="preserve">[4] Enderle JD, Bronzino JD. Introduction to Biomedical Engineering. 3rd ed. Boston: Academic Press; 2012.</w:t>
      </w:r>
    </w:p>
    <w:p>
      <w:pPr>
        <w:pStyle w:val="References"/>
      </w:pPr>
      <w:r>
        <w:t xml:space="preserve">[5] Bronzino JD, Peterson DR. Biomedical Engineering Fundamentals. 4th ed. Boca Raton: CRC Press; 2014.</w:t>
      </w:r>
    </w:p>
    <w:p>
      <w:pPr>
        <w:pStyle w:val="References"/>
      </w:pPr>
      <w:r>
        <w:t xml:space="preserve">[6] McCarthy J, Minsky ML, Rochester N, Shannon CE. A proposal for the Dartmouth summer research project on artificial intelligence. AI Magazine. 2006;27(4):12-14.</w:t>
      </w:r>
    </w:p>
    <w:p>
      <w:pPr>
        <w:pStyle w:val="References"/>
      </w:pPr>
      <w:r>
        <w:t xml:space="preserve">[7] LeCun Y, Bengio Y, Hinton G. Deep learning. Nature. 2015;521(7553):436-444.</w:t>
      </w:r>
    </w:p>
    <w:p>
      <w:pPr>
        <w:pStyle w:val="References"/>
      </w:pPr>
      <w:r>
        <w:t xml:space="preserve">[8] Krizhevsky A, Sutskever I, Hinton GE. ImageNet classification with deep convolutional neural networks. Communications of the ACM. 2017;60(6):84-90.</w:t>
      </w:r>
    </w:p>
    <w:p>
      <w:pPr>
        <w:pStyle w:val="References"/>
      </w:pPr>
      <w:r>
        <w:t xml:space="preserve">[9] Cherkasov A, Muratov EN, Fourches D, et al. QSAR modeling: where have you been? Where are you going to? Journal of Medicinal Chemistry. 2014;57(12):4977-5010.</w:t>
      </w:r>
    </w:p>
    <w:p>
      <w:pPr>
        <w:pStyle w:val="References"/>
      </w:pPr>
      <w:r>
        <w:t xml:space="preserve">[10] Vamathevan J, Clark D, Czodrowski P, et al. Applications of machine learning in drug discovery and development. Nature Reviews Drug Discovery. 2019;18(6):463-477.</w:t>
      </w:r>
    </w:p>
    <w:p>
      <w:pPr>
        <w:pStyle w:val="References"/>
      </w:pPr>
      <w:r>
        <w:t xml:space="preserve">[11] Stephens ZD, Lee SY, Faghri F, et al. Big data: astronomical or genomical? PLoS Biology. 2015;13(7):e1002195.</w:t>
      </w:r>
    </w:p>
    <w:p>
      <w:pPr>
        <w:pStyle w:val="References"/>
      </w:pPr>
      <w:r>
        <w:t xml:space="preserve">[12] Rajkomar A, Dean J, Kohane I. Machine learning in medicine. New England Journal of Medicine. 2019;380(14):1347-1358.</w:t>
      </w:r>
    </w:p>
    <w:p>
      <w:pPr>
        <w:pStyle w:val="References"/>
      </w:pPr>
      <w:r>
        <w:t xml:space="preserve">[13] Collins FS, Varmus H. A new initiative on precision medicine. New England Journal of Medicine. 2015;372(9):793-795.</w:t>
      </w:r>
    </w:p>
    <w:p>
      <w:pPr>
        <w:pStyle w:val="References"/>
      </w:pPr>
      <w:r>
        <w:t xml:space="preserve">[14] Relling MV, Evans WE. Pharmacogenomics in the clinic. Nature. 2015;526(7573):343-350.</w:t>
      </w:r>
    </w:p>
    <w:p>
      <w:pPr>
        <w:pStyle w:val="References"/>
      </w:pPr>
      <w:r>
        <w:t xml:space="preserve">[15] Kim J, Campbell AS, de Avila BEF, Wang J. Wearable biosensors for healthcare monitoring. Nature Biotechnology. 2019;37(4):389-406.</w:t>
      </w:r>
    </w:p>
    <w:p>
      <w:pPr>
        <w:pStyle w:val="References"/>
      </w:pPr>
      <w:r>
        <w:t xml:space="preserve">[16] Bothe MK, Dickens L, Reichel K, et al. The use of reinforcement learning algorithms to meet the challenges of an artificial pancreas. Expert Review of Medical Devices. 2013;10(5):661-673.</w:t>
      </w:r>
    </w:p>
    <w:p>
      <w:pPr>
        <w:pStyle w:val="References"/>
      </w:pPr>
      <w:r>
        <w:t xml:space="preserve">[17] Bommasani R, Hudson DA, Adeli E, et al. On the opportunities and risks of foundation models. arXiv:2108.07258. 2021.</w:t>
      </w:r>
    </w:p>
    <w:p>
      <w:pPr>
        <w:pStyle w:val="References"/>
      </w:pPr>
      <w:r>
        <w:t xml:space="preserve">[18] Moor M, Banerjee O, Abad ZSH, et al. Foundation models for generalist medical artificial intelligence. Nature. 2023;616(7956):259-265.</w:t>
      </w:r>
    </w:p>
    <w:p>
      <w:pPr>
        <w:pStyle w:val="References"/>
      </w:pPr>
      <w:r>
        <w:t xml:space="preserve">[19] Hood L, Friend SH. Predictive, personalized, preventive, participatory (P4) cancer medicine. Nature Reviews Clinical Oncology. 2011;8(3):184-187.</w:t>
      </w:r>
    </w:p>
    <w:p>
      <w:pPr>
        <w:pStyle w:val="References"/>
      </w:pPr>
      <w:r>
        <w:t xml:space="preserve">[20] Schneider P, Walters WP, Plowright AT, et al. Rethinking drug design in the artificial intelligence era. Nature Reviews Drug Discovery. 2020;19(5):353-364.</w:t>
      </w:r>
    </w:p>
    <w:p>
      <w:pPr>
        <w:pStyle w:val="References"/>
      </w:pPr>
      <w:r>
        <w:t xml:space="preserve">[21] Ghassemi M, Naumann T, Schulam P, et al. A review of challenges and opportunities in machine learning for health. AMIA Summits on Translational Science Proceedings. 2020;2020:191-200.</w:t>
      </w:r>
    </w:p>
    <w:p>
      <w:pPr>
        <w:pStyle w:val="References"/>
      </w:pPr>
      <w:r>
        <w:t xml:space="preserve">[22] Zitnik M, Nguyen F, Wang B, et al. Machine learning for integrating data in biology and medicine. Information Fusion. 2019;50:71-91.</w:t>
      </w:r>
    </w:p>
    <w:p>
      <w:pPr>
        <w:pStyle w:val="References"/>
      </w:pPr>
      <w:r>
        <w:t xml:space="preserve">[23] Esteva A, Robicquet A, Ramsundar B, et al. A guide to deep learning in healthcare. Nature Medicine. 2019;25(1):24-29.</w:t>
      </w:r>
    </w:p>
    <w:p>
      <w:pPr>
        <w:pStyle w:val="References"/>
      </w:pPr>
      <w:r>
        <w:t xml:space="preserve">[24] Wieder O, Kohlbacher S, Kuenemann M, et al. A compact review of molecular property prediction with graph neural networks. Drug Discovery Today: Technologies. 2020;37:1-12.</w:t>
      </w:r>
    </w:p>
    <w:p>
      <w:pPr>
        <w:pStyle w:val="References"/>
      </w:pPr>
      <w:r>
        <w:t xml:space="preserve">[25] Chen H, Engkvist O, Wang Y, et al. The rise of deep learning in drug discovery. Drug Discovery Today. 2018;23(6):1241-1250.</w:t>
      </w:r>
    </w:p>
    <w:p>
      <w:pPr>
        <w:pStyle w:val="References"/>
      </w:pPr>
      <w:r>
        <w:t xml:space="preserve">[26] Goodfellow I, Pouget-Abadie J, Mirza M, et al. Generative adversarial networks. Communications of the ACM. 2020;63(11):139-144.</w:t>
      </w:r>
    </w:p>
    <w:p>
      <w:pPr>
        <w:pStyle w:val="References"/>
      </w:pPr>
      <w:r>
        <w:t xml:space="preserve">[27] Sanchez-Lengeling B, Aspuru-Guzik A. Inverse molecular design using machine learning: generative models for matter engineering. Science. 2018;361(6400):360-365.</w:t>
      </w:r>
    </w:p>
    <w:p>
      <w:pPr>
        <w:pStyle w:val="References"/>
      </w:pPr>
      <w:r>
        <w:t xml:space="preserve">[28] Watson JL, Juergens D, Bennett NR, et al. De novo design of protein structure and function with RFdiffusion. Nature. 2023;620(7976):1089-1100.</w:t>
      </w:r>
    </w:p>
    <w:p>
      <w:pPr>
        <w:pStyle w:val="References"/>
      </w:pPr>
      <w:r>
        <w:t xml:space="preserve">[29] Guo JL, Januszyk M, Longaker MT. Machine learning in tissue engineering. Tissue Engineering Part A. 2023;29(1-2):2-19.</w:t>
      </w:r>
    </w:p>
    <w:p>
      <w:pPr>
        <w:pStyle w:val="References"/>
      </w:pPr>
      <w:r>
        <w:t xml:space="preserve">[30] Jumper J, Evans R, Pritzel A, et al. Highly accurate protein structure prediction with AlphaFold. Nature. 2021;596(7873):583-589.</w:t>
      </w:r>
    </w:p>
    <w:p>
      <w:pPr>
        <w:pStyle w:val="References"/>
      </w:pPr>
      <w:r>
        <w:t xml:space="preserve">[31] Ren F, Ding X, Zheng M, et al. AlphaFold accelerates artificial intelligence powered drug discovery. Chemical Science. 2023;14(6):1443-1452.</w:t>
      </w:r>
    </w:p>
    <w:p>
      <w:pPr>
        <w:pStyle w:val="References"/>
      </w:pPr>
      <w:r>
        <w:t xml:space="preserve">[32] Kamel Boulos MN, Zhang P. Digital twins: from personalised medicine to precision public health. Journal of Personalized Medicine. 2021;11(8):745.</w:t>
      </w:r>
    </w:p>
    <w:p>
      <w:pPr>
        <w:pStyle w:val="References"/>
      </w:pPr>
      <w:r>
        <w:t xml:space="preserve">[33] Corral-Acero J, Margara F, Marciniak M, et al. The digital twin to enable the vision of precision cardiology. European Heart Journal. 2020;41(48):4556-4564.</w:t>
      </w:r>
    </w:p>
    <w:p>
      <w:pPr>
        <w:pStyle w:val="References"/>
      </w:pPr>
      <w:r>
        <w:t xml:space="preserve">[34] Wilkinson MD, Dumontier M, Aalbersberg IJ, et al. The FAIR guiding principles for scientific data management and stewardship. Scientific Data. 2016;3:160018.</w:t>
      </w:r>
    </w:p>
    <w:p>
      <w:pPr>
        <w:pStyle w:val="References"/>
      </w:pPr>
      <w:r>
        <w:t xml:space="preserve">[35] Riniker S, Landrum GA. Open-source platform to benchmark fingerprints for ligand-based virtual screening. Journal of Cheminformatics. 2013;5:26.</w:t>
      </w:r>
    </w:p>
    <w:p>
      <w:pPr>
        <w:pStyle w:val="References"/>
      </w:pPr>
      <w:r>
        <w:t xml:space="preserve">[36] Adir O, Poley M, Chen G, et al. Integrating artificial intelligence and nanotechnology for precision cancer medicine. Advanced Materials. 2020;32(13):1901989.</w:t>
      </w:r>
    </w:p>
    <w:p>
      <w:pPr>
        <w:pStyle w:val="References"/>
      </w:pPr>
      <w:r>
        <w:t xml:space="preserve">[37] Yu KH, Beam AL, Kohane IS. Artificial intelligence in healthcare. Nature Biomedical Engineering. 2018;2(10):719-731.</w:t>
      </w:r>
    </w:p>
    <w:p>
      <w:pPr>
        <w:pStyle w:val="References"/>
      </w:pPr>
      <w:r>
        <w:t xml:space="preserve">[38] Coley CW, Eyke NS, Jensen KF. Autonomous discovery in the chemical sciences part I: progress. Angewandte Chemie International Edition. 2020;59(51):22858-22893.</w:t>
      </w:r>
    </w:p>
    <w:p>
      <w:pPr>
        <w:pStyle w:val="References"/>
      </w:pPr>
      <w:r>
        <w:t xml:space="preserve">[39] Burger B, Maffettone PM, Gusev VV, et al. A mobile robotic chemist. Nature. 2020;583(7815):237-241.</w:t>
      </w:r>
    </w:p>
    <w:p>
      <w:pPr>
        <w:pStyle w:val="References"/>
      </w:pPr>
      <w:r>
        <w:t xml:space="preserve">[40] Wong CH, Siah KW, Lo AW. Estimation of clinical trial success rates and related parameters. Biostatistics. 2019;20(2):273-286.</w:t>
      </w:r>
    </w:p>
    <w:p>
      <w:pPr>
        <w:pStyle w:val="References"/>
      </w:pPr>
      <w:r>
        <w:t xml:space="preserve">[41] Reddy S, Allan S, Coghlan S, Cooper P. A governance model for the application of AI in health care. Journal of the American Medical Informatics Association. 2020;27(3):491-497.</w:t>
      </w:r>
    </w:p>
    <w:p>
      <w:pPr>
        <w:pStyle w:val="References"/>
      </w:pPr>
      <w:r>
        <w:t xml:space="preserve">[42] Mak KK, Pichika MR. Artificial intelligence in drug development: present status and future prospects. Drug Discovery Today. 2019;24(3):773-780.</w:t>
      </w:r>
    </w:p>
    <w:p>
      <w:pPr>
        <w:pStyle w:val="References"/>
      </w:pPr>
      <w:r>
        <w:t xml:space="preserve">[43] Zhavoronkov A, Ivanenkov YA, Aliper A, et al. Deep learning enables rapid identification of potent DDR1 kinase inhibitors. Nature Biotechnology. 2019;37(9):1038-1040.</w:t>
      </w:r>
    </w:p>
    <w:p>
      <w:pPr>
        <w:pStyle w:val="References"/>
      </w:pPr>
      <w:r>
        <w:t xml:space="preserve">[44] Char DS, Shah NH, Magnus D. Implementing machine learning in health care: addressing ethical challenges. New England Journal of Medicine. 2018;378(11):981-983.</w:t>
      </w:r>
    </w:p>
    <w:p>
      <w:pPr>
        <w:pStyle w:val="References"/>
      </w:pPr>
      <w:r>
        <w:t xml:space="preserve">[45] Kann BH, Hosny A, Aerts HJWL. Artificial intelligence for clinical oncology. Cancer Cell. 2021;39(7):916-927.</w:t>
      </w:r>
    </w:p>
    <w:p>
      <w:pPr>
        <w:pStyle w:val="References"/>
      </w:pPr>
      <w:r>
        <w:t xml:space="preserve">[46] He J, Baxter SL, Xu J, et al. The practical implementation of artificial intelligence technologies in medicine. Nature Medicine. 2019;25(1):30-36.</w:t>
      </w:r>
    </w:p>
    <w:p>
      <w:pPr>
        <w:pStyle w:val="References"/>
      </w:pPr>
      <w:r>
        <w:t xml:space="preserve">[47] Wiens J, Saria S, Sendak M, et al. Do no harm: a roadmap for responsible machine learning for health care. Nature Medicine. 2019;25(9):1337-1340.</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after="240"/>
    </w:pPr>
    <w:rPr>
      <w:b/>
      <w:sz w:val="32"/>
      <w:szCs w:val="32"/>
    </w:rPr>
  </w:style>
  <w:style w:type="paragraph" w:styleId="Heading1">
    <w:name w:val="heading 1"/>
    <w:basedOn w:val="Normal"/>
    <w:pPr>
      <w:spacing w:before="360" w:after="120"/>
      <w:jc w:val="left"/>
    </w:pPr>
    <w:rPr>
      <w:b/>
      <w:sz w:val="28"/>
      <w:szCs w:val="28"/>
    </w:rPr>
  </w:style>
  <w:style w:type="paragraph" w:styleId="Heading2">
    <w:name w:val="heading 2"/>
    <w:basedOn w:val="Normal"/>
    <w:pPr>
      <w:spacing w:before="240" w:after="120"/>
      <w:jc w:val="left"/>
    </w:pPr>
    <w:rPr>
      <w:b/>
      <w:sz w:val="26"/>
      <w:szCs w:val="26"/>
    </w:rPr>
  </w:style>
  <w:style w:type="paragraph" w:styleId="Heading3">
    <w:name w:val="heading 3"/>
    <w:basedOn w:val="Normal"/>
    <w:pPr>
      <w:spacing w:before="200" w:after="100"/>
      <w:jc w:val="left"/>
    </w:pPr>
    <w:rPr>
      <w:b/>
      <w:i/>
      <w:sz w:val="24"/>
      <w:szCs w:val="24"/>
    </w:rPr>
  </w:style>
  <w:style w:type="paragraph" w:styleId="References">
    <w:name w:val="References"/>
    <w:basedOn w:val="Normal"/>
    <w:pPr>
      <w:ind w:left="480" w:hanging="480"/>
      <w:spacing w:after="60"/>
      <w:jc w:val="left"/>
    </w:pPr>
    <w:rPr>
      <w:sz w:val="22"/>
      <w:szCs w:val="22"/>
    </w:rPr>
  </w:style>
  <w:style w:type="paragraph" w:styleId="FigureCaption">
    <w:name w:val="Figure Caption"/>
    <w:basedOn w:val="Normal"/>
    <w:pPr>
      <w:jc w:val="center"/>
      <w:spacing w:before="60" w:after="240"/>
    </w:pPr>
    <w:rPr>
      <w:i/>
      <w:sz w:val="22"/>
      <w:szCs w:val="22"/>
    </w:rPr>
  </w:style>
  <w:style w:type="paragraph" w:styleId="TableCaption">
    <w:name w:val="Table Caption"/>
    <w:basedOn w:val="Normal"/>
    <w:pPr>
      <w:spacing w:before="200" w:after="60"/>
      <w:jc w:val="left"/>
    </w:pPr>
    <w:rPr>
      <w:b/>
      <w:sz w:val="22"/>
      <w:szCs w:val="22"/>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s>
</file>