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and Irreversibility Analysis of Unsteady EMHD Squeezing Flow of a Carreau Hybrid Nanofluid (AA7072–AA7075/Methanol) Between Parallel Porous Plates</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porous plates. The working fluid is a hybrid suspension in which two aluminium-alloy nanoparticle materials,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confirms mesh independence to the reported numerical precision. Entropy generation is maximal near the plates and minimal in the core. The Brinkman number strongly amplifies friction and Joule irreversibilities, and the Bejan-number distribution reveals a transition from conduction-dominated irreversibility at the walls to friction-dominated irreversibility in the central region of the channel.</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 thermodynamically grounded entropy model,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porous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upper plate moves relative to the lower plate with the squeezing velocity obtained by differentiating Eq. (1);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Both plates are permeable (porous channel); no independent 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n = 1 (or Γ → 0) recovers the Newtonian limit.</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We follow the standard Eckert–Drake formulation [25], with the quantities and SI units: mass diffusivity D_B (m² s⁻¹); thermal-diffusion ratio K_T (dimensionless); mean fluid temperature T_m (K); base-fluid specific heat at constant pressure c_p (J kg⁻¹ K⁻¹); and concentration C a mass fraction (dimensionless). The </w:t>
      </w:r>
      <w:r>
        <w:rPr>
          <w:b/>
        </w:rPr>
        <w:t xml:space="preserve">concentration susceptibility</w:t>
      </w:r>
      <w:r>
        <w:t xml:space="preserve"> c_s is defined as c_s = (∂C/∂T)_eq at constant pressure along the local thermodynamic equilibrium line, and therefore has units K⁻¹ (change in mass fraction per unit temperature). With these definitions the Dufour coefficient in the energy equation (Eq. 10), D_B K_T/(c_s c_p), carries units (m² s⁻¹)/[(K⁻¹)(J kg⁻¹ K⁻¹)] = m² s⁻¹ kg J⁻¹ = s (since J = kg m² s⁻²); multiplying by ∂²C/∂y² (m⁻², C dimensionless) and by (ρc_p)_hnf (J m⁻³ K⁻¹) gives units J m⁻³ s⁻¹ K⁻¹ × ... which, after division of the whole energy equation by (ρc_p)_hnf, matches the conduction term in temperature-per-time, confirming dimensional homogeneity. Likewise, in the species equation (Eq. 11) the Soret coefficient D_B K_T/T_m multiplies ∂²T/∂y²; with C a mass fraction the Fickian term D_B ∂²C/∂y² has units s⁻¹, and D_B K_T/T_m × ∂²T/∂y² = (m² s⁻¹)(1)(K⁻¹)(K m⁻²) = s⁻¹, so the two terms are dimensionally homogeneous. The dimensionless groups Sr and Df (Eq. 21) collect these coefficients and are therefore unambiguously dimensionless.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 materials,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Forchheimer (local inertia) parameter,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an ODE parameterised by these local similarity parameters evaluated at the station of interest.</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G. The information carried by G (the x-wise pressure gradient) is recovered implicitly through the fourth boundary condition: whereas the third-order equation (22) requires three conditions plus a known value of G, the fourth-order equation (23) requires four boundary conditions and determines G a posteriori by back-substituting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Applying the transformation (18) to Eqs. (10) and (11) and using the Rosseland linearisation gives (the radiation parameter is Rd = 4σ*T₀³/(k*κ_f) as defined in Eq. 20, which produces the coefficients 4/3 and 4 below)</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\alpha_\rho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Starting from the dimensional Dufour contribution in Eq. (10), [(ρc_p)_hnf D_B K_T/(c_s c_p)] ∂²C/∂y² (with c_s the concentration susceptibility of Section 2.3, not the mean temperature), we non-dimensionalise using C − C₀ = (C_w − C₀)φ, T − T₀ = (T_w − T₀)θ and y = h(t)η. The term becomes</w:t>
      </w:r>
    </w:p>
    <w:p/>
    <w:p>
      <w:r>
        <w:t xml:space="preserve">[(ρc_p)_hnf D_B K_T (C_w − C₀)/(c_s c_p h²)] φ″.</w:t>
      </w:r>
    </w:p>
    <w:p/>
    <w:p>
      <w:r>
        <w:t xml:space="preserve">Dividing the complete energy equation by (ρc_p)_f (a ν_f (T_w − T₀))/(h²(1 − γt)) — the scale of the convective term — and using (ρc_p)_hnf/(ρc_p)_f = α_c, the Dufour term reduces to α_c · [Pr/α_c] · α_ρ · Df · φ″ = Pr α_ρ Df φ″, in which the factor α_c introduced by the prefactor cancels the α_c carried by the convective normalisation, and</w:t>
      </w:r>
    </w:p>
    <w:p/>
    <w:p>
      <w:r>
        <w:t xml:space="preserve">Df = D_B K_T (C_w − C₀)/[c_s (c_p)_f ν_f (T_w − T₀)]</w:t>
      </w:r>
    </w:p>
    <w:p/>
    <w:p>
      <w:r>
        <w:t xml:space="preserve">is the dimensionless Dufour number of Eq. (21). This is exactly the Dufour contribution written in Eq. (27).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dimensionless entropy-generation number N_s is the sum of four physically distinct contributions — heat transfer, fluid friction, Joule dissipation and diffusive (species) irreversibility — plus the Soret–Dufour cross term:</w:t>
      </w:r>
    </w:p>
    <w:p/>
    <w:p>
      <w:r>
        <w:t xml:space="preserve">$$</w:t>
      </w:r>
    </w:p>
    <w:p>
      <w:r>
        <w:t xml:space="preserve">N_s = \underbrace{\left[\alpha_\kappa + \frac{4}{3}Rd\, F^3\right]\theta'^2}_{N_{HT}} + \underbrace{\frac{\alpha_\mu Br}{\Omega}f''^2}_{N_{FF}} + \underbrace{\frac{\alpha_\sigma Br\, M}{\Omega}(f' - Ee)^2}_{N_J} + \underbrace{\Lambda\left(\frac{\zeta}{\Omega}\right)^2\phi'^2 + \Lambda\frac{\zeta}{\Omega}\theta'\phi'}_{N_{DD}}</w:t>
      </w:r>
    </w:p>
    <w:p>
      <w:r>
        <w:t xml:space="preserve">\tag{35}</w:t>
      </w:r>
    </w:p>
    <w:p>
      <w:r>
        <w:t xml:space="preserve">$$</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 D_B\, (C_w - C_0)}{\kappa_f}, \quad</w:t>
      </w:r>
    </w:p>
    <w:p>
      <w:r>
        <w:t xml:space="preserve">\zeta = \frac{C_w - C_0}{C_0}</w:t>
      </w:r>
    </w:p>
    <w:p>
      <w:r>
        <w:t xml:space="preserve">\tag{36}</w:t>
      </w:r>
    </w:p>
    <w:p>
      <w:r>
        <w:t xml:space="preserve">$$</w:t>
      </w:r>
    </w:p>
    <w:p/>
    <w:p>
      <w:r>
        <w:t xml:space="preserve">where Br is the Brinkman number, Ω the dimensionless temperature difference, Λ the diffusive-irreversibility parameter, ζ the dimensionless concentration difference, and R the universal gas constant (with C expressed in mol m⁻³). The four labelled groups satisfy, by construction,</w:t>
      </w:r>
    </w:p>
    <w:p/>
    <w:p>
      <w:r>
        <w:t xml:space="preserve">$$</w:t>
      </w:r>
    </w:p>
    <w:p>
      <w:r>
        <w:t xml:space="preserve">N_s = N_{HT} + N_{FF} + N_J + N_{DD}</w:t>
      </w:r>
    </w:p>
    <w:p>
      <w:r>
        <w:t xml:space="preserve">\tag{37}</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The diagonal terms give the conduction irreversibility and the pure diffusive term (R D_B/C₀)(∂C/∂y)²; the symmetric Onsager cross-coupling gives the cross term (R D_B/T₀)(∂T/∂y)(∂C/∂y). After non-dimensionalisation these map onto the two members of N_DD in Eq. (35).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\tag{38}</w:t>
      </w:r>
    </w:p>
    <w:p>
      <w:r>
        <w:t xml:space="preserve">$$</w:t>
      </w:r>
    </w:p>
    <w:p/>
    <w:p>
      <w:r>
        <w:t xml:space="preserve">The Soret–Dufour cross term is contained entirely within N_DD (fourth brace in Eq. 35) and is therefore assigned to the numerator together with the diagonal diffusive and conduction irreversibilities. The combined thermal-plus-diffusive numerator N_HT + N_DD is a quadratic form in the gradients (θ′, φ′):</w:t>
      </w:r>
    </w:p>
    <w:p/>
    <w:p>
      <w:r>
        <w:t xml:space="preserve">$$</w:t>
      </w:r>
    </w:p>
    <w:p>
      <w:r>
        <w:t xml:space="preserve">N_{HT} + N_{DD} = A\,\theta'^2 + 2B\,\theta'\phi' + C\,\phi'^2</w:t>
      </w:r>
    </w:p>
    <w:p>
      <w:r>
        <w:t xml:space="preserve">\tag{39}</w:t>
      </w:r>
    </w:p>
    <w:p>
      <w:r>
        <w:t xml:space="preserve">$$</w:t>
      </w:r>
    </w:p>
    <w:p/>
    <w:p>
      <w:r>
        <w:t xml:space="preserve">with coefficients</w:t>
      </w:r>
    </w:p>
    <w:p/>
    <w:p>
      <w:r>
        <w:t xml:space="preserve">$$</w:t>
      </w:r>
    </w:p>
    <w:p>
      <w:r>
        <w:t xml:space="preserve">A = \alpha_\kappa + \frac{4}{3}Rd\, F^3, \qquad</w:t>
      </w:r>
    </w:p>
    <w:p>
      <w:r>
        <w:t xml:space="preserve">B = \frac{1}{2}\Lambda\frac{\zeta}{\Omega}, \qquad</w:t>
      </w:r>
    </w:p>
    <w:p>
      <w:r>
        <w:t xml:space="preserve">C = \Lambda\left(\frac{\zeta}{\Omega}\right)^2</w:t>
      </w:r>
    </w:p>
    <w:p>
      <w:r>
        <w:t xml:space="preserve">\tag{40}</w:t>
      </w:r>
    </w:p>
    <w:p>
      <w:r>
        <w:t xml:space="preserve">$$</w:t>
      </w:r>
    </w:p>
    <w:p/>
    <w:p>
      <w:r>
        <w:t xml:space="preserve">We adopt the heating/mass-addition configuration in which both driving differences are positive, T_w − T₀ &gt; 0 and ΔC = C_w − C₀ &gt; 0; consequently Ω = (T_w − T₀)/T₀ &gt; 0 and ζ = (C_w − C₀)/C₀ &gt; 0, and Λ = R D_B ΔC/κ_f &gt; 0 since R, D_B, κ_f &gt; 0. A real symmetric quadratic form A θ′² + 2B θ′φ′ + C φ′² is positive semidefinite if and only if A ≥ 0, C ≥ 0 and AC − B² ≥ 0. Under the sign assumptions just stated, A = α_κ + (4/3)Rd F³ ≥ 0 and C = Λ(ζ/Ω)² ≥ 0 hold automatically (Rd ≥ 0, and Λ, (ζ/Ω)² ≥ 0). Imposing the determinant condition,</w:t>
      </w:r>
    </w:p>
    <w:p/>
    <w:p>
      <w:r>
        <w:t xml:space="preserve">$$</w:t>
      </w:r>
    </w:p>
    <w:p>
      <w:r>
        <w:t xml:space="preserve">AC - B^2 = \Lambda\left(\frac{\zeta}{\Omega}\right)^2\left[\alpha_\kappa + \frac{4}{3}Rd\, F^3\right] - \frac{1}{4}\Lambda^2\left(\frac{\zeta}{\Omega}\right)^2 = \Lambda\left(\frac{\zeta}{\Omega}\right)^2\left\{\left[\alpha_\kappa + \frac{4}{3}Rd\, F^3\right] - \frac{\Lambda}{4}\right\} \ge 0,</w:t>
      </w:r>
    </w:p>
    <w:p>
      <w:r>
        <w:t xml:space="preserve">\tag{41}</w:t>
      </w:r>
    </w:p>
    <w:p>
      <w:r>
        <w:t xml:space="preserve">$$</w:t>
      </w:r>
    </w:p>
    <w:p/>
    <w:p>
      <w:r>
        <w:t xml:space="preserve">which, since Λ(ζ/Ω)² ≥ 0, reduces to the bound</w:t>
      </w:r>
    </w:p>
    <w:p/>
    <w:p>
      <w:r>
        <w:t xml:space="preserve">$$</w:t>
      </w:r>
    </w:p>
    <w:p>
      <w:r>
        <w:t xml:space="preserve">\Lambda \le 4\left[\alpha_\kappa + \frac{4}{3}Rd\, F^3\right].</w:t>
      </w:r>
    </w:p>
    <w:p>
      <w:r>
        <w:t xml:space="preserve">\tag{42}</w:t>
      </w:r>
    </w:p>
    <w:p>
      <w:r>
        <w:t xml:space="preserve">$$</w:t>
      </w:r>
    </w:p>
    <w:p/>
    <w:p>
      <w:r>
        <w:t xml:space="preserve">Equation (42) was checked to hold at every η over the full parameter range reported here, so the complete diffusive quadratic form satisfies N_HT + N_DD ≥ 0. The friction and Joule contributions N_FF and N_J are individually non-negative because each is a positive coefficient times a squared gradient. Consequently, under the positive-semidefinite condition given by Eq. (42) together with the sign assumptions above, the whole denominator N_s is positive and the calculated Bejan number satisfies 0 ≤ Be ≤ 1 over the reported parameter range — note that it is the complete quadratic form N_HT + N_DD, and not the individual cross term Λ(ζ/Ω)θ′φ′ (which may be negative locally), that is guaranteed non-negative. This is confirmed by the numerical sweep underlying Table 5 (minimum Be = 0.1124, maximum Be = 0.2918).</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We therefore consider the solution to be grid-independent to the reported numerical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mesh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Wang squeezing-film equation</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Wang-type benchmark values is given in Table 3; the agreement is better than 0.1% across the tested range of Sq, confirming correct implementation. The Carreau Newtonian limit does not reproduce the Casson model of [23]; accordingly, comparison with [23] is restricted to a common Newtonian limiting case and should not be interpreted as validation of the full Carreau model against a Casson formulation.</w:t>
      </w:r>
    </w:p>
    <w:p/>
    <w:p>
      <w:r>
        <w:rPr>
          <w:b/>
        </w:rPr>
        <w:t xml:space="preserve">Table 3. Validation against the Wang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Throughout this section, the "core" denotes the central region of the channel away from both walls (approximately 0.3 ≤ η ≤ 0.7), as distinct from the near-wall layers where gradients are steepest.</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porous plates under aligned electric and transverse magnetic fields.</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upper plate moves with the squeezing velocity v_h of Eq. (2). The gap is filled with a Carreau hybrid nanofluid in a Darcy–Forchheimer porous medium.</w:t>
      </w:r>
    </w:p>
    <w:p/>
    <w:p>
      <w:r>
        <w:t xml:space="preserve">[Figure placeholder: figures_emhd/Figure_2_Velocity_Sq.png]</w:t>
      </w:r>
    </w:p>
    <w:p/>
    <w:p>
      <w:r>
        <w:rPr>
          <w:b/>
        </w:rPr>
        <w:t xml:space="preserve">Figure 2.</w:t>
      </w:r>
      <w:r>
        <w:t xml:space="preserve"> Effect of the squeezing parameter Sq on the velocity profile f′(η). Data computed by the present solver.</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reflecting the stronger streamwise redistribution of fluid associated with the squeezing motion (toward the open streamwise boundary of the gap, i.e. increasing |x|). This trend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 Data computed by the present solver.</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near-wall shear is simultaneously increased (reflected in the larger C_f at We = 2.0 in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 Data computed by the present solver.</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Re^(−1/2) Nu increases from 1.3509 at Rd = 0.2 to 2.3466 at Rd = 1.0 (about a 74% radiative enhancement).</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and Dufour numbers act reciprocally on the temperature and concentration fields [26–28].</w:t>
      </w:r>
    </w:p>
    <w:p/>
    <w:p>
      <w:pPr>
        <w:pStyle w:val="Heading2"/>
      </w:pPr>
      <w:r>
        <w:t xml:space="preserve">6.4 Entropy generation</w:t>
      </w:r>
    </w:p>
    <w:p/>
    <w:p>
      <w:r>
        <w:t xml:space="preserve">[Figure placeholder: figures_emhd/Figure_5_Entropy_Br_M.png]</w:t>
      </w:r>
    </w:p>
    <w:p/>
    <w:p>
      <w:r>
        <w:rPr>
          <w:b/>
        </w:rPr>
        <w:t xml:space="preserve">Figure 5.</w:t>
      </w:r>
      <w:r>
        <w:t xml:space="preserve"> Entropy generation number N_s(η) versus Br and M. Data computed by the present solver.</w:t>
      </w:r>
    </w:p>
    <w:p/>
    <w:p>
      <w:r>
        <w:t xml:space="preserve">Figure 5 shows the entropy-generation profiles. N_s(η) peaks at the walls, where the velocity and temperature gradients are largest, and falls toward the core — the near-wall-dominated distribution characteristic of wall-bounded irreversibility [34, 35]. Increasing Br amplifies N_s strongly: N_s(0) rises from 4.4484 (Br = 0.5) to 10.7492 (Br = 1.5), an increase of about 142%. Stronger M adds Joule irreversibility (N_s(0) = 8.2714 at M = 2.0 versus 7.5988 at M = 1.0). A larger dimensionless temperature difference reduces N_s(0) to 3.5495 at Ω = 2.0, consistent with Table 5.</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Data computed by the present solver.</w:t>
      </w:r>
    </w:p>
    <w:p/>
    <w:p>
      <w:r>
        <w:t xml:space="preserve">Figure 6 shows the Bejan number, which is bounded in [0, 1] at every η over the full parameter range (Section 3.2): thermal and diffusive irreversibilities dominate near the walls (high Be), while friction and Joule irreversibilities dominate in the core (low Be). Larger Rd raises Be (greater thermal share); larger Br lowers it (greater friction share). Be(0) falls from 0.2918 to 0.1207 as Br increases from 0.5 to 1.5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The equal-split convention φ₁ = φ₂ is used; the total nanoparticle loading is φ = φ₁ + φ₂, so the final row corresponds to a total loading of φ = 0.10.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(∂C/∂T)_eq, units K⁻¹), from which the Soret and Dufour numbers Sr and Df are shown to be dimensionless and the Dufour term is reduced step by step to Pr α_ρ Df φ″ (Eq. 27). All dimensionless groups are defined explicitly in Section 2.5.</w:t>
      </w:r>
    </w:p>
    <w:p>
      <w:r>
        <w:t xml:space="preserve">3. The entropy model uses time-dependent electromagnetic fields and k_f-based normalisation; the diffusive and cross terms rest on a linear-irreversible-thermodynamics basis, and the Soret–Dufour cross term is assigned explicitly to N_DD, so that N_s = N_HT + N_FF + N_J + N_DD; under the stated sign assumptions and the positive-semidefinite condition (Eq. 42),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peaks near the walls; the Brinkman number and magnetic parameter raise friction and Joule irreversibility; hybrid loading (total φ up to 0.10) increases the Nusselt number by approximately 41.2%, accompanied by an approximately 31.7% increase in the average entropy-generation number N_s,avg (from 3.1844 to 4.1940).</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squeezing-film form stated in Section 5. This limit does not recover the Casson model; comparison with [23] is therefore restricted to a common Newtonian limiting case.</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M. T. Mustafa, K. A. Kumar, N. Sandeep, Effect of asymmetrical heat rise/fall on the AA7072–AA7075/methanol hybrid nanofluid flow, Scientific Reports 10 (2020) 4402.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analysis of Carreau fluid flow,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