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Chapter 2. Artificial Intelligence and Machine Learning in Healthcare</w:t>
      </w:r>
    </w:p>
    <w:p>
      <w:pPr>
        <w:pStyle w:val="Heading1"/>
      </w:pPr>
      <w:r>
        <w:t xml:space="preserve">Abstract</w:t>
      </w:r>
    </w:p>
    <w:p>
      <w:pPr>
        <w:pStyle w:val="Abstract"/>
      </w:pPr>
      <w:r>
        <w:t xml:space="preserve">Artificial intelligence (AI) and machine learning (ML) have emerged as transformative forces in modern healthcare, reshaping the ways in which clinical data are captured, interpreted, and translated into actionable decisions. This chapter provides a comprehensive foundation for understanding the theoretical underpinnings and practical applications of AI and ML in medicine. It begins by establishing the fundamental concepts that distinguish artificial intelligence from conventional rule-based computation, tracing the historical evolution of the field and clarifying the terminology that frequently causes confusion among clinicians, researchers, and administrators. The chapter then examines the three principal learning paradigms—supervised, unsupervised, and reinforcement learning—describing their mathematical formulations, representative algorithms, evaluation strategies, and the specific healthcare problems to which each is best suited. Building upon these foundations, the chapter explores the recent revolution driven by deep learning, generative artificial intelligence, and large language models, which have collectively expanded the frontier of what automated systems can accomplish in radiology, pathology, genomics, clinical documentation, and patient communication. Throughout, attention is given to the practical realities of deploying these technologies in clinical environments, including data quality, interpretability, regulatory oversight, bias, and the imperative of maintaining human oversight. The chapter integrates conceptual explanations with concrete examples, comparative tables, and illustrative figures to support readers from diverse backgrounds. By the conclusion, readers should possess a coherent mental model of how AI and ML function, how their capabilities differ, and how they can be responsibly harnessed to improve the quality, safety, efficiency, and equity of healthcare delivery. The material is intended to serve both as an introduction for newcomers and as a structured reference for practitioners seeking to deepen their engagement with computational medicine.</w:t>
      </w:r>
    </w:p>
    <w:p>
      <w:pPr>
        <w:pStyle w:val="Heading1"/>
      </w:pPr>
      <w:r>
        <w:t xml:space="preserve">2.1 Fundamentals of Artificial Intelligence and Machine Learning</w:t>
      </w:r>
    </w:p>
    <w:p>
      <w:pPr>
        <w:pStyle w:val="Heading2"/>
      </w:pPr>
      <w:r>
        <w:t xml:space="preserve">2.1.1 Defining Artificial Intelligence in the Medical Context</w:t>
      </w:r>
    </w:p>
    <w:p>
      <w:pPr>
        <w:pStyle w:val="Normal"/>
      </w:pPr>
      <w:r>
        <w:t xml:space="preserve">Artificial intelligence refers broadly to the capacity of computational systems to perform tasks that ordinarily require human intelligence, such as perception, reasoning, learning, and decision-making. In the context of healthcare, this definition acquires particular significance because the tasks in question—interpreting a chest radiograph, triaging an emergency department patient, or predicting the likelihood of sepsis—carry direct consequences for human wellbeing [1]. The distinction between AI and ordinary software lies in the former's ability to derive behavior from data or experience rather than from explicitly programmed instructions. A traditional clinical decision support tool that flags a drug interaction using a fixed lookup table is not, in the strict sense, artificial intelligence; a system that learns to identify diabetic retinopathy from thousands of annotated fundus images is [2].</w:t>
      </w:r>
    </w:p>
    <w:p>
      <w:pPr>
        <w:pStyle w:val="Normal"/>
      </w:pPr>
      <w:r>
        <w:t xml:space="preserve">The intellectual roots of AI extend to the mid-twentieth century, when pioneers such as Alan Turing posed the question of whether machines could think, and when early symbolic systems attempted to encode human expertise as formal rules [3]. Medicine was among the first application domains explored by these early researchers. Expert systems such as MYCIN, developed in the 1970s to recommend antibiotic therapy, demonstrated both the promise and the limitations of rule-based reasoning: while capable of matching expert performance in narrow domains, such systems proved brittle, difficult to maintain, and unable to accommodate the ambiguity and incompleteness that characterize real clinical data [4]. These limitations motivated the gradual shift toward data-driven approaches that define contemporary healthcare AI.</w:t>
      </w:r>
    </w:p>
    <w:p>
      <w:pPr>
        <w:pStyle w:val="Heading2"/>
      </w:pPr>
      <w:r>
        <w:t xml:space="preserve">2.1.2 The Relationship Between AI, Machine Learning, and Data Science</w:t>
      </w:r>
    </w:p>
    <w:p>
      <w:pPr>
        <w:pStyle w:val="Normal"/>
      </w:pPr>
      <w:r>
        <w:t xml:space="preserve">A recurring source of confusion is the relationship among the overlapping terms artificial intelligence, machine learning, deep learning, and data science. It is helpful to view these as nested and intersecting concepts rather than as synonyms. Artificial intelligence is the broadest umbrella, encompassing any technique that enables machines to mimic intelligent behavior. Machine learning is a subset of AI concerned specifically with algorithms that improve their performance on a task through exposure to data [5]. Deep learning, in turn, is a subset of machine learning that employs multilayered artificial neural networks capable of learning hierarchical representations directly from raw inputs. Data science is a broader interdisciplinary practice that includes data collection, cleaning, statistical analysis, and visualization, and which frequently employs machine learning as one of its tools [6].</w:t>
      </w:r>
    </w:p>
    <w:p>
      <w:pPr>
        <w:pStyle w:val="Normal"/>
      </w:pPr>
      <w:r>
        <w:t xml:space="preserve">Understanding these distinctions matters in healthcare because the choice of approach carries implications for data requirements, interpretability, and regulatory scrutiny. A logistic regression model predicting readmission risk from a handful of structured variables is a machine learning model that remains largely interpretable and requires modest data volumes. A convolutional neural network segmenting tumors from magnetic resonance images is a deep learning system that demands large annotated datasets and specialized computational infrastructure, while offering less transparent reasoning [7]. Table 1 summarizes the principal distinctions among these categories and their typical healthcare manifestations.</w:t>
      </w:r>
    </w:p>
    <w:p>
      <w:pPr>
        <w:pStyle w:val="TableCap"/>
      </w:pPr>
      <w:r>
        <w:t xml:space="preserve">Table 1. Comparison of key computational paradigms and their healthcare characteristics</w:t>
      </w:r>
    </w:p>
    <w:tbl>
      <w:tblPr>
        <w:tblW w:w="92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40"/>
        <w:gridCol w:w="1840"/>
        <w:gridCol w:w="1840"/>
        <w:gridCol w:w="1840"/>
        <w:gridCol w:w="1840"/>
      </w:tblGrid>
      <w:tr>
        <w:trPr>
          <w:tblHeader/>
        </w:trPr>
        <w:tc>
          <w:tcPr>
            <w:shd w:val="clear" w:color="auto" w:fill="D9E2F3"/>
            <w:vAlign w:val="center"/>
          </w:tcPr>
          <w:p>
            <w:pPr>
              <w:jc w:val="center"/>
              <w:spacing w:after="40" w:line="276" w:lineRule="auto"/>
            </w:pPr>
            <w:r>
              <w:rPr>
                <w:b/>
              </w:rPr>
              <w:t xml:space="preserve">Paradigm</w:t>
            </w:r>
          </w:p>
        </w:tc>
        <w:tc>
          <w:tcPr>
            <w:shd w:val="clear" w:color="auto" w:fill="D9E2F3"/>
            <w:vAlign w:val="center"/>
          </w:tcPr>
          <w:p>
            <w:pPr>
              <w:jc w:val="center"/>
              <w:spacing w:after="40" w:line="276" w:lineRule="auto"/>
            </w:pPr>
            <w:r>
              <w:rPr>
                <w:b/>
              </w:rPr>
              <w:t xml:space="preserve">Core Principle</w:t>
            </w:r>
          </w:p>
        </w:tc>
        <w:tc>
          <w:tcPr>
            <w:shd w:val="clear" w:color="auto" w:fill="D9E2F3"/>
            <w:vAlign w:val="center"/>
          </w:tcPr>
          <w:p>
            <w:pPr>
              <w:jc w:val="center"/>
              <w:spacing w:after="40" w:line="276" w:lineRule="auto"/>
            </w:pPr>
            <w:r>
              <w:rPr>
                <w:b/>
              </w:rPr>
              <w:t xml:space="preserve">Data Needs</w:t>
            </w:r>
          </w:p>
        </w:tc>
        <w:tc>
          <w:tcPr>
            <w:shd w:val="clear" w:color="auto" w:fill="D9E2F3"/>
            <w:vAlign w:val="center"/>
          </w:tcPr>
          <w:p>
            <w:pPr>
              <w:jc w:val="center"/>
              <w:spacing w:after="40" w:line="276" w:lineRule="auto"/>
            </w:pPr>
            <w:r>
              <w:rPr>
                <w:b/>
              </w:rPr>
              <w:t xml:space="preserve">Interpretability</w:t>
            </w:r>
          </w:p>
        </w:tc>
        <w:tc>
          <w:tcPr>
            <w:shd w:val="clear" w:color="auto" w:fill="D9E2F3"/>
            <w:vAlign w:val="center"/>
          </w:tcPr>
          <w:p>
            <w:pPr>
              <w:jc w:val="center"/>
              <w:spacing w:after="40" w:line="276" w:lineRule="auto"/>
            </w:pPr>
            <w:r>
              <w:rPr>
                <w:b/>
              </w:rPr>
              <w:t xml:space="preserve">Representative Healthcare Use</w:t>
            </w:r>
          </w:p>
        </w:tc>
      </w:tr>
      <w:tr>
        <w:tc>
          <w:tcPr>
            <w:vAlign w:val="center"/>
          </w:tcPr>
          <w:p>
            <w:pPr>
              <w:spacing w:after="40" w:line="276" w:lineRule="auto"/>
            </w:pPr>
            <w:r>
              <w:t xml:space="preserve">Rule-based systems</w:t>
            </w:r>
          </w:p>
        </w:tc>
        <w:tc>
          <w:tcPr>
            <w:vAlign w:val="center"/>
          </w:tcPr>
          <w:p>
            <w:pPr>
              <w:spacing w:after="40" w:line="276" w:lineRule="auto"/>
            </w:pPr>
            <w:r>
              <w:t xml:space="preserve">Explicit expert-authored rules</w:t>
            </w:r>
          </w:p>
        </w:tc>
        <w:tc>
          <w:tcPr>
            <w:vAlign w:val="center"/>
          </w:tcPr>
          <w:p>
            <w:pPr>
              <w:spacing w:after="40" w:line="276" w:lineRule="auto"/>
            </w:pPr>
            <w:r>
              <w:t xml:space="preserve">Minimal</w:t>
            </w:r>
          </w:p>
        </w:tc>
        <w:tc>
          <w:tcPr>
            <w:vAlign w:val="center"/>
          </w:tcPr>
          <w:p>
            <w:pPr>
              <w:spacing w:after="40" w:line="276" w:lineRule="auto"/>
            </w:pPr>
            <w:r>
              <w:t xml:space="preserve">High</w:t>
            </w:r>
          </w:p>
        </w:tc>
        <w:tc>
          <w:tcPr>
            <w:vAlign w:val="center"/>
          </w:tcPr>
          <w:p>
            <w:pPr>
              <w:spacing w:after="40" w:line="276" w:lineRule="auto"/>
            </w:pPr>
            <w:r>
              <w:t xml:space="preserve">Drug interaction alerts</w:t>
            </w:r>
          </w:p>
        </w:tc>
      </w:tr>
      <w:tr>
        <w:tc>
          <w:tcPr>
            <w:vAlign w:val="center"/>
          </w:tcPr>
          <w:p>
            <w:pPr>
              <w:spacing w:after="40" w:line="276" w:lineRule="auto"/>
            </w:pPr>
            <w:r>
              <w:t xml:space="preserve">Classical machine learning</w:t>
            </w:r>
          </w:p>
        </w:tc>
        <w:tc>
          <w:tcPr>
            <w:vAlign w:val="center"/>
          </w:tcPr>
          <w:p>
            <w:pPr>
              <w:spacing w:after="40" w:line="276" w:lineRule="auto"/>
            </w:pPr>
            <w:r>
              <w:t xml:space="preserve">Statistical learning from features</w:t>
            </w:r>
          </w:p>
        </w:tc>
        <w:tc>
          <w:tcPr>
            <w:vAlign w:val="center"/>
          </w:tcPr>
          <w:p>
            <w:pPr>
              <w:spacing w:after="40" w:line="276" w:lineRule="auto"/>
            </w:pPr>
            <w:r>
              <w:t xml:space="preserve">Moderate</w:t>
            </w:r>
          </w:p>
        </w:tc>
        <w:tc>
          <w:tcPr>
            <w:vAlign w:val="center"/>
          </w:tcPr>
          <w:p>
            <w:pPr>
              <w:spacing w:after="40" w:line="276" w:lineRule="auto"/>
            </w:pPr>
            <w:r>
              <w:t xml:space="preserve">Moderate to high</w:t>
            </w:r>
          </w:p>
        </w:tc>
        <w:tc>
          <w:tcPr>
            <w:vAlign w:val="center"/>
          </w:tcPr>
          <w:p>
            <w:pPr>
              <w:spacing w:after="40" w:line="276" w:lineRule="auto"/>
            </w:pPr>
            <w:r>
              <w:t xml:space="preserve">Readmission risk scoring</w:t>
            </w:r>
          </w:p>
        </w:tc>
      </w:tr>
      <w:tr>
        <w:tc>
          <w:tcPr>
            <w:vAlign w:val="center"/>
          </w:tcPr>
          <w:p>
            <w:pPr>
              <w:spacing w:after="40" w:line="276" w:lineRule="auto"/>
            </w:pPr>
            <w:r>
              <w:t xml:space="preserve">Deep learning</w:t>
            </w:r>
          </w:p>
        </w:tc>
        <w:tc>
          <w:tcPr>
            <w:vAlign w:val="center"/>
          </w:tcPr>
          <w:p>
            <w:pPr>
              <w:spacing w:after="40" w:line="276" w:lineRule="auto"/>
            </w:pPr>
            <w:r>
              <w:t xml:space="preserve">Hierarchical representation learning</w:t>
            </w:r>
          </w:p>
        </w:tc>
        <w:tc>
          <w:tcPr>
            <w:vAlign w:val="center"/>
          </w:tcPr>
          <w:p>
            <w:pPr>
              <w:spacing w:after="40" w:line="276" w:lineRule="auto"/>
            </w:pPr>
            <w:r>
              <w:t xml:space="preserve">Large</w:t>
            </w:r>
          </w:p>
        </w:tc>
        <w:tc>
          <w:tcPr>
            <w:vAlign w:val="center"/>
          </w:tcPr>
          <w:p>
            <w:pPr>
              <w:spacing w:after="40" w:line="276" w:lineRule="auto"/>
            </w:pPr>
            <w:r>
              <w:t xml:space="preserve">Low</w:t>
            </w:r>
          </w:p>
        </w:tc>
        <w:tc>
          <w:tcPr>
            <w:vAlign w:val="center"/>
          </w:tcPr>
          <w:p>
            <w:pPr>
              <w:spacing w:after="40" w:line="276" w:lineRule="auto"/>
            </w:pPr>
            <w:r>
              <w:t xml:space="preserve">Medical image analysis</w:t>
            </w:r>
          </w:p>
        </w:tc>
      </w:tr>
      <w:tr>
        <w:tc>
          <w:tcPr>
            <w:vAlign w:val="center"/>
          </w:tcPr>
          <w:p>
            <w:pPr>
              <w:spacing w:after="40" w:line="276" w:lineRule="auto"/>
            </w:pPr>
            <w:r>
              <w:t xml:space="preserve">Generative AI</w:t>
            </w:r>
          </w:p>
        </w:tc>
        <w:tc>
          <w:tcPr>
            <w:vAlign w:val="center"/>
          </w:tcPr>
          <w:p>
            <w:pPr>
              <w:spacing w:after="40" w:line="276" w:lineRule="auto"/>
            </w:pPr>
            <w:r>
              <w:t xml:space="preserve">Modeling data distributions to create content</w:t>
            </w:r>
          </w:p>
        </w:tc>
        <w:tc>
          <w:tcPr>
            <w:vAlign w:val="center"/>
          </w:tcPr>
          <w:p>
            <w:pPr>
              <w:spacing w:after="40" w:line="276" w:lineRule="auto"/>
            </w:pPr>
            <w:r>
              <w:t xml:space="preserve">Very large</w:t>
            </w:r>
          </w:p>
        </w:tc>
        <w:tc>
          <w:tcPr>
            <w:vAlign w:val="center"/>
          </w:tcPr>
          <w:p>
            <w:pPr>
              <w:spacing w:after="40" w:line="276" w:lineRule="auto"/>
            </w:pPr>
            <w:r>
              <w:t xml:space="preserve">Low</w:t>
            </w:r>
          </w:p>
        </w:tc>
        <w:tc>
          <w:tcPr>
            <w:vAlign w:val="center"/>
          </w:tcPr>
          <w:p>
            <w:pPr>
              <w:spacing w:after="40" w:line="276" w:lineRule="auto"/>
            </w:pPr>
            <w:r>
              <w:t xml:space="preserve">Synthetic data, drafting notes</w:t>
            </w:r>
          </w:p>
        </w:tc>
      </w:tr>
    </w:tbl>
    <w:p>
      <w:pPr>
        <w:spacing w:after="120"/>
      </w:pPr>
    </w:p>
    <w:p>
      <w:pPr>
        <w:pStyle w:val="Normal"/>
      </w:pPr>
      <w:r>
        <w:t xml:space="preserve">As shown in Table 1, the progression from rule-based systems toward generative approaches involves a general trade-off in which increasing representational power and data appetite are accompanied by declining transparency. This trade-off is central to responsible adoption, because clinical accountability requires that the basis for automated recommendations remain, at least in principle, auditable [8]. The tension between predictive performance and interpretability recurs throughout this chapter and represents one of the defining challenges of healthcare AI.</w:t>
      </w:r>
    </w:p>
    <w:p>
      <w:pPr>
        <w:pStyle w:val="Heading2"/>
      </w:pPr>
      <w:r>
        <w:t xml:space="preserve">2.1.3 The Machine Learning Workflow</w:t>
      </w:r>
    </w:p>
    <w:p>
      <w:pPr>
        <w:pStyle w:val="Normal"/>
      </w:pPr>
      <w:r>
        <w:t xml:space="preserve">Regardless of the specific paradigm employed, the development of a machine learning system for healthcare follows a recognizable workflow. It begins with problem formulation, in which a clinical question is translated into a computational task with a defined input, output, and success criterion [9]. This stage is deceptively difficult; many failed projects can be traced to a mismatch between the modeled task and the actual clinical need. The subsequent stages comprise data acquisition and curation, feature engineering or representation learning, model selection and training, evaluation, and deployment with ongoing monitoring [10].</w:t>
      </w:r>
    </w:p>
    <w:p>
      <w:pPr>
        <w:pStyle w:val="Normal"/>
      </w:pPr>
      <w:r>
        <w:t xml:space="preserve">Data curation deserves particular emphasis because the quality of any learned model is bounded by the quality of the data on which it is trained. Healthcare data are notoriously heterogeneous, arising from electronic health records, imaging archives, laboratory systems, wearable sensors, and genomic assays, each with distinct formats, error profiles, and biases [11]. Missing values, inconsistent coding practices, and the underrepresentation of certain patient populations can all undermine model validity. The principle frequently summarized as "garbage in, garbage out" applies with special force in medicine, where subtle data artifacts can produce clinically dangerous errors [12]. Figure 1 illustrates the iterative nature of this workflow, emphasizing the feedback loops between evaluation and earlier stages.</w:t>
      </w:r>
    </w:p>
    <w:p>
      <w:pPr>
        <w:pStyle w:val="ImagePara"/>
      </w:pPr>
      <w:r>
        <w:drawing>
          <wp:inline xmlns:wp="http://schemas.openxmlformats.org/drawingml/2006/wordprocessingDrawing" distT="0" distB="0" distL="0" distR="0">
            <wp:extent cx="5486400" cy="3392905"/>
            <wp:docPr id="100" name="Figure 1"/>
            <a:graphic xmlns:a="http://schemas.openxmlformats.org/drawingml/2006/main">
              <a:graphicData uri="http://schemas.openxmlformats.org/drawingml/2006/picture">
                <pic:pic xmlns:pic="http://schemas.openxmlformats.org/drawingml/2006/picture">
                  <pic:nvPicPr>
                    <pic:cNvPr id="100" name="Figure 1"/>
                    <pic:cNvPicPr/>
                  </pic:nvPicPr>
                  <pic:blipFill>
                    <a:blip xmlns:r="http://schemas.openxmlformats.org/officeDocument/2006/relationships" r:embed="rId100"/>
                    <a:stretch>
                      <a:fillRect/>
                    </a:stretch>
                  </pic:blipFill>
                  <pic:spPr>
                    <a:xfrm>
                      <a:off x="0" y="0"/>
                      <a:ext cx="5486400" cy="3392905"/>
                    </a:xfrm>
                    <a:prstGeom prst="rect">
                      <a:avLst/>
                    </a:prstGeom>
                  </pic:spPr>
                </pic:pic>
              </a:graphicData>
            </a:graphic>
          </wp:inline>
        </w:drawing>
      </w:r>
    </w:p>
    <w:p>
      <w:pPr>
        <w:pStyle w:val="Caption"/>
      </w:pPr>
      <w:r>
        <w:t xml:space="preserve">Figure 1. The iterative machine learning workflow for healthcare applications, from problem formulation through deployment and monitoring.</w:t>
      </w:r>
    </w:p>
    <w:p>
      <w:pPr>
        <w:pStyle w:val="Normal"/>
      </w:pPr>
      <w:r>
        <w:t xml:space="preserve">An essential feature of the workflow depicted in Figure 1 is that it is not linear but cyclical. Model deployment is not an endpoint but the beginning of a monitoring phase in which performance is continually assessed against real-world outcomes, and in which drift—the gradual divergence between the data seen during training and the data encountered in production—must be detected and corrected [13]. This lifecycle perspective distinguishes mature healthcare AI practice from one-time academic exercises and aligns with emerging regulatory expectations for continuous oversight of adaptive systems [14].</w:t>
      </w:r>
    </w:p>
    <w:p>
      <w:pPr>
        <w:pStyle w:val="Heading2"/>
      </w:pPr>
      <w:r>
        <w:t xml:space="preserve">2.1.4 Data Representation and Feature Engineering</w:t>
      </w:r>
    </w:p>
    <w:p>
      <w:pPr>
        <w:pStyle w:val="Normal"/>
      </w:pPr>
      <w:r>
        <w:t xml:space="preserve">Before an algorithm can learn, clinical information must be represented in a form amenable to computation. For structured data such as laboratory results or vital signs, this representation is relatively straightforward, consisting of numerical vectors in which each dimension corresponds to a measured variable. For unstructured data such as free-text clinical notes, radiographic images, or physiological waveforms, the representation problem is far more challenging and historically required substantial human effort in the form of feature engineering [15]. A feature is a measurable property of the phenomenon being modeled; feature engineering is the craft of designing informative features from raw data.</w:t>
      </w:r>
    </w:p>
    <w:p>
      <w:pPr>
        <w:pStyle w:val="Normal"/>
      </w:pPr>
      <w:r>
        <w:t xml:space="preserve">In classical machine learning, domain experts might handcraft features such as the ratio of two laboratory values, the presence of specific keywords in a note, or texture descriptors computed from an image region [16]. The advent of deep learning shifted much of this burden from human designers to the algorithm itself, which learns useful representations directly from raw inputs. This capacity for automatic representation learning is one of the principal reasons deep learning has proven so powerful in domains such as medical imaging, where relevant features are difficult to articulate explicitly [17]. Nevertheless, thoughtful feature engineering retains value, particularly when data are limited or when interpretability is paramount, and the two approaches are often combined in practice [18].</w:t>
      </w:r>
    </w:p>
    <w:p>
      <w:pPr>
        <w:pStyle w:val="Heading2"/>
      </w:pPr>
      <w:r>
        <w:t xml:space="preserve">2.1.5 Overfitting, Generalization, and Validation</w:t>
      </w:r>
    </w:p>
    <w:p>
      <w:pPr>
        <w:pStyle w:val="Normal"/>
      </w:pPr>
      <w:r>
        <w:t xml:space="preserve">A central concern in all of machine learning, and one with acute clinical implications, is the distinction between memorization and generalization. A model that performs excellently on the data used to train it but poorly on new patients has overfit—it has learned idiosyncrasies of the training set rather than genuine underlying patterns [19]. Because the value of a clinical model lies entirely in its performance on future, unseen patients, guarding against overfitting is paramount. The standard defense is rigorous validation, in which data are partitioned so that model performance is estimated on examples not used during training [20].</w:t>
      </w:r>
    </w:p>
    <w:p>
      <w:pPr>
        <w:pStyle w:val="Normal"/>
      </w:pPr>
      <w:r>
        <w:t xml:space="preserve">The most robust validation involves external validation on data from institutions, populations, or time periods distinct from those used for development. Numerous published models have exhibited impressive internal performance only to degrade substantially when applied elsewhere, a phenomenon attributable to differences in patient demographics, equipment, and clinical practice [21]. This fragility underscores why regulatory bodies and journals increasingly require external validation before a model is considered credible. Techniques such as cross-validation, regularization, and early stopping all serve to promote generalization, but none substitute for evaluation on genuinely independent data [22].</w:t>
      </w:r>
    </w:p>
    <w:p>
      <w:pPr>
        <w:pStyle w:val="Normal"/>
      </w:pPr>
      <w:r>
        <w:t xml:space="preserve">The concept of the bias-variance trade-off provides a useful lens through which to understand overfitting and its remedies. A model with high bias makes strong simplifying assumptions and tends to underfit, failing to capture the true complexity of the relationship between inputs and outputs; a model with high variance is excessively sensitive to the particulars of its training data and tends to overfit. The art of model selection consists in navigating between these extremes to find a level of complexity commensurate with the amount and quality of available data. In healthcare, where datasets are frequently modest in size relative to the dimensionality of the data—particularly in genomics and imaging—the danger of high variance is ever-present, and practitioners often favor simpler, more heavily regularized models than they might in data-rich domains such as consumer technology. This preference is reinforced by the clinical premium placed on stability and reproducibility, qualities that erratic, overfit models conspicuously lack.</w:t>
      </w:r>
    </w:p>
    <w:p>
      <w:pPr>
        <w:pStyle w:val="Heading2"/>
      </w:pPr>
      <w:r>
        <w:t xml:space="preserve">2.1.6 Data Governance, Privacy, and Ethical Foundations</w:t>
      </w:r>
    </w:p>
    <w:p>
      <w:pPr>
        <w:pStyle w:val="Normal"/>
      </w:pPr>
      <w:r>
        <w:t xml:space="preserve">No discussion of the fundamentals of healthcare AI would be complete without attention to the governance of the data upon which these systems depend. Health data are among the most sensitive categories of personal information, and their use for the training of machine learning models is circumscribed by a dense framework of legal, ethical, and institutional obligations. Regulations governing the protection of health information impose strict requirements on how patient data may be collected, stored, shared, and processed, and any AI initiative must be designed from the outset to comply with these requirements rather than treating privacy as an afterthought. Techniques such as de-identification, in which direct identifiers are removed, offer partial protection but are not infallible, as sophisticated re-identification attacks have demonstrated the possibility of linking ostensibly anonymous records to individuals.</w:t>
      </w:r>
    </w:p>
    <w:p>
      <w:pPr>
        <w:pStyle w:val="Normal"/>
      </w:pPr>
      <w:r>
        <w:t xml:space="preserve">More advanced privacy-preserving methods have consequently attracted growing interest. Federated learning enables models to be trained across multiple institutions without the raw data ever leaving their home sites, with only model updates rather than patient records being exchanged. Differential privacy provides mathematical guarantees that the inclusion or exclusion of any single individual's data cannot be discerned from the model's outputs, at some cost to accuracy. These techniques, while not without limitations, represent important tools for reconciling the data hunger of modern machine learning with the ethical imperative to protect patient confidentiality. Beyond privacy, the ethical foundations of healthcare AI encompass questions of consent, transparency, accountability, and justice, all of which must inform the design of systems intended for clinical use. The recognition that technical excellence alone is insufficient—that a model must also be fair, explicable, and deployed within a framework of clear human responsibility—represents one of the most important maturations of the field.</w:t>
      </w:r>
    </w:p>
    <w:p>
      <w:pPr>
        <w:pStyle w:val="Heading1"/>
      </w:pPr>
      <w:r>
        <w:t xml:space="preserve">2.2 Supervised, Unsupervised, and Reinforcement Learning</w:t>
      </w:r>
    </w:p>
    <w:p>
      <w:pPr>
        <w:pStyle w:val="Heading2"/>
      </w:pPr>
      <w:r>
        <w:t xml:space="preserve">2.2.1 The Three Paradigms of Learning</w:t>
      </w:r>
    </w:p>
    <w:p>
      <w:pPr>
        <w:pStyle w:val="Normal"/>
      </w:pPr>
      <w:r>
        <w:t xml:space="preserve">Machine learning is conventionally organized into three principal paradigms, distinguished by the nature of the feedback available to the learning algorithm. In supervised learning, the algorithm is trained on labeled examples, each consisting of an input paired with a known correct output, and its objective is to learn a mapping that generalizes to new inputs [23]. In unsupervised learning, the algorithm receives inputs without labels and must discover structure, patterns, or groupings within the data on its own. In reinforcement learning, an agent interacts with an environment over time, receiving rewards or penalties that guide it toward a policy maximizing cumulative benefit [24]. Each paradigm addresses distinct classes of healthcare problems, and understanding their respective strengths is essential to matching method to need. Table 2 provides a structured comparison.</w:t>
      </w:r>
    </w:p>
    <w:p>
      <w:pPr>
        <w:pStyle w:val="TableCap"/>
      </w:pPr>
      <w:r>
        <w:t xml:space="preserve">Table 2. Characteristics of the three principal machine learning paradigms in healthcare</w:t>
      </w:r>
    </w:p>
    <w:tbl>
      <w:tblPr>
        <w:tblW w:w="92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00"/>
        <w:gridCol w:w="2300"/>
        <w:gridCol w:w="2300"/>
        <w:gridCol w:w="2300"/>
      </w:tblGrid>
      <w:tr>
        <w:trPr>
          <w:tblHeader/>
        </w:trPr>
        <w:tc>
          <w:tcPr>
            <w:shd w:val="clear" w:color="auto" w:fill="D9E2F3"/>
            <w:vAlign w:val="center"/>
          </w:tcPr>
          <w:p>
            <w:pPr>
              <w:jc w:val="center"/>
              <w:spacing w:after="40" w:line="276" w:lineRule="auto"/>
            </w:pPr>
            <w:r>
              <w:rPr>
                <w:b/>
              </w:rPr>
              <w:t xml:space="preserve">Attribute</w:t>
            </w:r>
          </w:p>
        </w:tc>
        <w:tc>
          <w:tcPr>
            <w:shd w:val="clear" w:color="auto" w:fill="D9E2F3"/>
            <w:vAlign w:val="center"/>
          </w:tcPr>
          <w:p>
            <w:pPr>
              <w:jc w:val="center"/>
              <w:spacing w:after="40" w:line="276" w:lineRule="auto"/>
            </w:pPr>
            <w:r>
              <w:rPr>
                <w:b/>
              </w:rPr>
              <w:t xml:space="preserve">Supervised Learning</w:t>
            </w:r>
          </w:p>
        </w:tc>
        <w:tc>
          <w:tcPr>
            <w:shd w:val="clear" w:color="auto" w:fill="D9E2F3"/>
            <w:vAlign w:val="center"/>
          </w:tcPr>
          <w:p>
            <w:pPr>
              <w:jc w:val="center"/>
              <w:spacing w:after="40" w:line="276" w:lineRule="auto"/>
            </w:pPr>
            <w:r>
              <w:rPr>
                <w:b/>
              </w:rPr>
              <w:t xml:space="preserve">Unsupervised Learning</w:t>
            </w:r>
          </w:p>
        </w:tc>
        <w:tc>
          <w:tcPr>
            <w:shd w:val="clear" w:color="auto" w:fill="D9E2F3"/>
            <w:vAlign w:val="center"/>
          </w:tcPr>
          <w:p>
            <w:pPr>
              <w:jc w:val="center"/>
              <w:spacing w:after="40" w:line="276" w:lineRule="auto"/>
            </w:pPr>
            <w:r>
              <w:rPr>
                <w:b/>
              </w:rPr>
              <w:t xml:space="preserve">Reinforcement Learning</w:t>
            </w:r>
          </w:p>
        </w:tc>
      </w:tr>
      <w:tr>
        <w:tc>
          <w:tcPr>
            <w:vAlign w:val="center"/>
          </w:tcPr>
          <w:p>
            <w:pPr>
              <w:spacing w:after="40" w:line="276" w:lineRule="auto"/>
            </w:pPr>
            <w:r>
              <w:t xml:space="preserve">Training signal</w:t>
            </w:r>
          </w:p>
        </w:tc>
        <w:tc>
          <w:tcPr>
            <w:vAlign w:val="center"/>
          </w:tcPr>
          <w:p>
            <w:pPr>
              <w:spacing w:after="40" w:line="276" w:lineRule="auto"/>
            </w:pPr>
            <w:r>
              <w:t xml:space="preserve">Labeled input-output pairs</w:t>
            </w:r>
          </w:p>
        </w:tc>
        <w:tc>
          <w:tcPr>
            <w:vAlign w:val="center"/>
          </w:tcPr>
          <w:p>
            <w:pPr>
              <w:spacing w:after="40" w:line="276" w:lineRule="auto"/>
            </w:pPr>
            <w:r>
              <w:t xml:space="preserve">Unlabeled data only</w:t>
            </w:r>
          </w:p>
        </w:tc>
        <w:tc>
          <w:tcPr>
            <w:vAlign w:val="center"/>
          </w:tcPr>
          <w:p>
            <w:pPr>
              <w:spacing w:after="40" w:line="276" w:lineRule="auto"/>
            </w:pPr>
            <w:r>
              <w:t xml:space="preserve">Reward from environment</w:t>
            </w:r>
          </w:p>
        </w:tc>
      </w:tr>
      <w:tr>
        <w:tc>
          <w:tcPr>
            <w:vAlign w:val="center"/>
          </w:tcPr>
          <w:p>
            <w:pPr>
              <w:spacing w:after="40" w:line="276" w:lineRule="auto"/>
            </w:pPr>
            <w:r>
              <w:t xml:space="preserve">Primary goal</w:t>
            </w:r>
          </w:p>
        </w:tc>
        <w:tc>
          <w:tcPr>
            <w:vAlign w:val="center"/>
          </w:tcPr>
          <w:p>
            <w:pPr>
              <w:spacing w:after="40" w:line="276" w:lineRule="auto"/>
            </w:pPr>
            <w:r>
              <w:t xml:space="preserve">Prediction and classification</w:t>
            </w:r>
          </w:p>
        </w:tc>
        <w:tc>
          <w:tcPr>
            <w:vAlign w:val="center"/>
          </w:tcPr>
          <w:p>
            <w:pPr>
              <w:spacing w:after="40" w:line="276" w:lineRule="auto"/>
            </w:pPr>
            <w:r>
              <w:t xml:space="preserve">Pattern and structure discovery</w:t>
            </w:r>
          </w:p>
        </w:tc>
        <w:tc>
          <w:tcPr>
            <w:vAlign w:val="center"/>
          </w:tcPr>
          <w:p>
            <w:pPr>
              <w:spacing w:after="40" w:line="276" w:lineRule="auto"/>
            </w:pPr>
            <w:r>
              <w:t xml:space="preserve">Optimal sequential decisions</w:t>
            </w:r>
          </w:p>
        </w:tc>
      </w:tr>
      <w:tr>
        <w:tc>
          <w:tcPr>
            <w:vAlign w:val="center"/>
          </w:tcPr>
          <w:p>
            <w:pPr>
              <w:spacing w:after="40" w:line="276" w:lineRule="auto"/>
            </w:pPr>
            <w:r>
              <w:t xml:space="preserve">Typical output</w:t>
            </w:r>
          </w:p>
        </w:tc>
        <w:tc>
          <w:tcPr>
            <w:vAlign w:val="center"/>
          </w:tcPr>
          <w:p>
            <w:pPr>
              <w:spacing w:after="40" w:line="276" w:lineRule="auto"/>
            </w:pPr>
            <w:r>
              <w:t xml:space="preserve">Diagnosis, risk score</w:t>
            </w:r>
          </w:p>
        </w:tc>
        <w:tc>
          <w:tcPr>
            <w:vAlign w:val="center"/>
          </w:tcPr>
          <w:p>
            <w:pPr>
              <w:spacing w:after="40" w:line="276" w:lineRule="auto"/>
            </w:pPr>
            <w:r>
              <w:t xml:space="preserve">Patient subgroups, anomalies</w:t>
            </w:r>
          </w:p>
        </w:tc>
        <w:tc>
          <w:tcPr>
            <w:vAlign w:val="center"/>
          </w:tcPr>
          <w:p>
            <w:pPr>
              <w:spacing w:after="40" w:line="276" w:lineRule="auto"/>
            </w:pPr>
            <w:r>
              <w:t xml:space="preserve">Treatment or dosing policy</w:t>
            </w:r>
          </w:p>
        </w:tc>
      </w:tr>
      <w:tr>
        <w:tc>
          <w:tcPr>
            <w:vAlign w:val="center"/>
          </w:tcPr>
          <w:p>
            <w:pPr>
              <w:spacing w:after="40" w:line="276" w:lineRule="auto"/>
            </w:pPr>
            <w:r>
              <w:t xml:space="preserve">Key challenge</w:t>
            </w:r>
          </w:p>
        </w:tc>
        <w:tc>
          <w:tcPr>
            <w:vAlign w:val="center"/>
          </w:tcPr>
          <w:p>
            <w:pPr>
              <w:spacing w:after="40" w:line="276" w:lineRule="auto"/>
            </w:pPr>
            <w:r>
              <w:t xml:space="preserve">Obtaining quality labels</w:t>
            </w:r>
          </w:p>
        </w:tc>
        <w:tc>
          <w:tcPr>
            <w:vAlign w:val="center"/>
          </w:tcPr>
          <w:p>
            <w:pPr>
              <w:spacing w:after="40" w:line="276" w:lineRule="auto"/>
            </w:pPr>
            <w:r>
              <w:t xml:space="preserve">Validating discovered structure</w:t>
            </w:r>
          </w:p>
        </w:tc>
        <w:tc>
          <w:tcPr>
            <w:vAlign w:val="center"/>
          </w:tcPr>
          <w:p>
            <w:pPr>
              <w:spacing w:after="40" w:line="276" w:lineRule="auto"/>
            </w:pPr>
            <w:r>
              <w:t xml:space="preserve">Safe exploration, reward design</w:t>
            </w:r>
          </w:p>
        </w:tc>
      </w:tr>
      <w:tr>
        <w:tc>
          <w:tcPr>
            <w:vAlign w:val="center"/>
          </w:tcPr>
          <w:p>
            <w:pPr>
              <w:spacing w:after="40" w:line="276" w:lineRule="auto"/>
            </w:pPr>
            <w:r>
              <w:t xml:space="preserve">Healthcare example</w:t>
            </w:r>
          </w:p>
        </w:tc>
        <w:tc>
          <w:tcPr>
            <w:vAlign w:val="center"/>
          </w:tcPr>
          <w:p>
            <w:pPr>
              <w:spacing w:after="40" w:line="276" w:lineRule="auto"/>
            </w:pPr>
            <w:r>
              <w:t xml:space="preserve">Tumor detection in imaging</w:t>
            </w:r>
          </w:p>
        </w:tc>
        <w:tc>
          <w:tcPr>
            <w:vAlign w:val="center"/>
          </w:tcPr>
          <w:p>
            <w:pPr>
              <w:spacing w:after="40" w:line="276" w:lineRule="auto"/>
            </w:pPr>
            <w:r>
              <w:t xml:space="preserve">Disease subtyping from omics</w:t>
            </w:r>
          </w:p>
        </w:tc>
        <w:tc>
          <w:tcPr>
            <w:vAlign w:val="center"/>
          </w:tcPr>
          <w:p>
            <w:pPr>
              <w:spacing w:after="40" w:line="276" w:lineRule="auto"/>
            </w:pPr>
            <w:r>
              <w:t xml:space="preserve">Adaptive insulin dosing</w:t>
            </w:r>
          </w:p>
        </w:tc>
      </w:tr>
    </w:tbl>
    <w:p>
      <w:pPr>
        <w:spacing w:after="120"/>
      </w:pPr>
    </w:p>
    <w:p>
      <w:pPr>
        <w:pStyle w:val="Normal"/>
      </w:pPr>
      <w:r>
        <w:t xml:space="preserve">As Table 2 makes clear, the three paradigms are not competing alternatives so much as complementary tools, each suited to a particular kind of question. The remainder of this section examines each in turn, with attention to representative algorithms and clinical applications.</w:t>
      </w:r>
    </w:p>
    <w:p>
      <w:pPr>
        <w:pStyle w:val="Heading2"/>
      </w:pPr>
      <w:r>
        <w:t xml:space="preserve">2.2.2 Supervised Learning</w:t>
      </w:r>
    </w:p>
    <w:p>
      <w:pPr>
        <w:pStyle w:val="Normal"/>
      </w:pPr>
      <w:r>
        <w:t xml:space="preserve">Supervised learning is by far the most widely applied paradigm in healthcare AI, because a great many clinical tasks can be framed as prediction from labeled examples [25]. When the output to be predicted is a discrete category—such as whether a lesion is benign or malignant—the task is classification. When the output is a continuous quantity—such as a patient's projected length of stay—the task is regression. In both cases, the algorithm learns from a dataset in which the correct answers are known, adjusting its internal parameters to minimize the discrepancy between its predictions and the true labels [26].</w:t>
      </w:r>
    </w:p>
    <w:p>
      <w:pPr>
        <w:pStyle w:val="Normal"/>
      </w:pPr>
      <w:r>
        <w:t xml:space="preserve">A diverse family of algorithms populates the supervised learning landscape. Logistic regression, despite its simplicity, remains a workhorse of clinical prediction owing to its interpretability and well-understood statistical properties [27]. Decision trees partition the feature space through a sequence of questions and offer intuitive, rule-like explanations, though individual trees tend to overfit. Ensemble methods such as random forests and gradient-boosted trees combine many weak learners to achieve high accuracy and have proven especially effective on the tabular data ubiquitous in electronic health records [28]. Support vector machines, which seek an optimal separating boundary between classes, were prominent before the deep learning era and remain useful for smaller datasets. Neural networks, discussed in detail in the following section, dominate tasks involving images, signals, and text [29].</w:t>
      </w:r>
    </w:p>
    <w:p>
      <w:pPr>
        <w:pStyle w:val="Normal"/>
      </w:pPr>
      <w:r>
        <w:t xml:space="preserve">The principal bottleneck in supervised learning is the acquisition of high-quality labels. In medicine, labels frequently require expert annotation—a radiologist marking tumor boundaries, a pathologist grading a biopsy—which is expensive, time-consuming, and subject to inter-observer variability [30]. Moreover, labels derived from clinical records may themselves be noisy or biased, reflecting historical patterns of care rather than ground truth. Strategies such as semi-supervised learning, which leverages abundant unlabeled data alongside limited labeled data, and active learning, which prioritizes the most informative examples for annotation, have been developed to mitigate this bottleneck [31]. Figure 2 depicts the conceptual difference between classification and regression tasks within the supervised framework.</w:t>
      </w:r>
    </w:p>
    <w:p>
      <w:pPr>
        <w:pStyle w:val="ImagePara"/>
      </w:pPr>
      <w:r>
        <w:drawing>
          <wp:inline xmlns:wp="http://schemas.openxmlformats.org/drawingml/2006/wordprocessingDrawing" distT="0" distB="0" distL="0" distR="0">
            <wp:extent cx="5486400" cy="3176336"/>
            <wp:docPr id="101" name="Figure 2"/>
            <a:graphic xmlns:a="http://schemas.openxmlformats.org/drawingml/2006/main">
              <a:graphicData uri="http://schemas.openxmlformats.org/drawingml/2006/picture">
                <pic:pic xmlns:pic="http://schemas.openxmlformats.org/drawingml/2006/picture">
                  <pic:nvPicPr>
                    <pic:cNvPr id="101" name="Figure 2"/>
                    <pic:cNvPicPr/>
                  </pic:nvPicPr>
                  <pic:blipFill>
                    <a:blip xmlns:r="http://schemas.openxmlformats.org/officeDocument/2006/relationships" r:embed="rId101"/>
                    <a:stretch>
                      <a:fillRect/>
                    </a:stretch>
                  </pic:blipFill>
                  <pic:spPr>
                    <a:xfrm>
                      <a:off x="0" y="0"/>
                      <a:ext cx="5486400" cy="3176336"/>
                    </a:xfrm>
                    <a:prstGeom prst="rect">
                      <a:avLst/>
                    </a:prstGeom>
                  </pic:spPr>
                </pic:pic>
              </a:graphicData>
            </a:graphic>
          </wp:inline>
        </w:drawing>
      </w:r>
    </w:p>
    <w:p>
      <w:pPr>
        <w:pStyle w:val="Caption"/>
      </w:pPr>
      <w:r>
        <w:t xml:space="preserve">Figure 2. Conceptual illustration of supervised learning, contrasting classification (assigning discrete categories) with regression (predicting continuous values).</w:t>
      </w:r>
    </w:p>
    <w:p>
      <w:pPr>
        <w:pStyle w:val="Normal"/>
      </w:pPr>
      <w:r>
        <w:t xml:space="preserve">The distinction visualized in Figure 2 has practical consequences for how models are evaluated. Classification performance is assessed with metrics such as sensitivity, specificity, and the area under the receiver operating characteristic curve, whereas regression performance is measured with quantities such as mean absolute error [32]. Selecting an evaluation metric appropriate to the clinical context is critical; for a screening test intended to rule out disease, high sensitivity may be paramount even at the cost of specificity, whereas for a confirmatory test the reverse may hold [33]. The choice of metric should therefore reflect the clinical consequences of different error types rather than being applied mechanically.</w:t>
      </w:r>
    </w:p>
    <w:p>
      <w:pPr>
        <w:pStyle w:val="Normal"/>
      </w:pPr>
      <w:r>
        <w:t xml:space="preserve">A further subtlety in the evaluation of supervised models concerns class imbalance, a condition endemic to medicine. Many clinically important events—an adverse drug reaction, an in-hospital cardiac arrest, a rare malignancy—occur in only a small fraction of patients, so that a naïve model predicting the majority outcome for every case could achieve deceptively high accuracy while remaining clinically useless. In such settings, accuracy is a misleading summary, and metrics that account for imbalance, such as the area under the precision-recall curve or measures that explicitly weight the minority class, provide a more faithful picture of performance. Calibration constitutes yet another dimension of evaluation frequently neglected in favor of discrimination. A well-calibrated model is one whose predicted probabilities correspond to observed frequencies; a model that assigns a risk of thirty percent to a group of patients should, if well calibrated, see the event occur in approximately thirty percent of them. Calibration is essential when predicted probabilities inform clinical decisions such as whether to initiate a preventive therapy, yet many high-performing discriminative models are poorly calibrated and require recalibration before deployment. The distinction between discrimination and calibration is one that clinicians evaluating AI tools must appreciate, since a model may excel at ranking patients by risk while systematically over- or under-estimating the absolute magnitude of that risk.</w:t>
      </w:r>
    </w:p>
    <w:p>
      <w:pPr>
        <w:pStyle w:val="Heading2"/>
      </w:pPr>
      <w:r>
        <w:t xml:space="preserve">2.2.3 Unsupervised Learning</w:t>
      </w:r>
    </w:p>
    <w:p>
      <w:pPr>
        <w:pStyle w:val="Normal"/>
      </w:pPr>
      <w:r>
        <w:t xml:space="preserve">Unsupervised learning addresses situations in which labeled data are unavailable and the goal is to uncover latent structure within a dataset. Two of its most important applications are clustering, which groups similar observations, and dimensionality reduction, which compresses high-dimensional data into a more manageable representation while preserving essential structure [34]. In healthcare, unsupervised methods have proven valuable for tasks that are inherently exploratory, such as identifying previously unrecognized subtypes of a disease.</w:t>
      </w:r>
    </w:p>
    <w:p>
      <w:pPr>
        <w:pStyle w:val="Normal"/>
      </w:pPr>
      <w:r>
        <w:t xml:space="preserve">Clustering algorithms such as k-means, hierarchical clustering, and density-based methods partition patients or samples into groups based on similarity, without any prior specification of what those groups should be [35]. Applied to genomic or proteomic data, clustering has revealed molecular subtypes of cancers that differ in prognosis and treatment response, informing the movement toward precision oncology. Applied to electronic health record data, it has identified phenotypic subgroups of complex conditions such as sepsis and heart failure that may benefit from tailored management [36]. The interpretive challenge, however, is substantial: because there is no ground truth, the clinical meaningfulness of discovered clusters must be established through subsequent validation against outcomes or biology [37].</w:t>
      </w:r>
    </w:p>
    <w:p>
      <w:pPr>
        <w:pStyle w:val="Normal"/>
      </w:pPr>
      <w:r>
        <w:t xml:space="preserve">Dimensionality reduction techniques such as principal component analysis and more recent nonlinear methods enable the visualization and analysis of data with hundreds or thousands of variables, as commonly arise in genomics and high-content imaging [38]. By projecting such data into two or three dimensions, these methods allow researchers to perceive relationships that would otherwise remain hidden, and they frequently serve as a preprocessing step for supervised models. Anomaly detection, a further application of unsupervised learning, identifies observations that deviate markedly from the norm and has been applied to flag unusual physiological patterns, detect fraudulent claims, and monitor the integrity of streaming sensor data [39]. Because anomalies are by definition rare and diverse, they are often impossible to label comprehensively in advance, which makes the unsupervised framing natural.</w:t>
      </w:r>
    </w:p>
    <w:p>
      <w:pPr>
        <w:pStyle w:val="Normal"/>
      </w:pPr>
      <w:r>
        <w:t xml:space="preserve">A particularly consequential healthcare application of unsupervised learning is computational phenotyping, the process of deriving clinically meaningful patient categories directly from data rather than from predefined diagnostic criteria. Traditional disease definitions, codified in classification systems developed over decades, often group together patients who are biologically heterogeneous and separate patients who are biologically similar. Unsupervised analysis of rich electronic health record and molecular data can reveal a more granular and mechanistically grounded taxonomy, identifying subgroups that respond differently to therapy or that follow distinct clinical trajectories. Such data-driven phenotyping has begun to reshape the understanding of conditions ranging from asthma and diabetes to critical illness, and it exemplifies the exploratory power of learning without labels. The essential caveat, reiterated across the literature, is that statistical distinctiveness does not guarantee clinical relevance; a cluster is only as valuable as its demonstrated association with outcomes, biology, or treatment response, and rigorous downstream validation is indispensable. Unsupervised learning, in this sense, is best understood as a hypothesis-generating engine rather than a source of definitive conclusions, producing candidate structures that must subsequently be scrutinized through the ordinary machinery of clinical and biological investigation.</w:t>
      </w:r>
    </w:p>
    <w:p>
      <w:pPr>
        <w:pStyle w:val="Heading2"/>
      </w:pPr>
      <w:r>
        <w:t xml:space="preserve">2.2.4 Reinforcement Learning</w:t>
      </w:r>
    </w:p>
    <w:p>
      <w:pPr>
        <w:pStyle w:val="Normal"/>
      </w:pPr>
      <w:r>
        <w:t xml:space="preserve">Reinforcement learning differs fundamentally from the preceding paradigms in that it concerns sequential decision-making under uncertainty. An agent observes the state of an environment, selects an action, and receives feedback in the form of a reward, gradually learning a policy that maximizes cumulative reward over time [40]. This framework maps naturally onto many clinical scenarios that unfold over time and involve a series of interdependent decisions, such as the titration of medication doses, the management of ventilator settings, or the design of adaptive treatment strategies for chronic disease [41].</w:t>
      </w:r>
    </w:p>
    <w:p>
      <w:pPr>
        <w:pStyle w:val="Normal"/>
      </w:pPr>
      <w:r>
        <w:t xml:space="preserve">The appeal of reinforcement learning in healthcare lies in its capacity to optimize long-term outcomes rather than immediate ones, accommodating the delayed and cumulative effects that characterize much of medicine. A dosing policy learned through reinforcement learning might, for instance, accept a small short-term deviation in a laboratory value in service of a superior long-term trajectory [42]. Research applications have explored reinforcement learning for sepsis management, anemia treatment in dialysis patients, and glucose control in intensive care, with several studies suggesting that learned policies could match or exceed conventional protocols in retrospective evaluation [43].</w:t>
      </w:r>
    </w:p>
    <w:p>
      <w:pPr>
        <w:pStyle w:val="Normal"/>
      </w:pPr>
      <w:r>
        <w:t xml:space="preserve">Nevertheless, the deployment of reinforcement learning in live clinical settings faces formidable obstacles. Chief among them is the problem of safe exploration: whereas a reinforcement learning agent playing a game may freely experiment with poor moves to learn from them, a clinical agent cannot ethically subject patients to harmful actions in order to discover their consequences [44]. Consequently, most healthcare reinforcement learning relies on offline learning from historical data, which introduces its own difficulties, since the historical data reflect only the actions actually taken and cannot reveal the outcomes of untried alternatives [45]. The specification of an appropriate reward function is likewise fraught, as an poorly chosen reward may induce a policy that optimizes a proxy at the expense of genuine patient welfare. For these reasons, reinforcement learning in medicine remains largely at the research stage, though its long-term potential is considerable [46].</w:t>
      </w:r>
    </w:p>
    <w:p>
      <w:pPr>
        <w:pStyle w:val="Normal"/>
      </w:pPr>
      <w:r>
        <w:t xml:space="preserve">The interaction between agent and environment that defines reinforcement learning is depicted schematically in Figure 4, which situates the paradigm within the broader landscape of learning approaches.</w:t>
      </w:r>
    </w:p>
    <w:p>
      <w:pPr>
        <w:pStyle w:val="ImagePara"/>
      </w:pPr>
      <w:r>
        <w:drawing>
          <wp:inline xmlns:wp="http://schemas.openxmlformats.org/drawingml/2006/wordprocessingDrawing" distT="0" distB="0" distL="0" distR="0">
            <wp:extent cx="5486400" cy="3104147"/>
            <wp:docPr id="102" name="Figure 4"/>
            <a:graphic xmlns:a="http://schemas.openxmlformats.org/drawingml/2006/main">
              <a:graphicData uri="http://schemas.openxmlformats.org/drawingml/2006/picture">
                <pic:pic xmlns:pic="http://schemas.openxmlformats.org/drawingml/2006/picture">
                  <pic:nvPicPr>
                    <pic:cNvPr id="102" name="Figure 4"/>
                    <pic:cNvPicPr/>
                  </pic:nvPicPr>
                  <pic:blipFill>
                    <a:blip xmlns:r="http://schemas.openxmlformats.org/officeDocument/2006/relationships" r:embed="rId102"/>
                    <a:stretch>
                      <a:fillRect/>
                    </a:stretch>
                  </pic:blipFill>
                  <pic:spPr>
                    <a:xfrm>
                      <a:off x="0" y="0"/>
                      <a:ext cx="5486400" cy="3104147"/>
                    </a:xfrm>
                    <a:prstGeom prst="rect">
                      <a:avLst/>
                    </a:prstGeom>
                  </pic:spPr>
                </pic:pic>
              </a:graphicData>
            </a:graphic>
          </wp:inline>
        </w:drawing>
      </w:r>
    </w:p>
    <w:p>
      <w:pPr>
        <w:pStyle w:val="Caption"/>
      </w:pPr>
      <w:r>
        <w:t xml:space="preserve">Figure 4. The reinforcement learning cycle in a clinical context, in which an agent observes the patient state, selects an action such as a treatment or dose, and updates its policy based on the resulting reward and new state.</w:t>
      </w:r>
    </w:p>
    <w:p>
      <w:pPr>
        <w:pStyle w:val="Normal"/>
      </w:pPr>
      <w:r>
        <w:t xml:space="preserve">As Figure 4 conveys, the defining feature of reinforcement learning is the closed loop in which the agent's actions alter the state of the environment, and those altered states in turn shape the subsequent observations and rewards that drive further learning. This feedback structure is what enables the optimization of long-horizon objectives but also what renders the paradigm so difficult to validate, since the counterfactual outcomes of alternative policies cannot be directly observed. A growing body of methodological work addresses this challenge through off-policy evaluation, a set of statistical techniques that attempt to estimate how a proposed policy would perform using data generated under a different policy. These methods, while imperfect, are essential to the responsible assessment of learned clinical policies before any consideration of prospective deployment, and their continued refinement is a prerequisite for the maturation of reinforcement learning from a research curiosity into a clinical instrument.</w:t>
      </w:r>
    </w:p>
    <w:p>
      <w:pPr>
        <w:pStyle w:val="Normal"/>
      </w:pPr>
      <w:r>
        <w:t xml:space="preserve">It is instructive to note that the boundaries among the three paradigms are less rigid in practice than the foregoing taxonomy might suggest. Semi-supervised learning blends labeled and unlabeled data; self-supervised learning, a variant that has become foundational to modern large models, generates its own training signal from the structure of unlabeled data, effectively converting an unsupervised problem into a supervised one. Hybrid systems that combine the strengths of multiple paradigms are increasingly common, and the most capable contemporary healthcare AI systems frequently integrate elements of all three. Appreciating the paradigms as points on a continuum, rather than as isolated categories, equips practitioners to select and combine methods flexibly according to the demands of the problem at hand.</w:t>
      </w:r>
    </w:p>
    <w:p>
      <w:pPr>
        <w:pStyle w:val="Heading1"/>
      </w:pPr>
      <w:r>
        <w:t xml:space="preserve">2.3 Deep Learning, Generative AI, and Large Language Models in Healthcare</w:t>
      </w:r>
    </w:p>
    <w:p>
      <w:pPr>
        <w:pStyle w:val="Heading2"/>
      </w:pPr>
      <w:r>
        <w:t xml:space="preserve">2.3.1 The Deep Learning Revolution</w:t>
      </w:r>
    </w:p>
    <w:p>
      <w:pPr>
        <w:pStyle w:val="Normal"/>
      </w:pPr>
      <w:r>
        <w:t xml:space="preserve">Deep learning denotes a family of machine learning methods based on artificial neural networks with multiple layers, which learn hierarchical representations of data. Although the underlying ideas date back decades, deep learning achieved prominence in the early 2010s, propelled by the confluence of large datasets, powerful graphics processing hardware, and algorithmic advances [47]. Its impact on healthcare has been most dramatic in domains involving perceptual data—images, signals, and text—where its ability to learn features automatically has enabled performance previously unattainable [1].</w:t>
      </w:r>
    </w:p>
    <w:p>
      <w:pPr>
        <w:pStyle w:val="Normal"/>
      </w:pPr>
      <w:r>
        <w:t xml:space="preserve">An artificial neural network consists of interconnected units, or neurons, organized into layers. Each connection carries a weight, and each neuron applies a nonlinear activation function to the weighted sum of its inputs. Through a process called backpropagation, the network adjusts its weights to reduce the discrepancy between its outputs and desired targets [2]. The depth of a network—the number of layers between input and output—allows it to compose simple features into progressively more abstract ones: in an image, early layers might detect edges, intermediate layers might detect textures and shapes, and later layers might recognize anatomical structures or pathological findings [3].</w:t>
      </w:r>
    </w:p>
    <w:p>
      <w:pPr>
        <w:pStyle w:val="Normal"/>
      </w:pPr>
      <w:r>
        <w:t xml:space="preserve">A crucial enabler of deep learning's success in healthcare, where labeled data are perennially scarce, is transfer learning. Rather than training a network from scratch—a process demanding enormous quantities of labeled data—practitioners frequently begin with a model pretrained on a large general dataset and then adapt it to the clinical task with a comparatively small amount of specialized data. This approach exploits the observation that the low-level features learned on generic images, such as edges and textures, are broadly useful across domains, so that only the higher, task-specific layers need substantial retraining. Transfer learning has democratized deep learning to a considerable degree, allowing institutions without vast datasets to build capable models, and it foreshadows the foundation-model paradigm that has come to dominate the field, in which a single large model pretrained on diverse data serves as a versatile substrate for numerous downstream applications.</w:t>
      </w:r>
    </w:p>
    <w:p>
      <w:pPr>
        <w:pStyle w:val="Normal"/>
      </w:pPr>
      <w:r>
        <w:t xml:space="preserve">Certain neural network architectures are specialized for particular data types. Convolutional neural networks, which exploit the spatial structure of images through shared local filters, have become the standard for medical image analysis, achieving expert-level performance in tasks such as detecting diabetic retinopathy, classifying skin lesions, and identifying findings on radiographs [4]. Recurrent neural networks and their successors were designed for sequential data such as physiological time series and clinical text. Table 3 summarizes the principal deep learning architectures and their healthcare applications.</w:t>
      </w:r>
    </w:p>
    <w:p>
      <w:pPr>
        <w:pStyle w:val="TableCap"/>
      </w:pPr>
      <w:r>
        <w:t xml:space="preserve">Table 3. Principal deep learning architectures and representative healthcare applications</w:t>
      </w:r>
    </w:p>
    <w:tbl>
      <w:tblPr>
        <w:tblW w:w="92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00"/>
        <w:gridCol w:w="2300"/>
        <w:gridCol w:w="2300"/>
        <w:gridCol w:w="2300"/>
      </w:tblGrid>
      <w:tr>
        <w:trPr>
          <w:tblHeader/>
        </w:trPr>
        <w:tc>
          <w:tcPr>
            <w:shd w:val="clear" w:color="auto" w:fill="D9E2F3"/>
            <w:vAlign w:val="center"/>
          </w:tcPr>
          <w:p>
            <w:pPr>
              <w:jc w:val="center"/>
              <w:spacing w:after="40" w:line="276" w:lineRule="auto"/>
            </w:pPr>
            <w:r>
              <w:rPr>
                <w:b/>
              </w:rPr>
              <w:t xml:space="preserve">Architecture</w:t>
            </w:r>
          </w:p>
        </w:tc>
        <w:tc>
          <w:tcPr>
            <w:shd w:val="clear" w:color="auto" w:fill="D9E2F3"/>
            <w:vAlign w:val="center"/>
          </w:tcPr>
          <w:p>
            <w:pPr>
              <w:jc w:val="center"/>
              <w:spacing w:after="40" w:line="276" w:lineRule="auto"/>
            </w:pPr>
            <w:r>
              <w:rPr>
                <w:b/>
              </w:rPr>
              <w:t xml:space="preserve">Data Type</w:t>
            </w:r>
          </w:p>
        </w:tc>
        <w:tc>
          <w:tcPr>
            <w:shd w:val="clear" w:color="auto" w:fill="D9E2F3"/>
            <w:vAlign w:val="center"/>
          </w:tcPr>
          <w:p>
            <w:pPr>
              <w:jc w:val="center"/>
              <w:spacing w:after="40" w:line="276" w:lineRule="auto"/>
            </w:pPr>
            <w:r>
              <w:rPr>
                <w:b/>
              </w:rPr>
              <w:t xml:space="preserve">Key Strength</w:t>
            </w:r>
          </w:p>
        </w:tc>
        <w:tc>
          <w:tcPr>
            <w:shd w:val="clear" w:color="auto" w:fill="D9E2F3"/>
            <w:vAlign w:val="center"/>
          </w:tcPr>
          <w:p>
            <w:pPr>
              <w:jc w:val="center"/>
              <w:spacing w:after="40" w:line="276" w:lineRule="auto"/>
            </w:pPr>
            <w:r>
              <w:rPr>
                <w:b/>
              </w:rPr>
              <w:t xml:space="preserve">Healthcare Application</w:t>
            </w:r>
          </w:p>
        </w:tc>
      </w:tr>
      <w:tr>
        <w:tc>
          <w:tcPr>
            <w:vAlign w:val="center"/>
          </w:tcPr>
          <w:p>
            <w:pPr>
              <w:spacing w:after="40" w:line="276" w:lineRule="auto"/>
            </w:pPr>
            <w:r>
              <w:t xml:space="preserve">Convolutional neural network</w:t>
            </w:r>
          </w:p>
        </w:tc>
        <w:tc>
          <w:tcPr>
            <w:vAlign w:val="center"/>
          </w:tcPr>
          <w:p>
            <w:pPr>
              <w:spacing w:after="40" w:line="276" w:lineRule="auto"/>
            </w:pPr>
            <w:r>
              <w:t xml:space="preserve">Images</w:t>
            </w:r>
          </w:p>
        </w:tc>
        <w:tc>
          <w:tcPr>
            <w:vAlign w:val="center"/>
          </w:tcPr>
          <w:p>
            <w:pPr>
              <w:spacing w:after="40" w:line="276" w:lineRule="auto"/>
            </w:pPr>
            <w:r>
              <w:t xml:space="preserve">Spatial feature learning</w:t>
            </w:r>
          </w:p>
        </w:tc>
        <w:tc>
          <w:tcPr>
            <w:vAlign w:val="center"/>
          </w:tcPr>
          <w:p>
            <w:pPr>
              <w:spacing w:after="40" w:line="276" w:lineRule="auto"/>
            </w:pPr>
            <w:r>
              <w:t xml:space="preserve">Radiology, pathology, dermatology</w:t>
            </w:r>
          </w:p>
        </w:tc>
      </w:tr>
      <w:tr>
        <w:tc>
          <w:tcPr>
            <w:vAlign w:val="center"/>
          </w:tcPr>
          <w:p>
            <w:pPr>
              <w:spacing w:after="40" w:line="276" w:lineRule="auto"/>
            </w:pPr>
            <w:r>
              <w:t xml:space="preserve">Recurrent network / LSTM</w:t>
            </w:r>
          </w:p>
        </w:tc>
        <w:tc>
          <w:tcPr>
            <w:vAlign w:val="center"/>
          </w:tcPr>
          <w:p>
            <w:pPr>
              <w:spacing w:after="40" w:line="276" w:lineRule="auto"/>
            </w:pPr>
            <w:r>
              <w:t xml:space="preserve">Sequences</w:t>
            </w:r>
          </w:p>
        </w:tc>
        <w:tc>
          <w:tcPr>
            <w:vAlign w:val="center"/>
          </w:tcPr>
          <w:p>
            <w:pPr>
              <w:spacing w:after="40" w:line="276" w:lineRule="auto"/>
            </w:pPr>
            <w:r>
              <w:t xml:space="preserve">Temporal dependency modeling</w:t>
            </w:r>
          </w:p>
        </w:tc>
        <w:tc>
          <w:tcPr>
            <w:vAlign w:val="center"/>
          </w:tcPr>
          <w:p>
            <w:pPr>
              <w:spacing w:after="40" w:line="276" w:lineRule="auto"/>
            </w:pPr>
            <w:r>
              <w:t xml:space="preserve">Vital sign monitoring, ECG analysis</w:t>
            </w:r>
          </w:p>
        </w:tc>
      </w:tr>
      <w:tr>
        <w:tc>
          <w:tcPr>
            <w:vAlign w:val="center"/>
          </w:tcPr>
          <w:p>
            <w:pPr>
              <w:spacing w:after="40" w:line="276" w:lineRule="auto"/>
            </w:pPr>
            <w:r>
              <w:t xml:space="preserve">Transformer</w:t>
            </w:r>
          </w:p>
        </w:tc>
        <w:tc>
          <w:tcPr>
            <w:vAlign w:val="center"/>
          </w:tcPr>
          <w:p>
            <w:pPr>
              <w:spacing w:after="40" w:line="276" w:lineRule="auto"/>
            </w:pPr>
            <w:r>
              <w:t xml:space="preserve">Sequences and images</w:t>
            </w:r>
          </w:p>
        </w:tc>
        <w:tc>
          <w:tcPr>
            <w:vAlign w:val="center"/>
          </w:tcPr>
          <w:p>
            <w:pPr>
              <w:spacing w:after="40" w:line="276" w:lineRule="auto"/>
            </w:pPr>
            <w:r>
              <w:t xml:space="preserve">Long-range attention</w:t>
            </w:r>
          </w:p>
        </w:tc>
        <w:tc>
          <w:tcPr>
            <w:vAlign w:val="center"/>
          </w:tcPr>
          <w:p>
            <w:pPr>
              <w:spacing w:after="40" w:line="276" w:lineRule="auto"/>
            </w:pPr>
            <w:r>
              <w:t xml:space="preserve">Clinical text, genomics, imaging</w:t>
            </w:r>
          </w:p>
        </w:tc>
      </w:tr>
      <w:tr>
        <w:tc>
          <w:tcPr>
            <w:vAlign w:val="center"/>
          </w:tcPr>
          <w:p>
            <w:pPr>
              <w:spacing w:after="40" w:line="276" w:lineRule="auto"/>
            </w:pPr>
            <w:r>
              <w:t xml:space="preserve">Autoencoder</w:t>
            </w:r>
          </w:p>
        </w:tc>
        <w:tc>
          <w:tcPr>
            <w:vAlign w:val="center"/>
          </w:tcPr>
          <w:p>
            <w:pPr>
              <w:spacing w:after="40" w:line="276" w:lineRule="auto"/>
            </w:pPr>
            <w:r>
              <w:t xml:space="preserve">Any</w:t>
            </w:r>
          </w:p>
        </w:tc>
        <w:tc>
          <w:tcPr>
            <w:vAlign w:val="center"/>
          </w:tcPr>
          <w:p>
            <w:pPr>
              <w:spacing w:after="40" w:line="276" w:lineRule="auto"/>
            </w:pPr>
            <w:r>
              <w:t xml:space="preserve">Compact representation learning</w:t>
            </w:r>
          </w:p>
        </w:tc>
        <w:tc>
          <w:tcPr>
            <w:vAlign w:val="center"/>
          </w:tcPr>
          <w:p>
            <w:pPr>
              <w:spacing w:after="40" w:line="276" w:lineRule="auto"/>
            </w:pPr>
            <w:r>
              <w:t xml:space="preserve">Anomaly detection, denoising</w:t>
            </w:r>
          </w:p>
        </w:tc>
      </w:tr>
      <w:tr>
        <w:tc>
          <w:tcPr>
            <w:vAlign w:val="center"/>
          </w:tcPr>
          <w:p>
            <w:pPr>
              <w:spacing w:after="40" w:line="276" w:lineRule="auto"/>
            </w:pPr>
            <w:r>
              <w:t xml:space="preserve">Generative adversarial network</w:t>
            </w:r>
          </w:p>
        </w:tc>
        <w:tc>
          <w:tcPr>
            <w:vAlign w:val="center"/>
          </w:tcPr>
          <w:p>
            <w:pPr>
              <w:spacing w:after="40" w:line="276" w:lineRule="auto"/>
            </w:pPr>
            <w:r>
              <w:t xml:space="preserve">Any</w:t>
            </w:r>
          </w:p>
        </w:tc>
        <w:tc>
          <w:tcPr>
            <w:vAlign w:val="center"/>
          </w:tcPr>
          <w:p>
            <w:pPr>
              <w:spacing w:after="40" w:line="276" w:lineRule="auto"/>
            </w:pPr>
            <w:r>
              <w:t xml:space="preserve">Realistic data synthesis</w:t>
            </w:r>
          </w:p>
        </w:tc>
        <w:tc>
          <w:tcPr>
            <w:vAlign w:val="center"/>
          </w:tcPr>
          <w:p>
            <w:pPr>
              <w:spacing w:after="40" w:line="276" w:lineRule="auto"/>
            </w:pPr>
            <w:r>
              <w:t xml:space="preserve">Synthetic imaging, data augmentation</w:t>
            </w:r>
          </w:p>
        </w:tc>
      </w:tr>
    </w:tbl>
    <w:p>
      <w:pPr>
        <w:spacing w:after="120"/>
      </w:pPr>
    </w:p>
    <w:p>
      <w:pPr>
        <w:pStyle w:val="Normal"/>
      </w:pPr>
      <w:r>
        <w:t xml:space="preserve">As indicated in Table 3, the transformer architecture has assumed a position of particular importance, having largely supplanted recurrent networks for sequential tasks and increasingly rivaling convolutional networks for imaging [5]. Its mechanism of attention, which allows the model to weigh the relevance of different parts of an input regardless of their distance from one another, underpins the large language models discussed later in this section [6].</w:t>
      </w:r>
    </w:p>
    <w:p>
      <w:pPr>
        <w:pStyle w:val="Heading2"/>
      </w:pPr>
      <w:r>
        <w:t xml:space="preserve">2.3.2 Medical Imaging and Diagnostic Applications</w:t>
      </w:r>
    </w:p>
    <w:p>
      <w:pPr>
        <w:pStyle w:val="Normal"/>
      </w:pPr>
      <w:r>
        <w:t xml:space="preserve">The most mature clinical applications of deep learning lie in medical imaging, where the field has moved from research demonstrations to regulatory-cleared products deployed in practice [7]. Convolutional neural networks now assist in the interpretation of mammograms, the detection of intracranial hemorrhage on computed tomography, the grading of diabetic retinopathy from fundus photographs, and the identification of malignant nodules on chest imaging [8]. In several controlled studies, these systems have matched or exceeded the accuracy of experienced specialists, and when used in a supporting role they can improve the consistency and efficiency of interpretation [9].</w:t>
      </w:r>
    </w:p>
    <w:p>
      <w:pPr>
        <w:pStyle w:val="Normal"/>
      </w:pPr>
      <w:r>
        <w:t xml:space="preserve">Beyond classification, deep learning performs image segmentation, delineating the precise boundaries of organs, tumors, and other structures, which is invaluable for surgical planning and radiation therapy [10]. It also enables image enhancement and reconstruction, reducing the radiation dose required for computed tomography or accelerating magnetic resonance acquisition without sacrificing diagnostic quality [11]. Digital pathology represents a further frontier, in which whole-slide images of enormous size are analyzed to detect and grade cancer, quantify biomarkers, and predict molecular features directly from tissue morphology [12]. Figure 3 provides a schematic overview of how a convolutional neural network processes a medical image to produce a diagnostic output.</w:t>
      </w:r>
    </w:p>
    <w:p>
      <w:pPr>
        <w:pStyle w:val="ImagePara"/>
      </w:pPr>
      <w:r>
        <w:drawing>
          <wp:inline xmlns:wp="http://schemas.openxmlformats.org/drawingml/2006/wordprocessingDrawing" distT="0" distB="0" distL="0" distR="0">
            <wp:extent cx="5486400" cy="2810107"/>
            <wp:docPr id="103" name="Figure 3"/>
            <a:graphic xmlns:a="http://schemas.openxmlformats.org/drawingml/2006/main">
              <a:graphicData uri="http://schemas.openxmlformats.org/drawingml/2006/picture">
                <pic:pic xmlns:pic="http://schemas.openxmlformats.org/drawingml/2006/picture">
                  <pic:nvPicPr>
                    <pic:cNvPr id="103" name="Figure 3"/>
                    <pic:cNvPicPr/>
                  </pic:nvPicPr>
                  <pic:blipFill>
                    <a:blip xmlns:r="http://schemas.openxmlformats.org/officeDocument/2006/relationships" r:embed="rId103"/>
                    <a:stretch>
                      <a:fillRect/>
                    </a:stretch>
                  </pic:blipFill>
                  <pic:spPr>
                    <a:xfrm>
                      <a:off x="0" y="0"/>
                      <a:ext cx="5486400" cy="2810107"/>
                    </a:xfrm>
                    <a:prstGeom prst="rect">
                      <a:avLst/>
                    </a:prstGeom>
                  </pic:spPr>
                </pic:pic>
              </a:graphicData>
            </a:graphic>
          </wp:inline>
        </w:drawing>
      </w:r>
    </w:p>
    <w:p>
      <w:pPr>
        <w:pStyle w:val="Caption"/>
      </w:pPr>
      <w:r>
        <w:t xml:space="preserve">Figure 3. Schematic representation of a convolutional neural network processing a medical image, showing the progression from raw pixels through feature-extracting layers to a diagnostic prediction.</w:t>
      </w:r>
    </w:p>
    <w:p>
      <w:pPr>
        <w:pStyle w:val="Normal"/>
      </w:pPr>
      <w:r>
        <w:t xml:space="preserve">The pipeline shown in Figure 3 underscores an important caveat: although deep learning models can achieve remarkable accuracy, their reasoning is not readily transparent, and they may rely on spurious correlations rather than clinically meaningful features [13]. A model might, for example, learn to detect disease from incidental markers such as the type of scanner used or the presence of surgical annotations, rather than from genuine pathology. Techniques for explainability, such as saliency maps that highlight the image regions most influential to a prediction, partially address this concern but do not fully resolve it, and the interpretability of deep models remains an active area of research and regulatory attention [14].</w:t>
      </w:r>
    </w:p>
    <w:p>
      <w:pPr>
        <w:pStyle w:val="Normal"/>
      </w:pPr>
      <w:r>
        <w:t xml:space="preserve">The practical value of deep learning in imaging derives not solely from raw accuracy but from its capacity to augment human workflows. In screening programs, where the volume of studies is vast and the prevalence of disease low, models can serve as a triage mechanism, prioritizing suspicious studies for prompt review and reassuring practitioners about clearly normal ones, thereby directing scarce expert attention where it is most needed. In settings where specialist expertise is scarce—rural clinics, low-resource health systems, or after-hours coverage—these systems can extend diagnostic capability to places and times where it would otherwise be unavailable, a prospect with significant implications for global health equity. Yet the realization of these benefits depends on careful attention to how the human and the machine interact. Automation bias, the tendency of humans to defer uncritically to machine recommendations, can lead clinicians to overlook errors that they would have caught unaided, while alert fatigue can cause them to disregard genuine warnings amid a torrent of false alarms. The design of the human-machine interface, and the definition of the respective roles of clinician and algorithm, are therefore as consequential to clinical outcomes as the accuracy of the underlying model, a lesson repeatedly underscored by the experience of deploying decision support in real settings.</w:t>
      </w:r>
    </w:p>
    <w:p>
      <w:pPr>
        <w:pStyle w:val="Normal"/>
      </w:pPr>
      <w:r>
        <w:t xml:space="preserve">A related development is the emergence of models that predict information not directly visible to the human eye. Deep learning systems have demonstrated the ability to infer molecular and genetic characteristics of tumors directly from routine histopathology slides, to estimate cardiovascular risk factors from retinal photographs, and to detect subtle physiological states from signals such as the electrocardiogram that had long been considered uninformative for those purposes. These capabilities, sometimes described as opportunistic or hidden-signal detection, illustrate that deep networks can extract patterns beyond the reach of unaided human perception. They also intensify the interpretability challenge, for when a model perceives what humans cannot, the ordinary means of verifying its reasoning through clinical inspection become unavailable, placing a correspondingly greater burden on rigorous empirical validation.</w:t>
      </w:r>
    </w:p>
    <w:p>
      <w:pPr>
        <w:pStyle w:val="Heading2"/>
      </w:pPr>
      <w:r>
        <w:t xml:space="preserve">2.3.3 Generative Artificial Intelligence</w:t>
      </w:r>
    </w:p>
    <w:p>
      <w:pPr>
        <w:pStyle w:val="Normal"/>
      </w:pPr>
      <w:r>
        <w:t xml:space="preserve">Generative artificial intelligence refers to models that learn the underlying distribution of a dataset and can generate new samples resembling the training data. This capability contrasts with the discriminative models discussed earlier, which learn to distinguish among categories rather than to produce new content [15]. Generative techniques include generative adversarial networks, in which two networks compete—one generating samples and the other attempting to distinguish real from synthetic—and diffusion models, which generate data by iteratively refining random noise into structured output [16].</w:t>
      </w:r>
    </w:p>
    <w:p>
      <w:pPr>
        <w:pStyle w:val="Normal"/>
      </w:pPr>
      <w:r>
        <w:t xml:space="preserve">In healthcare, generative AI serves several purposes. One prominent application is the creation of synthetic medical data, which can augment limited datasets, enable the sharing of realistic but non-identifying records, and address the scarcity of examples for rare conditions [17]. Synthetic imaging can expand training sets for diagnostic models, while synthetic patient records can support software development and education without exposing real patient information [18]. Another application is image translation, in which a model converts an image from one modality to another—for instance, generating a synthetic computed tomography image from magnetic resonance data to support radiation planning [19].</w:t>
      </w:r>
    </w:p>
    <w:p>
      <w:pPr>
        <w:pStyle w:val="Normal"/>
      </w:pPr>
      <w:r>
        <w:t xml:space="preserve">Generative models also power drug discovery, where they propose novel molecular structures with desired properties, dramatically expanding the space of candidate compounds that can be explored computationally before laboratory synthesis [20]. Table 4 catalogs the principal categories of generative AI and their emerging healthcare roles. Despite their promise, generative systems raise distinctive concerns, including the risk of generating plausible but incorrect information, the potential to memorize and inadvertently reveal training data, and the difficulty of validating synthetic outputs against reality [21].</w:t>
      </w:r>
    </w:p>
    <w:p>
      <w:pPr>
        <w:pStyle w:val="Normal"/>
      </w:pPr>
      <w:r>
        <w:t xml:space="preserve">The use of synthetic data merits particular scrutiny because it is frequently proposed as a remedy for the twin problems of data scarcity and privacy that so constrain healthcare AI. In principle, a generative model trained on real patient data can produce an unlimited supply of realistic synthetic records that preserve the statistical properties of the original while containing no actual patient information, enabling data sharing and collaboration that privacy regulations would otherwise impede. In practice, however, the fidelity of synthetic data is difficult to guarantee, and there is a persistent tension between realism and privacy: synthetic data that too faithfully reproduce the training distribution risk leaking information about individuals, while data that are made safely generic may lose the very properties that make them useful. Moreover, a model trained on synthetic data inherits and may amplify any biases present in the generator, and its performance on real data cannot be assumed from its performance on synthetic data. These considerations do not negate the value of synthetic data but demand that its use be accompanied by rigorous evaluation of both its utility and its privacy properties, rather than being adopted on the untested assumption that it is simultaneously realistic and safe.</w:t>
      </w:r>
    </w:p>
    <w:p>
      <w:pPr>
        <w:pStyle w:val="TableCap"/>
      </w:pPr>
      <w:r>
        <w:t xml:space="preserve">Table 4. Categories of generative artificial intelligence and their healthcare applications</w:t>
      </w:r>
    </w:p>
    <w:tbl>
      <w:tblPr>
        <w:tblW w:w="92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00"/>
        <w:gridCol w:w="2300"/>
        <w:gridCol w:w="2300"/>
        <w:gridCol w:w="2300"/>
      </w:tblGrid>
      <w:tr>
        <w:trPr>
          <w:tblHeader/>
        </w:trPr>
        <w:tc>
          <w:tcPr>
            <w:shd w:val="clear" w:color="auto" w:fill="D9E2F3"/>
            <w:vAlign w:val="center"/>
          </w:tcPr>
          <w:p>
            <w:pPr>
              <w:jc w:val="center"/>
              <w:spacing w:after="40" w:line="276" w:lineRule="auto"/>
            </w:pPr>
            <w:r>
              <w:rPr>
                <w:b/>
              </w:rPr>
              <w:t xml:space="preserve">Generative Approach</w:t>
            </w:r>
          </w:p>
        </w:tc>
        <w:tc>
          <w:tcPr>
            <w:shd w:val="clear" w:color="auto" w:fill="D9E2F3"/>
            <w:vAlign w:val="center"/>
          </w:tcPr>
          <w:p>
            <w:pPr>
              <w:jc w:val="center"/>
              <w:spacing w:after="40" w:line="276" w:lineRule="auto"/>
            </w:pPr>
            <w:r>
              <w:rPr>
                <w:b/>
              </w:rPr>
              <w:t xml:space="preserve">Mechanism</w:t>
            </w:r>
          </w:p>
        </w:tc>
        <w:tc>
          <w:tcPr>
            <w:shd w:val="clear" w:color="auto" w:fill="D9E2F3"/>
            <w:vAlign w:val="center"/>
          </w:tcPr>
          <w:p>
            <w:pPr>
              <w:jc w:val="center"/>
              <w:spacing w:after="40" w:line="276" w:lineRule="auto"/>
            </w:pPr>
            <w:r>
              <w:rPr>
                <w:b/>
              </w:rPr>
              <w:t xml:space="preserve">Healthcare Application</w:t>
            </w:r>
          </w:p>
        </w:tc>
        <w:tc>
          <w:tcPr>
            <w:shd w:val="clear" w:color="auto" w:fill="D9E2F3"/>
            <w:vAlign w:val="center"/>
          </w:tcPr>
          <w:p>
            <w:pPr>
              <w:jc w:val="center"/>
              <w:spacing w:after="40" w:line="276" w:lineRule="auto"/>
            </w:pPr>
            <w:r>
              <w:rPr>
                <w:b/>
              </w:rPr>
              <w:t xml:space="preserve">Principal Concern</w:t>
            </w:r>
          </w:p>
        </w:tc>
      </w:tr>
      <w:tr>
        <w:tc>
          <w:tcPr>
            <w:vAlign w:val="center"/>
          </w:tcPr>
          <w:p>
            <w:pPr>
              <w:spacing w:after="40" w:line="276" w:lineRule="auto"/>
            </w:pPr>
            <w:r>
              <w:t xml:space="preserve">Generative adversarial network</w:t>
            </w:r>
          </w:p>
        </w:tc>
        <w:tc>
          <w:tcPr>
            <w:vAlign w:val="center"/>
          </w:tcPr>
          <w:p>
            <w:pPr>
              <w:spacing w:after="40" w:line="276" w:lineRule="auto"/>
            </w:pPr>
            <w:r>
              <w:t xml:space="preserve">Adversarial generator-discriminator</w:t>
            </w:r>
          </w:p>
        </w:tc>
        <w:tc>
          <w:tcPr>
            <w:vAlign w:val="center"/>
          </w:tcPr>
          <w:p>
            <w:pPr>
              <w:spacing w:after="40" w:line="276" w:lineRule="auto"/>
            </w:pPr>
            <w:r>
              <w:t xml:space="preserve">Synthetic imaging, augmentation</w:t>
            </w:r>
          </w:p>
        </w:tc>
        <w:tc>
          <w:tcPr>
            <w:vAlign w:val="center"/>
          </w:tcPr>
          <w:p>
            <w:pPr>
              <w:spacing w:after="40" w:line="276" w:lineRule="auto"/>
            </w:pPr>
            <w:r>
              <w:t xml:space="preserve">Training instability, artifacts</w:t>
            </w:r>
          </w:p>
        </w:tc>
      </w:tr>
      <w:tr>
        <w:tc>
          <w:tcPr>
            <w:vAlign w:val="center"/>
          </w:tcPr>
          <w:p>
            <w:pPr>
              <w:spacing w:after="40" w:line="276" w:lineRule="auto"/>
            </w:pPr>
            <w:r>
              <w:t xml:space="preserve">Diffusion model</w:t>
            </w:r>
          </w:p>
        </w:tc>
        <w:tc>
          <w:tcPr>
            <w:vAlign w:val="center"/>
          </w:tcPr>
          <w:p>
            <w:pPr>
              <w:spacing w:after="40" w:line="276" w:lineRule="auto"/>
            </w:pPr>
            <w:r>
              <w:t xml:space="preserve">Iterative denoising</w:t>
            </w:r>
          </w:p>
        </w:tc>
        <w:tc>
          <w:tcPr>
            <w:vAlign w:val="center"/>
          </w:tcPr>
          <w:p>
            <w:pPr>
              <w:spacing w:after="40" w:line="276" w:lineRule="auto"/>
            </w:pPr>
            <w:r>
              <w:t xml:space="preserve">High-fidelity image synthesis</w:t>
            </w:r>
          </w:p>
        </w:tc>
        <w:tc>
          <w:tcPr>
            <w:vAlign w:val="center"/>
          </w:tcPr>
          <w:p>
            <w:pPr>
              <w:spacing w:after="40" w:line="276" w:lineRule="auto"/>
            </w:pPr>
            <w:r>
              <w:t xml:space="preserve">Computational cost</w:t>
            </w:r>
          </w:p>
        </w:tc>
      </w:tr>
      <w:tr>
        <w:tc>
          <w:tcPr>
            <w:vAlign w:val="center"/>
          </w:tcPr>
          <w:p>
            <w:pPr>
              <w:spacing w:after="40" w:line="276" w:lineRule="auto"/>
            </w:pPr>
            <w:r>
              <w:t xml:space="preserve">Variational autoencoder</w:t>
            </w:r>
          </w:p>
        </w:tc>
        <w:tc>
          <w:tcPr>
            <w:vAlign w:val="center"/>
          </w:tcPr>
          <w:p>
            <w:pPr>
              <w:spacing w:after="40" w:line="276" w:lineRule="auto"/>
            </w:pPr>
            <w:r>
              <w:t xml:space="preserve">Probabilistic latent modeling</w:t>
            </w:r>
          </w:p>
        </w:tc>
        <w:tc>
          <w:tcPr>
            <w:vAlign w:val="center"/>
          </w:tcPr>
          <w:p>
            <w:pPr>
              <w:spacing w:after="40" w:line="276" w:lineRule="auto"/>
            </w:pPr>
            <w:r>
              <w:t xml:space="preserve">Data generation, anomaly detection</w:t>
            </w:r>
          </w:p>
        </w:tc>
        <w:tc>
          <w:tcPr>
            <w:vAlign w:val="center"/>
          </w:tcPr>
          <w:p>
            <w:pPr>
              <w:spacing w:after="40" w:line="276" w:lineRule="auto"/>
            </w:pPr>
            <w:r>
              <w:t xml:space="preserve">Blurred outputs</w:t>
            </w:r>
          </w:p>
        </w:tc>
      </w:tr>
      <w:tr>
        <w:tc>
          <w:tcPr>
            <w:vAlign w:val="center"/>
          </w:tcPr>
          <w:p>
            <w:pPr>
              <w:spacing w:after="40" w:line="276" w:lineRule="auto"/>
            </w:pPr>
            <w:r>
              <w:t xml:space="preserve">Large language model</w:t>
            </w:r>
          </w:p>
        </w:tc>
        <w:tc>
          <w:tcPr>
            <w:vAlign w:val="center"/>
          </w:tcPr>
          <w:p>
            <w:pPr>
              <w:spacing w:after="40" w:line="276" w:lineRule="auto"/>
            </w:pPr>
            <w:r>
              <w:t xml:space="preserve">Autoregressive text generation</w:t>
            </w:r>
          </w:p>
        </w:tc>
        <w:tc>
          <w:tcPr>
            <w:vAlign w:val="center"/>
          </w:tcPr>
          <w:p>
            <w:pPr>
              <w:spacing w:after="40" w:line="276" w:lineRule="auto"/>
            </w:pPr>
            <w:r>
              <w:t xml:space="preserve">Documentation, patient communication</w:t>
            </w:r>
          </w:p>
        </w:tc>
        <w:tc>
          <w:tcPr>
            <w:vAlign w:val="center"/>
          </w:tcPr>
          <w:p>
            <w:pPr>
              <w:spacing w:after="40" w:line="276" w:lineRule="auto"/>
            </w:pPr>
            <w:r>
              <w:t xml:space="preserve">Hallucination, bias</w:t>
            </w:r>
          </w:p>
        </w:tc>
      </w:tr>
    </w:tbl>
    <w:p>
      <w:pPr>
        <w:spacing w:after="120"/>
      </w:pPr>
    </w:p>
    <w:p>
      <w:pPr>
        <w:pStyle w:val="Normal"/>
      </w:pPr>
      <w:r>
        <w:t xml:space="preserve">As Table 4 highlights, each generative approach carries a characteristic limitation that must be weighed against its benefits. The concern of hallucination—the generation of fluent but factually incorrect content—is especially salient for large language models, which are considered next and which have attracted extraordinary attention across medicine [22].</w:t>
      </w:r>
    </w:p>
    <w:p>
      <w:pPr>
        <w:pStyle w:val="Heading2"/>
      </w:pPr>
      <w:r>
        <w:t xml:space="preserve">2.3.4 Large Language Models in Healthcare</w:t>
      </w:r>
    </w:p>
    <w:p>
      <w:pPr>
        <w:pStyle w:val="Normal"/>
      </w:pPr>
      <w:r>
        <w:t xml:space="preserve">Large language models are a class of deep learning systems, built on the transformer architecture, that are trained on vast corpora of text to predict and generate language. Their scale—encompassing billions of parameters and trillions of words of training data—endows them with a striking capacity to comprehend and produce fluent, contextually appropriate text across an enormous range of topics, including medicine [23]. These models can answer clinical questions, summarize documents, draft correspondence, and engage in dialogue, capabilities that have prompted intense interest in their potential to relieve the administrative burdens that contribute to clinician burnout [24].</w:t>
      </w:r>
    </w:p>
    <w:p>
      <w:pPr>
        <w:pStyle w:val="Normal"/>
      </w:pPr>
      <w:r>
        <w:t xml:space="preserve">Among the most immediately practical applications is the automation of clinical documentation. Large language models can transcribe and summarize patient encounters, draft clinical notes, and generate discharge instructions, potentially returning substantial time to clinicians for direct patient care [25]. They can also assist with the coding of diagnoses and procedures, the composition of prior-authorization letters, and the translation of complex medical information into language accessible to patients [26]. In the domain of clinical decision support, they can synthesize information from the literature and patient records to surface relevant considerations, functioning as an interactive reference rather than an autonomous decision-maker [27].</w:t>
      </w:r>
    </w:p>
    <w:p>
      <w:pPr>
        <w:pStyle w:val="Normal"/>
      </w:pPr>
      <w:r>
        <w:t xml:space="preserve">The deployment of large language models in healthcare nonetheless demands considerable caution. The phenomenon of hallucination—wherein a model produces confident, fluent, yet false statements—poses an obvious danger in a domain where inaccuracy can cause harm [28]. These models may also perpetuate biases present in their training data, generate outputs that vary unpredictably with subtle changes in phrasing, and lack awareness of information postdating their training. Furthermore, the transmission of patient information to externally hosted models raises serious privacy and security concerns that must be addressed through appropriate technical and governance safeguards [29]. Consequently, prevailing guidance holds that large language models should augment rather than replace clinical judgment, with their outputs subject to human verification before they inform patient care [30].</w:t>
      </w:r>
    </w:p>
    <w:p>
      <w:pPr>
        <w:pStyle w:val="Normal"/>
      </w:pPr>
      <w:r>
        <w:t xml:space="preserve">Several technical strategies have emerged to mitigate the limitations of large language models in clinical use. Retrieval-augmented generation grounds a model's outputs in a curated corpus of authoritative documents, retrieving relevant passages and instructing the model to base its response upon them, thereby reducing the incidence of fabrication and enabling responses to cite their sources. Fine-tuning on domain-specific medical text can improve a model's familiarity with clinical terminology and reasoning, while techniques for aligning model behavior with human preferences help to constrain outputs within acceptable bounds. Careful prompt design, the practice of framing queries so as to elicit reliable responses, has itself become a discipline of practical importance. None of these strategies eliminates the fundamental uncertainty attending generative language models, but together they can substantially improve reliability and are increasingly regarded as prerequisites for any serious clinical application. The broader lesson is that a large language model is not a self-sufficient clinical tool but a component that must be embedded within a carefully engineered system incorporating retrieval, validation, monitoring, and human oversight, and that the safety of the whole depends far more on this surrounding architecture than on the raw capabilities of the model in isolation.</w:t>
      </w:r>
    </w:p>
    <w:p>
      <w:pPr>
        <w:pStyle w:val="Normal"/>
      </w:pPr>
      <w:r>
        <w:t xml:space="preserve">The prospect of conversational AI interacting directly with patients introduces an additional layer of consideration. Language models can answer patient questions, provide health information, and offer a degree of empathetic engagement, and early studies have found that their responses are sometimes judged more thorough or more compassionate than hurried human replies. Yet the delegation of patient communication to automated systems raises profound questions about accountability, the management of emotionally or clinically complex situations, and the risk that a fluent but mistaken response could mislead a patient with serious consequences. The appropriate role of such systems—as a supplement that expands access to information under professional oversight, rather than as a substitute for the clinical relationship—remains a matter of active deliberation, and the resolution of these questions will depend as much on ethical and social judgment as on technical capability.</w:t>
      </w:r>
    </w:p>
    <w:p>
      <w:pPr>
        <w:pStyle w:val="Heading2"/>
      </w:pPr>
      <w:r>
        <w:t xml:space="preserve">2.3.5 Integration, Governance, and the Path Forward</w:t>
      </w:r>
    </w:p>
    <w:p>
      <w:pPr>
        <w:pStyle w:val="Normal"/>
      </w:pPr>
      <w:r>
        <w:t xml:space="preserve">The technologies surveyed in this chapter do not operate in isolation but are increasingly integrated into complex clinical systems that combine multiple models, data sources, and decision points. A contemporary imaging workflow might employ a convolutional network for detection, a generative model for image enhancement, and a language model to draft the report, all embedded within an electronic health record and subject to clinician review [31]. This integration multiplies both the potential benefits and the potential failure modes, underscoring the need for rigorous system-level evaluation rather than the assessment of individual components in isolation [32].</w:t>
      </w:r>
    </w:p>
    <w:p>
      <w:pPr>
        <w:pStyle w:val="Normal"/>
      </w:pPr>
      <w:r>
        <w:t xml:space="preserve">Governance frameworks for healthcare AI are evolving rapidly in response to these developments. Regulatory agencies have begun to articulate expectations for the validation, transparency, and post-deployment monitoring of AI-enabled medical devices, including provisions for systems that continue to learn after deployment [33]. Central to these frameworks is the recognition that healthcare AI must be evaluated not only for accuracy but also for safety, equity, and the preservation of meaningful human control [34]. The problem of algorithmic bias, whereby models perform unequally across demographic groups and may thereby exacerbate existing health disparities, has received particular scrutiny, prompting calls for the deliberate assessment of fairness throughout the development lifecycle [35].</w:t>
      </w:r>
    </w:p>
    <w:p>
      <w:pPr>
        <w:pStyle w:val="Normal"/>
      </w:pPr>
      <w:r>
        <w:t xml:space="preserve">The mechanisms by which bias enters healthcare AI are varied and often subtle. Training data may underrepresent certain populations, so that a model performs less well for groups on whom it was scarcely trained; historical data may encode the effects of unequal access to care, so that a model learns to reproduce rather than remedy disparities; and outcome labels may themselves be biased proxies for the phenomenon of interest, as in the widely cited case of an algorithm that used healthcare expenditure as a proxy for health need and thereby systematically underestimated the needs of populations who had historically received less care. Addressing bias requires vigilance at every stage, from the composition of training data through the choice of labels and the disaggregated evaluation of performance across subgroups, and it cannot be reduced to a single technical fix. The pursuit of fairness, moreover, involves genuine value judgments about which notion of equity a system should embody, judgments that are properly the province of clinical and societal deliberation rather than of engineers alone.</w:t>
      </w:r>
    </w:p>
    <w:p>
      <w:pPr>
        <w:pStyle w:val="Normal"/>
      </w:pPr>
      <w:r>
        <w:t xml:space="preserve">Interpretability and transparency occupy a similarly central place in the governance conversation. Because clinicians bear responsibility for the decisions they make, they have a legitimate need to understand, at least in broad terms, the basis for an AI system's recommendations, and patients have a corresponding interest in understanding how automated tools bear upon their care. The opacity of complex models is therefore not merely a technical inconvenience but a substantive obstacle to trust and accountability. A spectrum of responses has developed, ranging from the preference for inherently interpretable models in high-stakes settings to the use of post hoc explanation techniques that attempt to render complex models more comprehensible. There is ongoing debate about whether post hoc explanations, which approximate rather than reveal a model's true reasoning, provide genuine understanding or a false sense of it, and this debate reflects a deeper tension between the desire for the highest possible predictive performance and the equally important desire for systems whose behavior can be understood, anticipated, and trusted.</w:t>
      </w:r>
    </w:p>
    <w:p>
      <w:pPr>
        <w:pStyle w:val="Normal"/>
      </w:pPr>
      <w:r>
        <w:t xml:space="preserve">The organizational dimension of adoption is easily overlooked but decisive. The introduction of an AI system into a clinical setting is not merely the installation of software but a sociotechnical intervention that reshapes workflows, roles, and responsibilities. Successful implementation requires attention to how a tool fits into existing processes, how its outputs are communicated and acted upon, how it is maintained and monitored over time, and how the staff who use it are trained and supported. Many technically sound models have failed to deliver benefit because these organizational factors were neglected, and the emerging discipline of implementation science within healthcare AI seeks to redress this imbalance by treating deployment as a rigorous undertaking in its own right rather than as an afterthought to model development.</w:t>
      </w:r>
    </w:p>
    <w:p>
      <w:pPr>
        <w:pStyle w:val="Normal"/>
      </w:pPr>
      <w:r>
        <w:t xml:space="preserve">Looking ahead, the trajectory of AI and ML in healthcare points toward systems that are more capable, more integrated, and more deeply woven into the fabric of clinical practice. Multimodal models that jointly reason over images, text, and structured data promise a more holistic view of the patient, while foundation models pretrained on vast and diverse data offer adaptable starting points for a multitude of downstream tasks [36]. Realizing this potential responsibly will require sustained attention to the themes that recur throughout this chapter: data quality, generalization, interpretability, bias, privacy, and the enduring primacy of human judgment [37]. The chapters that follow build upon these foundations, examining specific application domains and the practical, ethical, and organizational considerations that attend the responsible adoption of computational intelligence in medicine.</w:t>
      </w:r>
    </w:p>
    <w:p>
      <w:pPr>
        <w:pStyle w:val="Heading2"/>
      </w:pPr>
      <w:r>
        <w:t xml:space="preserve">2.3.6 Summary and Synthesis</w:t>
      </w:r>
    </w:p>
    <w:p>
      <w:pPr>
        <w:pStyle w:val="Normal"/>
      </w:pPr>
      <w:r>
        <w:t xml:space="preserve">This chapter has traced an arc from the conceptual foundations of artificial intelligence and machine learning through the three canonical learning paradigms and into the contemporary frontier defined by deep learning, generative models, and large language models. Several unifying themes emerge from this survey. The first is that the power of modern machine learning derives fundamentally from data, and that the quality, representativeness, and governance of that data determine the limits of what any model can achieve; no algorithmic sophistication can compensate for data that are biased, incomplete, or unrepresentative of the patients a system will serve. The second is that increasing predictive capability has generally been accompanied by decreasing transparency, giving rise to an enduring tension between performance and interpretability that must be negotiated anew in each clinical context according to the stakes involved. The third is that the evaluation of healthcare AI cannot be reduced to a single accuracy figure but must encompass generalization to new settings, calibration of predicted probabilities, fairness across populations, and robustness to the shifts that inevitably occur once a system is deployed.</w:t>
      </w:r>
    </w:p>
    <w:p>
      <w:pPr>
        <w:pStyle w:val="Normal"/>
      </w:pPr>
      <w:r>
        <w:t xml:space="preserve">A further theme, perhaps the most important, is that the responsible use of these technologies depends less on the raw capabilities of any individual model than on the surrounding system of human oversight, organizational process, and governance within which it operates. The recurring conclusion across applications—from imaging to reinforcement learning to conversational language models—is that AI in medicine is most safely and effectively deployed as an instrument that augments human clinicians rather than one that replaces their judgment. The technologies surveyed here are neither the panacea that the most enthusiastic proponents envision nor the threat that the most anxious critics fear; they are powerful tools whose benefits and risks depend overwhelmingly on the wisdom with which they are designed, validated, deployed, and monitored. Equipped with the conceptual foundations laid out in this chapter, readers are prepared to engage critically with the specific applications and challenges explored in the chapters that follow, and to participate thoughtfully in the ongoing project of integrating computational intelligence into the practice of medicine in a manner that genuinely serves patients.</w:t>
      </w:r>
    </w:p>
    <w:p>
      <w:pPr>
        <w:pStyle w:val="Heading1"/>
      </w:pPr>
      <w:r>
        <w:t xml:space="preserve">References</w:t>
      </w:r>
    </w:p>
    <w:p>
      <w:pPr>
        <w:pStyle w:val="References"/>
      </w:pPr>
      <w:r>
        <w:t xml:space="preserve">[1] Topol EJ. High-performance medicine: the convergence of human and artificial intelligence. Nature Medicine. 2019;25(1):44-56.</w:t>
      </w:r>
    </w:p>
    <w:p>
      <w:pPr>
        <w:pStyle w:val="References"/>
      </w:pPr>
      <w:r>
        <w:t xml:space="preserve">[2] Gulshan V, Peng L, Coram M, et al. Development and validation of a deep learning algorithm for detection of diabetic retinopathy in retinal fundus photographs. JAMA. 2016;316(22):2402-2410.</w:t>
      </w:r>
    </w:p>
    <w:p>
      <w:pPr>
        <w:pStyle w:val="References"/>
      </w:pPr>
      <w:r>
        <w:t xml:space="preserve">[3] Turing AM. Computing machinery and intelligence. Mind. 1950;59(236):433-460.</w:t>
      </w:r>
    </w:p>
    <w:p>
      <w:pPr>
        <w:pStyle w:val="References"/>
      </w:pPr>
      <w:r>
        <w:t xml:space="preserve">[4] Shortliffe EH. Computer-Based Medical Consultations: MYCIN. New York: Elsevier; 1976.</w:t>
      </w:r>
    </w:p>
    <w:p>
      <w:pPr>
        <w:pStyle w:val="References"/>
      </w:pPr>
      <w:r>
        <w:t xml:space="preserve">[5] Jordan MI, Mitchell TM. Machine learning: trends, perspectives, and prospects. Science. 2015;349(6245):255-260.</w:t>
      </w:r>
    </w:p>
    <w:p>
      <w:pPr>
        <w:pStyle w:val="References"/>
      </w:pPr>
      <w:r>
        <w:t xml:space="preserve">[6] Beam AL, Kohane IS. Big data and machine learning in health care. JAMA. 2018;319(13):1317-1318.</w:t>
      </w:r>
    </w:p>
    <w:p>
      <w:pPr>
        <w:pStyle w:val="References"/>
      </w:pPr>
      <w:r>
        <w:t xml:space="preserve">[7] Rajkomar A, Dean J, Kohane I. Machine learning in medicine. New England Journal of Medicine. 2019;380(14):1347-1358.</w:t>
      </w:r>
    </w:p>
    <w:p>
      <w:pPr>
        <w:pStyle w:val="References"/>
      </w:pPr>
      <w:r>
        <w:t xml:space="preserve">[8] Char DS, Shah NH, Magnus D. Implementing machine learning in health care—addressing ethical challenges. New England Journal of Medicine. 2018;378(11):981-983.</w:t>
      </w:r>
    </w:p>
    <w:p>
      <w:pPr>
        <w:pStyle w:val="References"/>
      </w:pPr>
      <w:r>
        <w:t xml:space="preserve">[9] Wiens J, Saria S, Sendak M, et al. Do no harm: a roadmap for responsible machine learning for health care. Nature Medicine. 2019;25(9):1337-1340.</w:t>
      </w:r>
    </w:p>
    <w:p>
      <w:pPr>
        <w:pStyle w:val="References"/>
      </w:pPr>
      <w:r>
        <w:t xml:space="preserve">[10] Chen JH, Asch SM. Machine learning and prediction in medicine—beyond the peak of inflated expectations. New England Journal of Medicine. 2017;376(26):2507-2509.</w:t>
      </w:r>
    </w:p>
    <w:p>
      <w:pPr>
        <w:pStyle w:val="References"/>
      </w:pPr>
      <w:r>
        <w:t xml:space="preserve">[11] Ghassemi M, Naumann T, Schulam P, et al. A review of challenges and opportunities in machine learning for health. AMIA Summits on Translational Science Proceedings. 2020;2020:191-200.</w:t>
      </w:r>
    </w:p>
    <w:p>
      <w:pPr>
        <w:pStyle w:val="References"/>
      </w:pPr>
      <w:r>
        <w:t xml:space="preserve">[12] Gianfrancesco MA, Tamang S, Yazdany J, Schmajuk G. Potential biases in machine learning algorithms using electronic health record data. JAMA Internal Medicine. 2018;178(11):1544-1547.</w:t>
      </w:r>
    </w:p>
    <w:p>
      <w:pPr>
        <w:pStyle w:val="References"/>
      </w:pPr>
      <w:r>
        <w:t xml:space="preserve">[13] Finlayson SG, Subbaswamy A, Singh K, et al. The clinician and dataset shift in artificial intelligence. New England Journal of Medicine. 2021;385(3):283-286.</w:t>
      </w:r>
    </w:p>
    <w:p>
      <w:pPr>
        <w:pStyle w:val="References"/>
      </w:pPr>
      <w:r>
        <w:t xml:space="preserve">[14] Sendak MP, Gao M, Brajer N, Balu S. Presenting machine learning model information to clinical end users with model facts labels. NPJ Digital Medicine. 2020;3:41.</w:t>
      </w:r>
    </w:p>
    <w:p>
      <w:pPr>
        <w:pStyle w:val="References"/>
      </w:pPr>
      <w:r>
        <w:t xml:space="preserve">[15] Bengio Y, Courville A, Vincent P. Representation learning: a review and new perspectives. IEEE Transactions on Pattern Analysis and Machine Intelligence. 2013;35(8):1798-1828.</w:t>
      </w:r>
    </w:p>
    <w:p>
      <w:pPr>
        <w:pStyle w:val="References"/>
      </w:pPr>
      <w:r>
        <w:t xml:space="preserve">[16] Deo RC. Machine learning in medicine. Circulation. 2015;132(20):1920-1930.</w:t>
      </w:r>
    </w:p>
    <w:p>
      <w:pPr>
        <w:pStyle w:val="References"/>
      </w:pPr>
      <w:r>
        <w:t xml:space="preserve">[17] LeCun Y, Bengio Y, Hinton G. Deep learning. Nature. 2015;521(7553):436-444.</w:t>
      </w:r>
    </w:p>
    <w:p>
      <w:pPr>
        <w:pStyle w:val="References"/>
      </w:pPr>
      <w:r>
        <w:t xml:space="preserve">[18] Christodoulou E, Ma J, Collins GS, et al. A systematic review shows no performance benefit of machine learning over logistic regression for clinical prediction models. Journal of Clinical Epidemiology. 2019;110:12-22.</w:t>
      </w:r>
    </w:p>
    <w:p>
      <w:pPr>
        <w:pStyle w:val="References"/>
      </w:pPr>
      <w:r>
        <w:t xml:space="preserve">[19] Domingos P. A few useful things to know about machine learning. Communications of the ACM. 2012;55(10):78-87.</w:t>
      </w:r>
    </w:p>
    <w:p>
      <w:pPr>
        <w:pStyle w:val="References"/>
      </w:pPr>
      <w:r>
        <w:t xml:space="preserve">[20] Steyerberg EW, Vergouwe Y. Towards better clinical prediction models: seven steps for development and an ABCD for validation. European Heart Journal. 2014;35(29):1925-1931.</w:t>
      </w:r>
    </w:p>
    <w:p>
      <w:pPr>
        <w:pStyle w:val="References"/>
      </w:pPr>
      <w:r>
        <w:t xml:space="preserve">[21] Zech JR, Badgeley MA, Liu M, et al. Variable generalization performance of a deep learning model to detect pneumonia in chest radiographs: a cross-sectional study. PLoS Medicine. 2018;15(11):e1002683.</w:t>
      </w:r>
    </w:p>
    <w:p>
      <w:pPr>
        <w:pStyle w:val="References"/>
      </w:pPr>
      <w:r>
        <w:t xml:space="preserve">[22] Collins GS, Reitsma JB, Altman DG, Moons KGM. Transparent reporting of a multivariable prediction model for individual prognosis or diagnosis (TRIPOD). BMJ. 2015;350:g7594.</w:t>
      </w:r>
    </w:p>
    <w:p>
      <w:pPr>
        <w:pStyle w:val="References"/>
      </w:pPr>
      <w:r>
        <w:t xml:space="preserve">[23] Kotsiantis SB. Supervised machine learning: a review of classification techniques. Informatica. 2007;31(3):249-268.</w:t>
      </w:r>
    </w:p>
    <w:p>
      <w:pPr>
        <w:pStyle w:val="References"/>
      </w:pPr>
      <w:r>
        <w:t xml:space="preserve">[24] Sutton RS, Barto AG. Reinforcement Learning: An Introduction. 2nd ed. Cambridge, MA: MIT Press; 2018.</w:t>
      </w:r>
    </w:p>
    <w:p>
      <w:pPr>
        <w:pStyle w:val="References"/>
      </w:pPr>
      <w:r>
        <w:t xml:space="preserve">[25] Obermeyer Z, Emanuel EJ. Predicting the future—big data, machine learning, and clinical medicine. New England Journal of Medicine. 2016;375(13):1216-1219.</w:t>
      </w:r>
    </w:p>
    <w:p>
      <w:pPr>
        <w:pStyle w:val="References"/>
      </w:pPr>
      <w:r>
        <w:t xml:space="preserve">[26] Goldstein BA, Navar AM, Carter RE. Moving beyond regression techniques in cardiovascular risk prediction. European Heart Journal. 2017;38(23):1805-1814.</w:t>
      </w:r>
    </w:p>
    <w:p>
      <w:pPr>
        <w:pStyle w:val="References"/>
      </w:pPr>
      <w:r>
        <w:t xml:space="preserve">[27] Steyerberg EW. Clinical Prediction Models: A Practical Approach to Development, Validation, and Updating. 2nd ed. Cham: Springer; 2019.</w:t>
      </w:r>
    </w:p>
    <w:p>
      <w:pPr>
        <w:pStyle w:val="References"/>
      </w:pPr>
      <w:r>
        <w:t xml:space="preserve">[28] Chen T, Guestrin C. XGBoost: a scalable tree boosting system. Proceedings of the 22nd ACM SIGKDD International Conference on Knowledge Discovery and Data Mining. 2016:785-794.</w:t>
      </w:r>
    </w:p>
    <w:p>
      <w:pPr>
        <w:pStyle w:val="References"/>
      </w:pPr>
      <w:r>
        <w:t xml:space="preserve">[29] Miotto R, Wang F, Wang S, et al. Deep learning for healthcare: review, opportunities and challenges. Briefings in Bioinformatics. 2018;19(6):1236-1246.</w:t>
      </w:r>
    </w:p>
    <w:p>
      <w:pPr>
        <w:pStyle w:val="References"/>
      </w:pPr>
      <w:r>
        <w:t xml:space="preserve">[30] Karimi D, Dou H, Warfield SK, Gholipour A. Deep learning with noisy labels: exploring techniques and remedies in medical image analysis. Medical Image Analysis. 2020;65:101759.</w:t>
      </w:r>
    </w:p>
    <w:p>
      <w:pPr>
        <w:pStyle w:val="References"/>
      </w:pPr>
      <w:r>
        <w:t xml:space="preserve">[31] Budd S, Robinson EC, Kainz B. A survey on active learning and human-in-the-loop deep learning for medical image analysis. Medical Image Analysis. 2021;71:102062.</w:t>
      </w:r>
    </w:p>
    <w:p>
      <w:pPr>
        <w:pStyle w:val="References"/>
      </w:pPr>
      <w:r>
        <w:t xml:space="preserve">[32] Saito T, Rehmsmeier M. The precision-recall plot is more informative than the ROC plot when evaluating binary classifiers on imbalanced datasets. PLoS One. 2015;10(3):e0118432.</w:t>
      </w:r>
    </w:p>
    <w:p>
      <w:pPr>
        <w:pStyle w:val="References"/>
      </w:pPr>
      <w:r>
        <w:t xml:space="preserve">[33] Park SH, Han K. Methodologic guide for evaluating clinical performance and effect of artificial intelligence technology for medical diagnosis and prediction. Radiology. 2018;286(3):800-809.</w:t>
      </w:r>
    </w:p>
    <w:p>
      <w:pPr>
        <w:pStyle w:val="References"/>
      </w:pPr>
      <w:r>
        <w:t xml:space="preserve">[34] Xu C, Jackson SA. Machine learning and complex biological data. Genome Biology. 2019;20:76.</w:t>
      </w:r>
    </w:p>
    <w:p>
      <w:pPr>
        <w:pStyle w:val="References"/>
      </w:pPr>
      <w:r>
        <w:t xml:space="preserve">[35] Xu Y, Ma J, Liaw A, et al. Demystifying multitask deep neural networks for quantitative structure-activity relationships. Journal of Chemical Information and Modeling. 2017;57(10):2490-2504.</w:t>
      </w:r>
    </w:p>
    <w:p>
      <w:pPr>
        <w:pStyle w:val="References"/>
      </w:pPr>
      <w:r>
        <w:t xml:space="preserve">[36] Seymour CW, Kennedy JN, Wang S, et al. Derivation, validation, and potential treatment implications of novel clinical phenotypes for sepsis. JAMA. 2019;321(20):2003-2017.</w:t>
      </w:r>
    </w:p>
    <w:p>
      <w:pPr>
        <w:pStyle w:val="References"/>
      </w:pPr>
      <w:r>
        <w:t xml:space="preserve">[37] Loftus TJ, Shickel B, Balch JA, et al. Phenotype clustering in health care: a narrative review for clinicians. Frontiers in Artificial Intelligence. 2022;5:842306.</w:t>
      </w:r>
    </w:p>
    <w:p>
      <w:pPr>
        <w:pStyle w:val="References"/>
      </w:pPr>
      <w:r>
        <w:t xml:space="preserve">[38] Becht E, McInnes L, Healy J, et al. Dimensionality reduction for visualizing single-cell data using UMAP. Nature Biotechnology. 2019;37(1):38-44.</w:t>
      </w:r>
    </w:p>
    <w:p>
      <w:pPr>
        <w:pStyle w:val="References"/>
      </w:pPr>
      <w:r>
        <w:t xml:space="preserve">[39] Fernando T, Gammulle H, Denman S, et al. Deep learning for medical anomaly detection—a survey. ACM Computing Surveys. 2021;54(7):1-37.</w:t>
      </w:r>
    </w:p>
    <w:p>
      <w:pPr>
        <w:pStyle w:val="References"/>
      </w:pPr>
      <w:r>
        <w:t xml:space="preserve">[40] Yu C, Liu J, Nemati S, Yin G. Reinforcement learning in healthcare: a survey. ACM Computing Surveys. 2021;55(1):1-36.</w:t>
      </w:r>
    </w:p>
    <w:p>
      <w:pPr>
        <w:pStyle w:val="References"/>
      </w:pPr>
      <w:r>
        <w:t xml:space="preserve">[41] Gottesman O, Johansson F, Komorowski M, et al. Guidelines for reinforcement learning in healthcare. Nature Medicine. 2019;25(1):16-18.</w:t>
      </w:r>
    </w:p>
    <w:p>
      <w:pPr>
        <w:pStyle w:val="References"/>
      </w:pPr>
      <w:r>
        <w:t xml:space="preserve">[42] Komorowski M, Celi LA, Badawi O, et al. The artificial intelligence clinician learns optimal treatment strategies for sepsis in intensive care. Nature Medicine. 2018;24(11):1716-1720.</w:t>
      </w:r>
    </w:p>
    <w:p>
      <w:pPr>
        <w:pStyle w:val="References"/>
      </w:pPr>
      <w:r>
        <w:t xml:space="preserve">[43] Liu S, See KC, Ngiam KY, et al. Reinforcement learning for clinical decision support in critical care: comprehensive review. Journal of Medical Internet Research. 2020;22(7):e18477.</w:t>
      </w:r>
    </w:p>
    <w:p>
      <w:pPr>
        <w:pStyle w:val="References"/>
      </w:pPr>
      <w:r>
        <w:t xml:space="preserve">[44] Garcıa J, Fernandez F. A comprehensive survey on safe reinforcement learning. Journal of Machine Learning Research. 2015;16(1):1437-1480.</w:t>
      </w:r>
    </w:p>
    <w:p>
      <w:pPr>
        <w:pStyle w:val="References"/>
      </w:pPr>
      <w:r>
        <w:t xml:space="preserve">[45] Levine S, Kumar A, Tucker G, Fu J. Offline reinforcement learning: tutorial, review, and perspectives on open problems. arXiv preprint arXiv:2005.01643. 2020.</w:t>
      </w:r>
    </w:p>
    <w:p>
      <w:pPr>
        <w:pStyle w:val="References"/>
      </w:pPr>
      <w:r>
        <w:t xml:space="preserve">[46] Coronato A, Naeem M, De Pietro G, Paragliola G. Reinforcement learning for intelligent healthcare applications: a survey. Artificial Intelligence in Medicine. 2020;109:101964.</w:t>
      </w:r>
    </w:p>
    <w:p>
      <w:pPr>
        <w:pStyle w:val="References"/>
      </w:pPr>
      <w:r>
        <w:t xml:space="preserve">[47] Esteva A, Robicquet A, Ramsundar B, et al. A guide to deep learning in healthcare. Nature Medicine. 2019;25(1):24-29.</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240"/>
    </w:pPr>
    <w:rPr>
      <w:b/>
      <w:sz w:val="34"/>
      <w:szCs w:val="34"/>
    </w:rPr>
  </w:style>
  <w:style w:type="paragraph" w:styleId="Heading1">
    <w:name w:val="heading 1"/>
    <w:basedOn w:val="Normal"/>
    <w:pPr>
      <w:spacing w:before="360" w:after="120"/>
      <w:jc w:val="left"/>
    </w:pPr>
    <w:rPr>
      <w:b/>
      <w:sz w:val="28"/>
      <w:szCs w:val="28"/>
    </w:rPr>
  </w:style>
  <w:style w:type="paragraph" w:styleId="Heading2">
    <w:name w:val="heading 2"/>
    <w:basedOn w:val="Normal"/>
    <w:pPr>
      <w:spacing w:before="240" w:after="120"/>
      <w:jc w:val="left"/>
    </w:pPr>
    <w:rPr>
      <w:b/>
      <w:sz w:val="26"/>
      <w:szCs w:val="26"/>
    </w:rPr>
  </w:style>
  <w:style w:type="paragraph" w:styleId="Heading3">
    <w:name w:val="heading 3"/>
    <w:basedOn w:val="Normal"/>
    <w:pPr>
      <w:spacing w:before="200" w:after="100"/>
      <w:jc w:val="left"/>
    </w:pPr>
    <w:rPr>
      <w:b/>
      <w:i/>
      <w:sz w:val="24"/>
      <w:szCs w:val="24"/>
    </w:rPr>
  </w:style>
  <w:style w:type="paragraph" w:styleId="Abstract">
    <w:name w:val="Abstract"/>
    <w:basedOn w:val="Normal"/>
    <w:pPr>
      <w:ind w:left="720" w:right="720"/>
    </w:pPr>
    <w:rPr>
      <w:i/>
    </w:rPr>
  </w:style>
  <w:style w:type="paragraph" w:styleId="References">
    <w:name w:val="References"/>
    <w:basedOn w:val="Normal"/>
    <w:pPr>
      <w:ind w:left="480" w:hanging="480"/>
      <w:spacing w:after="60"/>
      <w:jc w:val="left"/>
    </w:pPr>
    <w:rPr>
      <w:sz w:val="22"/>
      <w:szCs w:val="22"/>
    </w:rPr>
  </w:style>
  <w:style w:type="paragraph" w:styleId="Caption">
    <w:name w:val="Caption"/>
    <w:basedOn w:val="Normal"/>
    <w:pPr>
      <w:jc w:val="center"/>
      <w:spacing w:before="60" w:after="240"/>
    </w:pPr>
    <w:rPr>
      <w:i/>
      <w:sz w:val="22"/>
      <w:szCs w:val="22"/>
    </w:rPr>
  </w:style>
  <w:style w:type="paragraph" w:styleId="ImagePara">
    <w:name w:val="ImagePara"/>
    <w:basedOn w:val="Normal"/>
    <w:pPr>
      <w:jc w:val="center"/>
      <w:spacing w:before="120" w:after="0"/>
    </w:pPr>
  </w:style>
  <w:style w:type="paragraph" w:styleId="TableCap">
    <w:name w:val="TableCap"/>
    <w:basedOn w:val="Normal"/>
    <w:pPr>
      <w:spacing w:before="180" w:after="60"/>
      <w:jc w:val="left"/>
    </w:pPr>
    <w:rPr>
      <w:b/>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 Type="http://schemas.openxmlformats.org/officeDocument/2006/relationships/image" Target="media/Figure_1.png"/><Relationship Id="rId101" Type="http://schemas.openxmlformats.org/officeDocument/2006/relationships/image" Target="media/Figure_2.png"/><Relationship Id="rId102" Type="http://schemas.openxmlformats.org/officeDocument/2006/relationships/image" Target="media/Figure_4.png"/><Relationship Id="rId103" Type="http://schemas.openxmlformats.org/officeDocument/2006/relationships/image" Target="media/Figure_3.png"/></Relationships>
</file>