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/>
        <w:jc w:val="center"/>
      </w:pPr>
      <w:r>
        <w:rPr>
          <w:b/>
          <w:sz w:val="32"/>
          <w:szCs w:val="32"/>
          <w:color w:val="1F3864"/>
        </w:rPr>
        <w:t xml:space="preserve">Editable Reconstructed Figures: Machining of Biomaterials</w:t>
      </w:r>
    </w:p>
    <w:p>
      <w:pPr>
        <w:spacing w:before="40" w:after="240"/>
        <w:jc w:val="center"/>
      </w:pPr>
      <w:r>
        <w:rPr>
          <w:sz w:val="20"/>
          <w:szCs w:val="20"/>
          <w:color w:val="000000"/>
        </w:rPr>
        <w:t xml:space="preserve">The three flowcharts below are reconstructed as native, editable Word objects. Every box is a table cell and every label is selectable, editable text - no diagram is embedded as an image.</w:t>
      </w:r>
    </w:p>
    <w:p>
      <w:pPr>
        <w:spacing w:before="120" w:after="160"/>
        <w:jc w:val="center"/>
      </w:pPr>
      <w:r>
        <w:rPr>
          <w:b/>
          <w:sz w:val="28"/>
          <w:szCs w:val="28"/>
          <w:color w:val="1F3864"/>
        </w:rPr>
        <w:t xml:space="preserve">Figure 1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936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2F549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  <w:szCs w:val="28"/>
                <w:color w:val="FFFFFF"/>
              </w:rPr>
              <w:t xml:space="preserve">Machining of Biomaterials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312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DEEB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  <w:color w:val="000000"/>
              </w:rPr>
              <w:t xml:space="preserve">Titanium Alloy Machining</w:t>
            </w:r>
          </w:p>
          <w:p>
            <w:pPr>
              <w:spacing w:before="40" w:after="40"/>
              <w:jc w:val="center"/>
            </w:pPr>
            <w:r>
              <w:rPr>
                <w:sz w:val="20"/>
                <w:szCs w:val="20"/>
                <w:color w:val="000000"/>
              </w:rPr>
              <w:t xml:space="preserve">Ti-6Al-4V implants</w:t>
            </w:r>
          </w:p>
        </w:tc>
        <w:tc>
          <w:tcPr>
            <w:tcW w:w="312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DEEB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  <w:color w:val="000000"/>
              </w:rPr>
              <w:t xml:space="preserve">Parametric Optimization</w:t>
            </w:r>
          </w:p>
          <w:p>
            <w:pPr>
              <w:spacing w:before="40" w:after="40"/>
              <w:jc w:val="center"/>
            </w:pPr>
            <w:r>
              <w:rPr>
                <w:sz w:val="20"/>
                <w:szCs w:val="20"/>
                <w:color w:val="000000"/>
              </w:rPr>
              <w:t xml:space="preserve">Best Ra = 0.34 µm</w:t>
            </w:r>
          </w:p>
        </w:tc>
        <w:tc>
          <w:tcPr>
            <w:tcW w:w="312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DEEB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  <w:color w:val="000000"/>
              </w:rPr>
              <w:t xml:space="preserve">Hybrid Manufacturing</w:t>
            </w:r>
          </w:p>
          <w:p>
            <w:pPr>
              <w:spacing w:before="40" w:after="40"/>
              <w:jc w:val="center"/>
            </w:pPr>
            <w:r>
              <w:rPr>
                <w:sz w:val="20"/>
                <w:szCs w:val="20"/>
                <w:color w:val="000000"/>
              </w:rPr>
              <w:t xml:space="preserve">AM + CNC, EBM parts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936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E2EFD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  <w:color w:val="000000"/>
              </w:rPr>
              <w:t xml:space="preserve">Outcome: </w:t>
            </w:r>
            <w:r>
              <w:rPr>
                <w:sz w:val="24"/>
                <w:szCs w:val="24"/>
                <w:color w:val="000000"/>
              </w:rPr>
              <w:t xml:space="preserve">Better Surface Quality, Reduced Tool Wear, Optimized Performance</w:t>
            </w:r>
          </w:p>
        </w:tc>
      </w:tr>
    </w:tbl>
    <w:p>
      <w:pPr>
        <w:spacing w:before="120" w:after="200"/>
        <w:jc w:val="center"/>
      </w:pPr>
      <w:r>
        <w:rPr>
          <w:b/>
          <w:sz w:val="22"/>
          <w:szCs w:val="22"/>
          <w:color w:val="000000"/>
        </w:rPr>
        <w:t xml:space="preserve">Figure 1. Machining of biomaterials: pathways to improved surface quality and performance.</w:t>
      </w:r>
    </w:p>
    <w:p>
      <w:r>
        <w:br w:type="page"/>
      </w:r>
    </w:p>
    <w:p>
      <w:pPr>
        <w:spacing w:before="120" w:after="160"/>
        <w:jc w:val="center"/>
      </w:pPr>
      <w:r>
        <w:rPr>
          <w:b/>
          <w:sz w:val="28"/>
          <w:szCs w:val="28"/>
          <w:color w:val="1F3864"/>
        </w:rPr>
        <w:t xml:space="preserve">Figure 2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936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2F549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  <w:szCs w:val="28"/>
                <w:color w:val="FFFFFF"/>
              </w:rPr>
              <w:t xml:space="preserve">Computational Optimization and Performance Evaluation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312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DEEB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  <w:color w:val="000000"/>
              </w:rPr>
              <w:t xml:space="preserve">Multi-Objective Optimization Using GA, PSO and GRA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Optimizes MRR, roughness, tool wear together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Finds Pareto-optimal solutions</w:t>
            </w:r>
          </w:p>
        </w:tc>
        <w:tc>
          <w:tcPr>
            <w:tcW w:w="312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FCE4D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  <w:color w:val="000000"/>
              </w:rPr>
              <w:t xml:space="preserve">Genetic Algorithms (GA)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Based on natural selection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Selection, crossover, mutation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Optimizes turning parameters</w:t>
            </w:r>
          </w:p>
        </w:tc>
        <w:tc>
          <w:tcPr>
            <w:tcW w:w="312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E2EFD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  <w:color w:val="000000"/>
              </w:rPr>
              <w:t xml:space="preserve">Particle Swarm (PSO)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Inspired by bird flocking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Searches for best solution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Fast convergence, simple use</w:t>
            </w:r>
          </w:p>
        </w:tc>
      </w:tr>
    </w:tbl>
    <w:p>
      <w:pPr>
        <w:spacing w:before="120" w:after="200"/>
        <w:jc w:val="center"/>
      </w:pPr>
      <w:r>
        <w:rPr>
          <w:b/>
          <w:sz w:val="22"/>
          <w:szCs w:val="22"/>
          <w:color w:val="000000"/>
        </w:rPr>
        <w:t xml:space="preserve">Figure 2. Computational optimization methods for machining parameter evaluation.</w:t>
      </w:r>
    </w:p>
    <w:p>
      <w:r>
        <w:br w:type="page"/>
      </w:r>
    </w:p>
    <w:p>
      <w:pPr>
        <w:spacing w:before="120" w:after="160"/>
        <w:jc w:val="center"/>
      </w:pPr>
      <w:r>
        <w:rPr>
          <w:b/>
          <w:sz w:val="28"/>
          <w:szCs w:val="28"/>
          <w:color w:val="1F3864"/>
        </w:rPr>
        <w:t xml:space="preserve">Figure 3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936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2F549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6"/>
                <w:szCs w:val="26"/>
                <w:color w:val="FFFFFF"/>
              </w:rPr>
              <w:t xml:space="preserve">Industrial Case Studies on Patient-Specific Implants and Medical Device Manufacturing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468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DEEB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  <w:color w:val="000000"/>
              </w:rPr>
              <w:t xml:space="preserve">Case Study: Hip Prosthesis Manufacturing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CNC turning of hip prosthesis components using titanium alloys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Alloys studied: Ti-6Al-4V, Ti-6Al-7Nb, Ti-13Nb-13Zr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Minimum roughness Ra = 0.44 µm at feed rate 0.1 mm/rev for Ti-6Al-4V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Ti-13Nb-13Zr showed lower cutting forces at all feed rates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Surface quality affects osseointegration and implant life</w:t>
            </w:r>
          </w:p>
        </w:tc>
        <w:tc>
          <w:tcPr>
            <w:tcW w:w="468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FCE4D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  <w:color w:val="000000"/>
              </w:rPr>
              <w:t xml:space="preserve">Case Study: Additively Manufactured Femoral Cones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Post-processing of femoral cones made by electron beam melting (EBM)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~30% reduction in cutting forces vs. wrought Ti-6Al-4V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'Shell' effect of EBM specimens had no significant impact on cutting forces or roughness</w:t>
            </w:r>
          </w:p>
          <w:p>
            <w:pPr>
              <w:spacing w:before="20" w:after="20"/>
              <w:jc w:val="left"/>
            </w:pPr>
            <w:r>
              <w:rPr>
                <w:sz w:val="20"/>
                <w:szCs w:val="20"/>
                <w:color w:val="000000"/>
              </w:rPr>
              <w:t xml:space="preserve">• </w:t>
            </w:r>
            <w:r>
              <w:rPr>
                <w:sz w:val="20"/>
                <w:szCs w:val="20"/>
                <w:color w:val="000000"/>
              </w:rPr>
              <w:t xml:space="preserve">Part orientation significantly affects machined surface quality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32"/>
                <w:szCs w:val="32"/>
                <w:color w:val="2F5496"/>
              </w:rPr>
              <w:t xml:space="preserve">↓</w:t>
            </w:r>
          </w:p>
        </w:tc>
      </w:tr>
    </w:tbl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60" w:type="dxa"/>
          <w:right w:w="60" w:type="dxa"/>
        </w:tblCellMar>
      </w:tblPr>
      <w:tr>
        <w:tc>
          <w:tcPr>
            <w:tcW w:w="9360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E2EFD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  <w:color w:val="000000"/>
              </w:rPr>
              <w:t xml:space="preserve">Optimized Machining Parameters → Improved Surface Quality and Precision → Better Osseointegration and Implant Life → Enhanced Production Efficiency</w:t>
            </w:r>
          </w:p>
        </w:tc>
      </w:tr>
    </w:tbl>
    <w:p>
      <w:pPr>
        <w:spacing w:before="120" w:after="200"/>
        <w:jc w:val="center"/>
      </w:pPr>
      <w:r>
        <w:rPr>
          <w:b/>
          <w:sz w:val="22"/>
          <w:szCs w:val="22"/>
          <w:color w:val="000000"/>
        </w:rPr>
        <w:t xml:space="preserve">Figure 3. Industrial case studies linking optimized machining to implant performance.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create_biomaterials_figures_docx.py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Editable Reconstructed Figures: Machining of Biomaterials</dc:title>
  <dc:creator>AMMAN</dc:creator>
</cp:coreProperties>
</file>