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body>
    <w:p xmlns:w="http://schemas.openxmlformats.org/wordprocessingml/2006/main">
      <w:pPr>
        <w:jc w:val="center"/>
        <w:spacing w:after="400"/>
      </w:pPr>
      <w:r>
        <w:rPr>
          <w:sz w:val="24"/>
          <w:szCs w:val="24"/>
        </w:rPr>
        <w:t xml:space="preserve"/>
      </w:r>
    </w:p>
    <w:p xmlns:w="http://schemas.openxmlformats.org/wordprocessingml/2006/main">
      <w:pPr>
        <w:pStyle w:val="Heading1"/>
        <w:jc w:val="center"/>
        <w:spacing w:after="300"/>
      </w:pPr>
      <w:r>
        <w:rPr>
          <w:b/>
          <w:sz w:val="36"/>
          <w:szCs w:val="36"/>
        </w:rPr>
        <w:t xml:space="preserve">Quality Assurance in an Age of Complexity and Continuous Change</w:t>
      </w:r>
    </w:p>
    <w:p xmlns:w="http://schemas.openxmlformats.org/wordprocessingml/2006/main">
      <w:pPr>
        <w:jc w:val="center"/>
        <w:spacing w:after="100"/>
      </w:pPr>
      <w:r>
        <w:rPr>
          <w:sz w:val="24"/>
          <w:szCs w:val="24"/>
        </w:rPr>
        <w:t xml:space="preserve"/>
      </w:r>
    </w:p>
    <w:p xmlns:w="http://schemas.openxmlformats.org/wordprocessingml/2006/main">
      <w:pPr>
        <w:jc w:val="center"/>
        <w:spacing w:after="400"/>
      </w:pPr>
      <w:r>
        <w:rPr>
          <w:i/>
          <w:sz w:val="22"/>
          <w:szCs w:val="22"/>
        </w:rPr>
        <w:t xml:space="preserve">For: Higher Education Beyond Boundaries: Dynamics, Change, Challenges and Opportunities</w:t>
      </w:r>
    </w:p>
    <w:p xmlns:w="http://schemas.openxmlformats.org/wordprocessingml/2006/main">
      <w:pPr>
        <w:pStyle w:val="Heading1"/>
        <w:jc w:val="start"/>
        <w:spacing w:after="240"/>
      </w:pPr>
      <w:r>
        <w:rPr>
          <w:b/>
          <w:sz w:val="32"/>
          <w:szCs w:val="32"/>
        </w:rPr>
        <w:t xml:space="preserve">Abstract</w:t>
      </w:r>
    </w:p>
    <w:p xmlns:w="http://schemas.openxmlformats.org/wordprocessingml/2006/main">
      <w:pPr>
        <w:jc w:val="both"/>
        <w:spacing w:after="300"/>
      </w:pPr>
      <w:r>
        <w:rPr>
          <w:sz w:val="24"/>
          <w:szCs w:val="24"/>
        </w:rPr>
        <w:t xml:space="preserve">Quality assurance (QA) in higher education has evolved from a compliance-oriented inspection function to a dynamic, multi-dimensional ecosystem that must navigate unprecedented complexity, rapid technological disruption, and continuous stakeholder expectation shifts [1, 2]. This chapter critically examines the transformation of QA paradigms in higher education, arguing that traditional linear models predicated on stability and standardization are fundamentally inadequate for the volatile, uncertain, complex, and ambiguous (VUCA) environment confronting contemporary universities [3, 4]. Drawing upon complexity theory, systems thinking, and adaptive governance frameworks, the chapter proposes an integrated model for quality assurance that balances accountability with improvement, standardization with contextualization, and external oversight with institutional autonomy [5, 6]. The analysis encompasses the evolution of QA paradigms from input-based inspection through outcomes-based assessment to current complexity-responsive approaches; the multiple dimensions of complexity affecting higher education quality; the design of adaptive frameworks capable of continuous recalibration; stakeholder engagement strategies for diverse and often conflicting quality perspectives; the role of technology in enabling real-time quality monitoring and enhancement; and future trajectories toward integrated digital-human quality ecosystems [7, 8, 9]. The chapter concludes with actionable recommendations for institutional leaders, quality practitioners, and policymakers navigating quality assurance in an era where change itself has become the only constant [10, 11, 12].</w:t>
      </w:r>
    </w:p>
    <w:p xmlns:w="http://schemas.openxmlformats.org/wordprocessingml/2006/main">
      <w:pPr>
        <w:jc w:val="both"/>
        <w:spacing w:after="400"/>
      </w:pPr>
      <w:r>
        <w:rPr>
          <w:i/>
          <w:sz w:val="22"/>
          <w:szCs w:val="22"/>
        </w:rPr>
        <w:t xml:space="preserve">Keywords: Quality assurance; Higher education; Complexity theory; Adaptive frameworks; Continuous improvement; Accreditation; Stakeholder engagement; Digital transformation; Institutional effectiveness; VUCA environment</w:t>
      </w:r>
    </w:p>
    <w:p xmlns:w="http://schemas.openxmlformats.org/wordprocessingml/2006/main">
      <w:pPr>
        <w:pStyle w:val="Heading1"/>
        <w:jc w:val="start"/>
        <w:spacing w:after="240"/>
      </w:pPr>
      <w:r>
        <w:rPr>
          <w:b/>
          <w:sz w:val="32"/>
          <w:szCs w:val="32"/>
        </w:rPr>
        <w:t xml:space="preserve">1. Introduction: The Evolving Landscape of Quality Assurance</w:t>
      </w:r>
    </w:p>
    <w:p xmlns:w="http://schemas.openxmlformats.org/wordprocessingml/2006/main">
      <w:pPr>
        <w:jc w:val="both"/>
        <w:spacing w:after="200"/>
      </w:pPr>
      <w:r>
        <w:rPr>
          <w:sz w:val="24"/>
          <w:szCs w:val="24"/>
        </w:rPr>
        <w:t xml:space="preserve">Quality assurance in higher education occupies a paradoxical position: simultaneously one of the most established governance functions in academic institutions and one undergoing the most fundamental reconceptualization in response to environmental turbulence [1, 13]. The past three decades have witnessed an extraordinary expansion of QA mechanisms globally, with over 200 national quality assurance agencies now operating worldwide, yet satisfaction with the effectiveness of these mechanisms among both institutions and external stakeholders remains persistently low [2, 14]. This disconnect between the proliferation of QA infrastructure and its perceived impact illuminates the central challenge addressed in this chapter: how can quality assurance systems maintain their essential accountability function while developing the adaptive capacity necessary to remain relevant in an environment of accelerating change [3, 15]?</w:t>
      </w:r>
    </w:p>
    <w:p xmlns:w="http://schemas.openxmlformats.org/wordprocessingml/2006/main">
      <w:pPr>
        <w:jc w:val="both"/>
        <w:spacing w:after="200"/>
      </w:pPr>
      <w:r>
        <w:rPr>
          <w:sz w:val="24"/>
          <w:szCs w:val="24"/>
        </w:rPr>
        <w:t xml:space="preserve">The contemporary higher education landscape is characterized by forces that render traditional QA approaches increasingly problematic. Massification has expanded participation from elite to universal access in many systems, fundamentally altering the relationship between inputs, processes, and outcomes that linear quality models assume [4, 16]. Internationalization has created multi-jurisdictional quality challenges where programmes, students, faculty, and credentials cross borders with increasing fluidity, challenging nationally-bounded regulatory frameworks [5, 17]. Digitalization has transformed pedagogical possibilities while simultaneously disrupting established assumptions about what constitutes legitimate academic experience, assessment, and credentialing [6, 18]. The COVID-19 pandemic compressed decades of anticipated digital transformation into months, revealing both the resilience and fragility of existing quality systems when confronted with sudden discontinuous change [7, 19].</w:t>
      </w:r>
    </w:p>
    <w:p xmlns:w="http://schemas.openxmlformats.org/wordprocessingml/2006/main">
      <w:pPr>
        <w:jc w:val="both"/>
        <w:spacing w:after="200"/>
      </w:pPr>
      <w:r>
        <w:rPr>
          <w:sz w:val="24"/>
          <w:szCs w:val="24"/>
        </w:rPr>
        <w:t xml:space="preserve">As illustrated in Figure 1, the evolution of QA paradigms has progressed through four distinct eras: input-focused inspection (pre-1990s), process-oriented assurance (1990s-2000s), outcomes-based assessment (2000s-2015), and the emerging complexity-responsive paradigm (2015-present) [8, 20]. Each transition has been catalyzed by the inadequacy of the preceding paradigm to address evolving environmental demands, yet each new paradigm has supplemented rather than entirely replaced its predecessors, creating the layered, sometimes contradictory quality infrastructure that characterizes many contemporary systems [9, 21]. The current transition toward complexity-responsive QA, which this chapter both documents and advocates, represents the most fundamental paradigm shift yet, requiring not merely new tools and techniques but a reconceptualization of what quality means in a system characterized by emergence, non-linearity, and continuous adaptation [10, 22].</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3"/>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1. Evolution of quality assurance paradigms in higher education showing four eras (input inspection, process assurance, outcomes assessment, complexity-responsive), their characteristic approaches, associated impacts, and the underlying trend toward increasing adaptive capacity.</w:t>
      </w:r>
    </w:p>
    <w:p xmlns:w="http://schemas.openxmlformats.org/wordprocessingml/2006/main">
      <w:pPr>
        <w:jc w:val="both"/>
        <w:spacing w:after="200"/>
      </w:pPr>
      <w:r>
        <w:rPr>
          <w:sz w:val="24"/>
          <w:szCs w:val="24"/>
        </w:rPr>
        <w:t xml:space="preserve">This chapter proceeds as follows: Section 2 theorizes the complexity dimensions challenging contemporary QA through the lens of complexity science and systems thinking. Section 3 proposes an adaptive QA framework designed for continuous recalibration. Section 4 examines stakeholder engagement strategies for managing diverse quality perspectives. Section 5 explores technology-enabled QA processes. Section 6 addresses continuous improvement mechanisms. Section 7 looks ahead to future trajectories, and the chapter concludes with practical recommendations for quality leaders. Throughout, the analysis draws on empirical evidence from diverse higher education systems, international comparative data as presented in Tables 1 through 5, and conceptual models depicted in Figures 1 through 7 to ground theoretical arguments in institutional reality [11, 23].</w:t>
      </w:r>
    </w:p>
    <w:p xmlns:w="http://schemas.openxmlformats.org/wordprocessingml/2006/main">
      <w:pPr>
        <w:jc w:val="both"/>
        <w:spacing w:after="200"/>
      </w:pPr>
      <w:r>
        <w:rPr>
          <w:sz w:val="24"/>
          <w:szCs w:val="24"/>
        </w:rPr>
        <w:t xml:space="preserve">The theoretical underpinning for this chapter draws on complexity science, which provides conceptual tools for understanding systems characterized by non-linearity (small changes can produce disproportionate effects), emergence (system-level properties arise from interactions that cannot be predicted from component analysis), self-organization (order emerges without central direction), and path-dependence (historical trajectories constrain future possibilities) [12, 24]. Higher education institutions exhibit all these characteristics: curriculum innovations emerge from faculty interactions without central planning; institutional reputation (an emergent property) can shift rapidly due to relatively minor events amplified through social media; academic departments self-organize into disciplinary cultures that resist top-down reform; and historical decisions about institutional mission constrain future strategic options [13, 25]. Quality assurance systems that ignore these complexity characteristics, treating universities as simple input-process-output machines amenable to standardized measurement and linear improvement, will inevitably produce unintended consequences and strategic gaming that undermine their stated purposes [14, 26].</w:t>
      </w:r>
    </w:p>
    <w:p xmlns:w="http://schemas.openxmlformats.org/wordprocessingml/2006/main">
      <w:pPr>
        <w:pStyle w:val="Heading1"/>
        <w:jc w:val="start"/>
        <w:spacing w:after="240"/>
      </w:pPr>
      <w:r>
        <w:rPr>
          <w:b/>
          <w:sz w:val="32"/>
          <w:szCs w:val="32"/>
        </w:rPr>
        <w:t xml:space="preserve">2. Complexity Dimensions in Higher Education Quality Assurance</w:t>
      </w:r>
    </w:p>
    <w:p xmlns:w="http://schemas.openxmlformats.org/wordprocessingml/2006/main">
      <w:pPr>
        <w:jc w:val="both"/>
        <w:spacing w:after="200"/>
      </w:pPr>
      <w:r>
        <w:rPr>
          <w:sz w:val="24"/>
          <w:szCs w:val="24"/>
        </w:rPr>
        <w:t xml:space="preserve">Traditional quality assurance operates on assumptions of linearity, predictability, and decomposability that complexity science reveals as fundamentally misaligned with the nature of higher education as a complex adaptive system [12, 24]. As depicted in Figure 2, six interconnected dimensions of complexity challenge QA in contemporary higher education: structural complexity (multi-level governance, distributed decision-making), stakeholder complexity (diverse, often conflicting expectations), pedagogical complexity (multiple legitimate approaches to teaching and learning), temporal complexity (different time horizons for different quality dimensions), contextual complexity (cultural, economic, and political variations), and technological complexity (rapid digital transformation with uncertain implications) [13, 25]. These dimensions do not operate independently but interact in non-linear ways, creating emergent properties and behaviors that cannot be predicted from understanding any single dimension in isolation [14, 26].</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4"/>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2. Six interconnected dimensions of complexity in higher education quality assurance: structural, stakeholder, pedagogical, temporal, contextual, and technological, shown with their mutual interactions and central convergence on institutional quality.</w:t>
      </w:r>
    </w:p>
    <w:p xmlns:w="http://schemas.openxmlformats.org/wordprocessingml/2006/main">
      <w:pPr>
        <w:jc w:val="both"/>
        <w:spacing w:after="200"/>
      </w:pPr>
      <w:r>
        <w:rPr>
          <w:sz w:val="24"/>
          <w:szCs w:val="24"/>
        </w:rPr>
        <w:t xml:space="preserve">Structural complexity arises from the multi-layered governance architecture of modern universities, where quality responsibilities are distributed across institutional leadership, faculty governance structures, academic departments, professional accrediting bodies, national QA agencies, international rankings organizations, and supranational frameworks such as the Bologna Process [15, 27]. Each layer operates with different authority bases, accountability mechanisms, time horizons, and quality conceptions, creating potential for misalignment, duplication, and contradictory signals that institutions must somehow reconcile into coherent quality strategies [16, 28]. The proliferation of external QA requirements, with many institutions simultaneously accountable to 10-20 different quality bodies for different programmes and functions, creates a compliance burden that can divert resources and attention from genuine quality improvement toward documentation production [17, 29].</w:t>
      </w:r>
    </w:p>
    <w:p xmlns:w="http://schemas.openxmlformats.org/wordprocessingml/2006/main">
      <w:pPr>
        <w:jc w:val="both"/>
        <w:spacing w:after="200"/>
      </w:pPr>
      <w:r>
        <w:rPr>
          <w:sz w:val="24"/>
          <w:szCs w:val="24"/>
        </w:rPr>
        <w:t xml:space="preserve">Stakeholder complexity reflects the expansion of legitimate quality claimants beyond the traditional academic community to encompass students (as consumers, co-producers, and future professionals), employers (as graduate destinations and competency definers), government (as funders and public interest guardians), professional bodies (as practice standard setters), communities (as beneficiaries of social engagement), and international partners (as collaborators and competitors) [18, 30]. As demonstrated in Table 1, these stakeholders hold qualitatively different conceptions of quality, employ different evidence bases for quality judgments, and operate on different temporal horizons, creating an inherently plural quality landscape where no single definition or metric can satisfy all legitimate perspectives [19, 31]. The challenge for QA systems is not to eliminate this plurality (which would impoverish the quality discourse) but to create frameworks sufficiently flexible to accommodate multiple valid quality conceptions while maintaining sufficient coherence for accountability and improvement purposes [20, 32].</w:t>
      </w:r>
    </w:p>
    <w:p xmlns:w="http://schemas.openxmlformats.org/wordprocessingml/2006/main">
      <w:pPr>
        <w:jc w:val="center"/>
        <w:spacing w:before="240" w:after="120"/>
      </w:pPr>
      <w:r>
        <w:rPr>
          <w:b/>
          <w:sz w:val="20"/>
          <w:szCs w:val="20"/>
        </w:rPr>
        <w:t xml:space="preserve">Table 1. Stakeholder quality conceptions in higher education showing diverse perspectives, evidence bases, time horizons, and inherent tensions [19, 27, 31].</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Stakeholder</w:t>
            </w:r>
          </w:p>
        </w:tc>
        <w:tc>
          <w:tcPr>
            <w:tcW w:w="1800" w:type="dxa"/>
            <w:shd w:val="clear" w:color="auto" w:fill="D9D9D9"/>
          </w:tcPr>
          <w:p>
            <w:pPr>
              <w:jc w:val="center"/>
            </w:pPr>
            <w:r>
              <w:rPr>
                <w:b/>
                <w:sz w:val="20"/>
                <w:szCs w:val="20"/>
              </w:rPr>
              <w:t>Primary Quality Conception</w:t>
            </w:r>
          </w:p>
        </w:tc>
        <w:tc>
          <w:tcPr>
            <w:tcW w:w="1800" w:type="dxa"/>
            <w:shd w:val="clear" w:color="auto" w:fill="D9D9D9"/>
          </w:tcPr>
          <w:p>
            <w:pPr>
              <w:jc w:val="center"/>
            </w:pPr>
            <w:r>
              <w:rPr>
                <w:b/>
                <w:sz w:val="20"/>
                <w:szCs w:val="20"/>
              </w:rPr>
              <w:t>Evidence Valued</w:t>
            </w:r>
          </w:p>
        </w:tc>
        <w:tc>
          <w:tcPr>
            <w:tcW w:w="1800" w:type="dxa"/>
            <w:shd w:val="clear" w:color="auto" w:fill="D9D9D9"/>
          </w:tcPr>
          <w:p>
            <w:pPr>
              <w:jc w:val="center"/>
            </w:pPr>
            <w:r>
              <w:rPr>
                <w:b/>
                <w:sz w:val="20"/>
                <w:szCs w:val="20"/>
              </w:rPr>
              <w:t>Time Horizon</w:t>
            </w:r>
          </w:p>
        </w:tc>
        <w:tc>
          <w:tcPr>
            <w:tcW w:w="1800" w:type="dxa"/>
            <w:shd w:val="clear" w:color="auto" w:fill="D9D9D9"/>
          </w:tcPr>
          <w:p>
            <w:pPr>
              <w:jc w:val="center"/>
            </w:pPr>
            <w:r>
              <w:rPr>
                <w:b/>
                <w:sz w:val="20"/>
                <w:szCs w:val="20"/>
              </w:rPr>
              <w:t>Key Tension</w:t>
            </w:r>
          </w:p>
        </w:tc>
      </w:tr>
      <w:tr>
        <w:tc>
          <w:tcPr>
            <w:tcW w:w="1800" w:type="dxa"/>
          </w:tcPr>
          <w:p>
            <w:pPr>
              <w:jc w:val="center"/>
            </w:pPr>
            <w:r>
              <w:rPr>
                <w:sz w:val="20"/>
                <w:szCs w:val="20"/>
              </w:rPr>
              <w:t>Students</w:t>
            </w:r>
          </w:p>
        </w:tc>
        <w:tc>
          <w:tcPr>
            <w:tcW w:w="1800" w:type="dxa"/>
          </w:tcPr>
          <w:p>
            <w:pPr>
              <w:jc w:val="center"/>
            </w:pPr>
            <w:r>
              <w:rPr>
                <w:sz w:val="20"/>
                <w:szCs w:val="20"/>
              </w:rPr>
              <w:t>Transformative experience</w:t>
            </w:r>
          </w:p>
        </w:tc>
        <w:tc>
          <w:tcPr>
            <w:tcW w:w="1800" w:type="dxa"/>
          </w:tcPr>
          <w:p>
            <w:pPr>
              <w:jc w:val="center"/>
            </w:pPr>
            <w:r>
              <w:rPr>
                <w:sz w:val="20"/>
                <w:szCs w:val="20"/>
              </w:rPr>
              <w:t>Satisfaction, employability</w:t>
            </w:r>
          </w:p>
        </w:tc>
        <w:tc>
          <w:tcPr>
            <w:tcW w:w="1800" w:type="dxa"/>
          </w:tcPr>
          <w:p>
            <w:pPr>
              <w:jc w:val="center"/>
            </w:pPr>
            <w:r>
              <w:rPr>
                <w:sz w:val="20"/>
                <w:szCs w:val="20"/>
              </w:rPr>
              <w:t>Immediate-5 years</w:t>
            </w:r>
          </w:p>
        </w:tc>
        <w:tc>
          <w:tcPr>
            <w:tcW w:w="1800" w:type="dxa"/>
          </w:tcPr>
          <w:p>
            <w:pPr>
              <w:jc w:val="center"/>
            </w:pPr>
            <w:r>
              <w:rPr>
                <w:sz w:val="20"/>
                <w:szCs w:val="20"/>
              </w:rPr>
              <w:t>Consumer vs. co-producer</w:t>
            </w:r>
          </w:p>
        </w:tc>
      </w:tr>
      <w:tr>
        <w:tc>
          <w:tcPr>
            <w:tcW w:w="1800" w:type="dxa"/>
          </w:tcPr>
          <w:p>
            <w:pPr>
              <w:jc w:val="center"/>
            </w:pPr>
            <w:r>
              <w:rPr>
                <w:sz w:val="20"/>
                <w:szCs w:val="20"/>
              </w:rPr>
              <w:t>Employers</w:t>
            </w:r>
          </w:p>
        </w:tc>
        <w:tc>
          <w:tcPr>
            <w:tcW w:w="1800" w:type="dxa"/>
          </w:tcPr>
          <w:p>
            <w:pPr>
              <w:jc w:val="center"/>
            </w:pPr>
            <w:r>
              <w:rPr>
                <w:sz w:val="20"/>
                <w:szCs w:val="20"/>
              </w:rPr>
              <w:t>Graduate competency</w:t>
            </w:r>
          </w:p>
        </w:tc>
        <w:tc>
          <w:tcPr>
            <w:tcW w:w="1800" w:type="dxa"/>
          </w:tcPr>
          <w:p>
            <w:pPr>
              <w:jc w:val="center"/>
            </w:pPr>
            <w:r>
              <w:rPr>
                <w:sz w:val="20"/>
                <w:szCs w:val="20"/>
              </w:rPr>
              <w:t>Skills match, productivity</w:t>
            </w:r>
          </w:p>
        </w:tc>
        <w:tc>
          <w:tcPr>
            <w:tcW w:w="1800" w:type="dxa"/>
          </w:tcPr>
          <w:p>
            <w:pPr>
              <w:jc w:val="center"/>
            </w:pPr>
            <w:r>
              <w:rPr>
                <w:sz w:val="20"/>
                <w:szCs w:val="20"/>
              </w:rPr>
              <w:t>1-3 years post-grad</w:t>
            </w:r>
          </w:p>
        </w:tc>
        <w:tc>
          <w:tcPr>
            <w:tcW w:w="1800" w:type="dxa"/>
          </w:tcPr>
          <w:p>
            <w:pPr>
              <w:jc w:val="center"/>
            </w:pPr>
            <w:r>
              <w:rPr>
                <w:sz w:val="20"/>
                <w:szCs w:val="20"/>
              </w:rPr>
              <w:t>Specificity vs. adaptability</w:t>
            </w:r>
          </w:p>
        </w:tc>
      </w:tr>
      <w:tr>
        <w:tc>
          <w:tcPr>
            <w:tcW w:w="1800" w:type="dxa"/>
          </w:tcPr>
          <w:p>
            <w:pPr>
              <w:jc w:val="center"/>
            </w:pPr>
            <w:r>
              <w:rPr>
                <w:sz w:val="20"/>
                <w:szCs w:val="20"/>
              </w:rPr>
              <w:t>Government</w:t>
            </w:r>
          </w:p>
        </w:tc>
        <w:tc>
          <w:tcPr>
            <w:tcW w:w="1800" w:type="dxa"/>
          </w:tcPr>
          <w:p>
            <w:pPr>
              <w:jc w:val="center"/>
            </w:pPr>
            <w:r>
              <w:rPr>
                <w:sz w:val="20"/>
                <w:szCs w:val="20"/>
              </w:rPr>
              <w:t>Public value, accountability</w:t>
            </w:r>
          </w:p>
        </w:tc>
        <w:tc>
          <w:tcPr>
            <w:tcW w:w="1800" w:type="dxa"/>
          </w:tcPr>
          <w:p>
            <w:pPr>
              <w:jc w:val="center"/>
            </w:pPr>
            <w:r>
              <w:rPr>
                <w:sz w:val="20"/>
                <w:szCs w:val="20"/>
              </w:rPr>
              <w:t>Completion rates, ROI</w:t>
            </w:r>
          </w:p>
        </w:tc>
        <w:tc>
          <w:tcPr>
            <w:tcW w:w="1800" w:type="dxa"/>
          </w:tcPr>
          <w:p>
            <w:pPr>
              <w:jc w:val="center"/>
            </w:pPr>
            <w:r>
              <w:rPr>
                <w:sz w:val="20"/>
                <w:szCs w:val="20"/>
              </w:rPr>
              <w:t>Electoral/budget cycle</w:t>
            </w:r>
          </w:p>
        </w:tc>
        <w:tc>
          <w:tcPr>
            <w:tcW w:w="1800" w:type="dxa"/>
          </w:tcPr>
          <w:p>
            <w:pPr>
              <w:jc w:val="center"/>
            </w:pPr>
            <w:r>
              <w:rPr>
                <w:sz w:val="20"/>
                <w:szCs w:val="20"/>
              </w:rPr>
              <w:t>Standardization vs. diversity</w:t>
            </w:r>
          </w:p>
        </w:tc>
      </w:tr>
      <w:tr>
        <w:tc>
          <w:tcPr>
            <w:tcW w:w="1800" w:type="dxa"/>
          </w:tcPr>
          <w:p>
            <w:pPr>
              <w:jc w:val="center"/>
            </w:pPr>
            <w:r>
              <w:rPr>
                <w:sz w:val="20"/>
                <w:szCs w:val="20"/>
              </w:rPr>
              <w:t>Faculty</w:t>
            </w:r>
          </w:p>
        </w:tc>
        <w:tc>
          <w:tcPr>
            <w:tcW w:w="1800" w:type="dxa"/>
          </w:tcPr>
          <w:p>
            <w:pPr>
              <w:jc w:val="center"/>
            </w:pPr>
            <w:r>
              <w:rPr>
                <w:sz w:val="20"/>
                <w:szCs w:val="20"/>
              </w:rPr>
              <w:t>Academic excellence</w:t>
            </w:r>
          </w:p>
        </w:tc>
        <w:tc>
          <w:tcPr>
            <w:tcW w:w="1800" w:type="dxa"/>
          </w:tcPr>
          <w:p>
            <w:pPr>
              <w:jc w:val="center"/>
            </w:pPr>
            <w:r>
              <w:rPr>
                <w:sz w:val="20"/>
                <w:szCs w:val="20"/>
              </w:rPr>
              <w:t>Peer recognition, research</w:t>
            </w:r>
          </w:p>
        </w:tc>
        <w:tc>
          <w:tcPr>
            <w:tcW w:w="1800" w:type="dxa"/>
          </w:tcPr>
          <w:p>
            <w:pPr>
              <w:jc w:val="center"/>
            </w:pPr>
            <w:r>
              <w:rPr>
                <w:sz w:val="20"/>
                <w:szCs w:val="20"/>
              </w:rPr>
              <w:t>Career-long (decades)</w:t>
            </w:r>
          </w:p>
        </w:tc>
        <w:tc>
          <w:tcPr>
            <w:tcW w:w="1800" w:type="dxa"/>
          </w:tcPr>
          <w:p>
            <w:pPr>
              <w:jc w:val="center"/>
            </w:pPr>
            <w:r>
              <w:rPr>
                <w:sz w:val="20"/>
                <w:szCs w:val="20"/>
              </w:rPr>
              <w:t>Teaching vs. research</w:t>
            </w:r>
          </w:p>
        </w:tc>
      </w:tr>
      <w:tr>
        <w:tc>
          <w:tcPr>
            <w:tcW w:w="1800" w:type="dxa"/>
          </w:tcPr>
          <w:p>
            <w:pPr>
              <w:jc w:val="center"/>
            </w:pPr>
            <w:r>
              <w:rPr>
                <w:sz w:val="20"/>
                <w:szCs w:val="20"/>
              </w:rPr>
              <w:t>Professional bodies</w:t>
            </w:r>
          </w:p>
        </w:tc>
        <w:tc>
          <w:tcPr>
            <w:tcW w:w="1800" w:type="dxa"/>
          </w:tcPr>
          <w:p>
            <w:pPr>
              <w:jc w:val="center"/>
            </w:pPr>
            <w:r>
              <w:rPr>
                <w:sz w:val="20"/>
                <w:szCs w:val="20"/>
              </w:rPr>
              <w:t>Practice readiness</w:t>
            </w:r>
          </w:p>
        </w:tc>
        <w:tc>
          <w:tcPr>
            <w:tcW w:w="1800" w:type="dxa"/>
          </w:tcPr>
          <w:p>
            <w:pPr>
              <w:jc w:val="center"/>
            </w:pPr>
            <w:r>
              <w:rPr>
                <w:sz w:val="20"/>
                <w:szCs w:val="20"/>
              </w:rPr>
              <w:t>Licensing exam pass rates</w:t>
            </w:r>
          </w:p>
        </w:tc>
        <w:tc>
          <w:tcPr>
            <w:tcW w:w="1800" w:type="dxa"/>
          </w:tcPr>
          <w:p>
            <w:pPr>
              <w:jc w:val="center"/>
            </w:pPr>
            <w:r>
              <w:rPr>
                <w:sz w:val="20"/>
                <w:szCs w:val="20"/>
              </w:rPr>
              <w:t>Practice generation (10-20 yr)</w:t>
            </w:r>
          </w:p>
        </w:tc>
        <w:tc>
          <w:tcPr>
            <w:tcW w:w="1800" w:type="dxa"/>
          </w:tcPr>
          <w:p>
            <w:pPr>
              <w:jc w:val="center"/>
            </w:pPr>
            <w:r>
              <w:rPr>
                <w:sz w:val="20"/>
                <w:szCs w:val="20"/>
              </w:rPr>
              <w:t>Standardization vs. innovation</w:t>
            </w:r>
          </w:p>
        </w:tc>
      </w:tr>
      <w:tr>
        <w:tc>
          <w:tcPr>
            <w:tcW w:w="1800" w:type="dxa"/>
          </w:tcPr>
          <w:p>
            <w:pPr>
              <w:jc w:val="center"/>
            </w:pPr>
            <w:r>
              <w:rPr>
                <w:sz w:val="20"/>
                <w:szCs w:val="20"/>
              </w:rPr>
              <w:t>International partners</w:t>
            </w:r>
          </w:p>
        </w:tc>
        <w:tc>
          <w:tcPr>
            <w:tcW w:w="1800" w:type="dxa"/>
          </w:tcPr>
          <w:p>
            <w:pPr>
              <w:jc w:val="center"/>
            </w:pPr>
            <w:r>
              <w:rPr>
                <w:sz w:val="20"/>
                <w:szCs w:val="20"/>
              </w:rPr>
              <w:t>Comparability, mobility</w:t>
            </w:r>
          </w:p>
        </w:tc>
        <w:tc>
          <w:tcPr>
            <w:tcW w:w="1800" w:type="dxa"/>
          </w:tcPr>
          <w:p>
            <w:pPr>
              <w:jc w:val="center"/>
            </w:pPr>
            <w:r>
              <w:rPr>
                <w:sz w:val="20"/>
                <w:szCs w:val="20"/>
              </w:rPr>
              <w:t>Rankings, credit recognition</w:t>
            </w:r>
          </w:p>
        </w:tc>
        <w:tc>
          <w:tcPr>
            <w:tcW w:w="1800" w:type="dxa"/>
          </w:tcPr>
          <w:p>
            <w:pPr>
              <w:jc w:val="center"/>
            </w:pPr>
            <w:r>
              <w:rPr>
                <w:sz w:val="20"/>
                <w:szCs w:val="20"/>
              </w:rPr>
              <w:t>Partnership duration</w:t>
            </w:r>
          </w:p>
        </w:tc>
        <w:tc>
          <w:tcPr>
            <w:tcW w:w="1800" w:type="dxa"/>
          </w:tcPr>
          <w:p>
            <w:pPr>
              <w:jc w:val="center"/>
            </w:pPr>
            <w:r>
              <w:rPr>
                <w:sz w:val="20"/>
                <w:szCs w:val="20"/>
              </w:rPr>
              <w:t>Harmonization vs. identity</w:t>
            </w:r>
          </w:p>
        </w:tc>
      </w:tr>
      <w:tr>
        <w:tc>
          <w:tcPr>
            <w:tcW w:w="1800" w:type="dxa"/>
          </w:tcPr>
          <w:p>
            <w:pPr>
              <w:jc w:val="center"/>
            </w:pPr>
            <w:r>
              <w:rPr>
                <w:sz w:val="20"/>
                <w:szCs w:val="20"/>
              </w:rPr>
              <w:t>Community</w:t>
            </w:r>
          </w:p>
        </w:tc>
        <w:tc>
          <w:tcPr>
            <w:tcW w:w="1800" w:type="dxa"/>
          </w:tcPr>
          <w:p>
            <w:pPr>
              <w:jc w:val="center"/>
            </w:pPr>
            <w:r>
              <w:rPr>
                <w:sz w:val="20"/>
                <w:szCs w:val="20"/>
              </w:rPr>
              <w:t>Social impact</w:t>
            </w:r>
          </w:p>
        </w:tc>
        <w:tc>
          <w:tcPr>
            <w:tcW w:w="1800" w:type="dxa"/>
          </w:tcPr>
          <w:p>
            <w:pPr>
              <w:jc w:val="center"/>
            </w:pPr>
            <w:r>
              <w:rPr>
                <w:sz w:val="20"/>
                <w:szCs w:val="20"/>
              </w:rPr>
              <w:t>Engagement outcomes</w:t>
            </w:r>
          </w:p>
        </w:tc>
        <w:tc>
          <w:tcPr>
            <w:tcW w:w="1800" w:type="dxa"/>
          </w:tcPr>
          <w:p>
            <w:pPr>
              <w:jc w:val="center"/>
            </w:pPr>
            <w:r>
              <w:rPr>
                <w:sz w:val="20"/>
                <w:szCs w:val="20"/>
              </w:rPr>
              <w:t>Generational</w:t>
            </w:r>
          </w:p>
        </w:tc>
        <w:tc>
          <w:tcPr>
            <w:tcW w:w="1800" w:type="dxa"/>
          </w:tcPr>
          <w:p>
            <w:pPr>
              <w:jc w:val="center"/>
            </w:pPr>
            <w:r>
              <w:rPr>
                <w:sz w:val="20"/>
                <w:szCs w:val="20"/>
              </w:rPr>
              <w:t>Relevance vs. autonomy</w:t>
            </w:r>
          </w:p>
        </w:tc>
      </w:tr>
    </w:tbl>
    <w:p xmlns:w="http://schemas.openxmlformats.org/wordprocessingml/2006/main">
      <w:pPr>
        <w:spacing w:after="200"/>
      </w:pPr>
    </w:p>
    <w:p xmlns:w="http://schemas.openxmlformats.org/wordprocessingml/2006/main">
      <w:pPr>
        <w:jc w:val="both"/>
        <w:spacing w:after="200"/>
      </w:pPr>
      <w:r>
        <w:rPr>
          <w:sz w:val="24"/>
          <w:szCs w:val="24"/>
        </w:rPr>
        <w:t xml:space="preserve">Pedagogical complexity has intensified dramatically as the landscape of legitimate educational approaches has expanded from traditional face-to-face lectures to encompass blended learning, fully online delivery, competency-based education, work-integrated learning, micro-credentials, massive open online courses, experiential learning, and AI-augmented instruction [21, 33]. Each modality carries different assumptions about quality indicators, appropriate assessment methods, and the nature of the student-institution relationship, challenging QA frameworks designed around a single dominant pedagogical model [22, 34]. The rapid proliferation of artificial intelligence tools (ChatGPT, Copilot, Claude) in educational contexts further complicates quality assessment by disrupting established assumptions about academic integrity, assessment validity, and the nature of student learning itself [23, 35]. Quality systems must develop the conceptual vocabulary and evaluative methodologies to assess emerging pedagogical approaches on their own terms rather than defaulting to criteria developed for traditional formats [24, 36].</w:t>
      </w:r>
    </w:p>
    <w:p xmlns:w="http://schemas.openxmlformats.org/wordprocessingml/2006/main">
      <w:pPr>
        <w:jc w:val="both"/>
        <w:spacing w:after="200"/>
      </w:pPr>
      <w:r>
        <w:rPr>
          <w:sz w:val="24"/>
          <w:szCs w:val="24"/>
        </w:rPr>
        <w:t xml:space="preserve">Temporal complexity manifests in the different time horizons across which various quality dimensions operate and can meaningfully be assessed [25, 37]. Teaching quality may be partially observable within a semester, but its true impact on student development unfolds over years; research quality may require decades for its significance to become apparent; community engagement impacts may span generations; and institutional reputation, once damaged, may require a decade or more to rebuild [26, 38]. QA systems operating on annual or biennial cycles struggle to capture these longer-term dynamics, tending toward metrics that are readily measurable in the short term (satisfaction surveys, completion rates) while undervaluing slow-building qualities (critical thinking development, civic engagement, long-term career trajectories) that may ultimately be more consequential for institutional and societal value [27, 39]. The emergence of learning analytics and longitudinal graduate tracking systems offers partial solutions, but raises additional complexity around data governance, attribution, and the boundary between institutional and individual responsibility for long-term outcomes [28, 40].</w:t>
      </w:r>
    </w:p>
    <w:p xmlns:w="http://schemas.openxmlformats.org/wordprocessingml/2006/main">
      <w:pPr>
        <w:jc w:val="both"/>
        <w:spacing w:after="200"/>
      </w:pPr>
      <w:r>
        <w:rPr>
          <w:sz w:val="24"/>
          <w:szCs w:val="24"/>
        </w:rPr>
        <w:t xml:space="preserve">Contextual complexity reflects the reality that quality is not an absolute property but is always situated within specific cultural, economic, political, and disciplinary contexts that shape what constitutes excellence and how it should be evidenced [29, 41]. What constitutes quality teaching in a Confucian pedagogical tradition differs from quality in a Socratic tradition; what constitutes quality research in empirical sciences differs from quality in humanities and creative arts; and what constitutes institutional quality in a well-funded research university differs from quality in a community college serving first-generation students in a resource-constrained environment [30, 42]. QA frameworks that fail to accommodate this contextual variation risk either imposing culturally specific quality conceptions as universal norms (a form of academic imperialism) or reducing quality to the lowest common denominator of easily standardized metrics that capture neither depth nor distinctiveness [31, 43]. The challenge of maintaining meaningful comparability while respecting legitimate diversity remains one of the most intellectually and politically demanding aspects of QA design, particularly in international contexts where different educational traditions, governance models, and societal expectations converge [32, 44].</w:t>
      </w:r>
    </w:p>
    <w:p xmlns:w="http://schemas.openxmlformats.org/wordprocessingml/2006/main">
      <w:pPr>
        <w:jc w:val="both"/>
        <w:spacing w:after="200"/>
      </w:pPr>
      <w:r>
        <w:rPr>
          <w:sz w:val="24"/>
          <w:szCs w:val="24"/>
        </w:rPr>
        <w:t xml:space="preserve">Technological complexity has intensified dramatically with the acceleration of digital transformation in higher education, as institutions rapidly adopt learning management systems, virtual learning environments, artificial intelligence tutors, automated assessment tools, and data analytics platforms whose quality implications are not yet fully understood [33, 45]. The COVID-19 pandemic catalyzed an emergency shift to online delivery that compressed years of anticipated digital transition into weeks, revealing both the potential and the pitfalls of technology-mediated education and leaving a permanent legacy of hybrid and flexible delivery models that existing QA frameworks were not designed to assess [34, 46]. Quality assurance for AI-augmented education raises particularly novel challenges: how should assessment quality be evaluated when students have access to generative AI writing tools? How should teaching quality be assessed when AI tutors supplement or partially replace human instruction? How should institutional quality be judged when key processes are delegated to algorithmic systems whose decision-making logic may not be fully transparent even to their operators [35, 47]?</w:t>
      </w:r>
    </w:p>
    <w:p xmlns:w="http://schemas.openxmlformats.org/wordprocessingml/2006/main">
      <w:pPr>
        <w:pStyle w:val="Heading1"/>
        <w:jc w:val="start"/>
        <w:spacing w:after="240"/>
      </w:pPr>
      <w:r>
        <w:rPr>
          <w:b/>
          <w:sz w:val="32"/>
          <w:szCs w:val="32"/>
        </w:rPr>
        <w:t xml:space="preserve">3. Designing Adaptive Quality Assurance Frameworks</w:t>
      </w:r>
    </w:p>
    <w:p xmlns:w="http://schemas.openxmlformats.org/wordprocessingml/2006/main">
      <w:pPr>
        <w:jc w:val="both"/>
        <w:spacing w:after="200"/>
      </w:pPr>
      <w:r>
        <w:rPr>
          <w:sz w:val="24"/>
          <w:szCs w:val="24"/>
        </w:rPr>
        <w:t xml:space="preserve">The inadequacy of static, compliance-oriented QA models for complex environments necessitates the development of adaptive frameworks capable of continuous recalibration in response to environmental shifts, emerging evidence, and stakeholder feedback [29, 41]. As depicted in Figure 3, the proposed adaptive QA framework comprises four interconnected layers: the values layer (establishing non-negotiable quality principles), the standards layer (translating principles into contextualizable expectations), the processes layer (implementing evidence-gathering and evaluation mechanisms), and the outcomes layer (assessing impact and informing continuous improvement) [30, 42]. Critically, the framework incorporates bidirectional feedback loops between all layers, enabling bottom-up learning from practice to inform standards revision, and top-down values clarification to guide emerging practice in novel contexts [31, 43].</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5"/>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3. Adaptive quality assurance framework showing four interconnected layers (values, standards, processes, outcomes) with bidirectional feedback loops, internal sub-components within each layer, and continuous recalibration mechanisms.</w:t>
      </w:r>
    </w:p>
    <w:p xmlns:w="http://schemas.openxmlformats.org/wordprocessingml/2006/main">
      <w:pPr>
        <w:jc w:val="both"/>
        <w:spacing w:after="200"/>
      </w:pPr>
      <w:r>
        <w:rPr>
          <w:sz w:val="24"/>
          <w:szCs w:val="24"/>
        </w:rPr>
        <w:t xml:space="preserve">The values layer establishes the foundational commitments that remain stable even as operational practices evolve, including commitment to student learning and development, intellectual integrity, equity and inclusion, evidence-informed practice, and continuous improvement [32, 44]. These values function as constitutional principles that bound the space of acceptable variation while permitting substantial flexibility in implementation approaches. The standards layer translates these values into assessable expectations calibrated to institutional context, mission, and maturity, explicitly rejecting one-size-fits-all standardization in favor of contextually appropriate benchmarks that stretch institutions from their current positions rather than imposing uniform targets regardless of starting point [33, 45]. This approach, sometimes termed fitness-for-purpose combined with fitness-of-purpose, evaluates both whether institutions achieve their stated objectives and whether those objectives themselves are sufficiently ambitious and aligned with societal needs [34, 46].</w:t>
      </w:r>
    </w:p>
    <w:p xmlns:w="http://schemas.openxmlformats.org/wordprocessingml/2006/main">
      <w:pPr>
        <w:jc w:val="both"/>
        <w:spacing w:after="200"/>
      </w:pPr>
      <w:r>
        <w:rPr>
          <w:sz w:val="24"/>
          <w:szCs w:val="24"/>
        </w:rPr>
        <w:t xml:space="preserve">Table 2 presents the comparative characteristics of traditional static QA frameworks versus the proposed adaptive approach across eight key dimensions, demonstrating the fundamental philosophical and operational differences between compliance-oriented and complexity-responsive quality systems [29, 35, 41, 47]. The shift from periodic external review to continuous institutional self-assessment supplemented by targeted external validation represents perhaps the most significant operational change, distributing quality responsibility throughout the institution rather than concentrating it in compliance units that prepare for episodic inspections [36, 48].</w:t>
      </w:r>
    </w:p>
    <w:p xmlns:w="http://schemas.openxmlformats.org/wordprocessingml/2006/main">
      <w:pPr>
        <w:jc w:val="center"/>
        <w:spacing w:before="240" w:after="120"/>
      </w:pPr>
      <w:r>
        <w:rPr>
          <w:b/>
          <w:sz w:val="20"/>
          <w:szCs w:val="20"/>
        </w:rPr>
        <w:t xml:space="preserve">Table 2. Comparative characteristics of traditional static versus adaptive complexity-responsive quality assurance frameworks [29, 35, 41, 47].</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000"/>
        <w:gridCol w:w="3000"/>
        <w:gridCol w:w="3000"/>
      </w:tblGrid>
      <w:tr>
        <w:tc>
          <w:tcPr>
            <w:tcW w:w="3000" w:type="dxa"/>
            <w:shd w:val="clear" w:color="auto" w:fill="D9D9D9"/>
          </w:tcPr>
          <w:p>
            <w:pPr>
              <w:jc w:val="center"/>
            </w:pPr>
            <w:r>
              <w:rPr>
                <w:b/>
                <w:sz w:val="20"/>
                <w:szCs w:val="20"/>
              </w:rPr>
              <w:t>Dimension</w:t>
            </w:r>
          </w:p>
        </w:tc>
        <w:tc>
          <w:tcPr>
            <w:tcW w:w="3000" w:type="dxa"/>
            <w:shd w:val="clear" w:color="auto" w:fill="D9D9D9"/>
          </w:tcPr>
          <w:p>
            <w:pPr>
              <w:jc w:val="center"/>
            </w:pPr>
            <w:r>
              <w:rPr>
                <w:b/>
                <w:sz w:val="20"/>
                <w:szCs w:val="20"/>
              </w:rPr>
              <w:t>Traditional Static QA</w:t>
            </w:r>
          </w:p>
        </w:tc>
        <w:tc>
          <w:tcPr>
            <w:tcW w:w="3000" w:type="dxa"/>
            <w:shd w:val="clear" w:color="auto" w:fill="D9D9D9"/>
          </w:tcPr>
          <w:p>
            <w:pPr>
              <w:jc w:val="center"/>
            </w:pPr>
            <w:r>
              <w:rPr>
                <w:b/>
                <w:sz w:val="20"/>
                <w:szCs w:val="20"/>
              </w:rPr>
              <w:t>Adaptive Complexity-Responsive QA</w:t>
            </w:r>
          </w:p>
        </w:tc>
      </w:tr>
      <w:tr>
        <w:tc>
          <w:tcPr>
            <w:tcW w:w="3000" w:type="dxa"/>
          </w:tcPr>
          <w:p>
            <w:pPr>
              <w:jc w:val="center"/>
            </w:pPr>
            <w:r>
              <w:rPr>
                <w:sz w:val="20"/>
                <w:szCs w:val="20"/>
              </w:rPr>
              <w:t>Philosophy</w:t>
            </w:r>
          </w:p>
        </w:tc>
        <w:tc>
          <w:tcPr>
            <w:tcW w:w="3000" w:type="dxa"/>
          </w:tcPr>
          <w:p>
            <w:pPr>
              <w:jc w:val="center"/>
            </w:pPr>
            <w:r>
              <w:rPr>
                <w:sz w:val="20"/>
                <w:szCs w:val="20"/>
              </w:rPr>
              <w:t>Compliance and accountability</w:t>
            </w:r>
          </w:p>
        </w:tc>
        <w:tc>
          <w:tcPr>
            <w:tcW w:w="3000" w:type="dxa"/>
          </w:tcPr>
          <w:p>
            <w:pPr>
              <w:jc w:val="center"/>
            </w:pPr>
            <w:r>
              <w:rPr>
                <w:sz w:val="20"/>
                <w:szCs w:val="20"/>
              </w:rPr>
              <w:t>Improvement through accountability</w:t>
            </w:r>
          </w:p>
        </w:tc>
      </w:tr>
      <w:tr>
        <w:tc>
          <w:tcPr>
            <w:tcW w:w="3000" w:type="dxa"/>
          </w:tcPr>
          <w:p>
            <w:pPr>
              <w:jc w:val="center"/>
            </w:pPr>
            <w:r>
              <w:rPr>
                <w:sz w:val="20"/>
                <w:szCs w:val="20"/>
              </w:rPr>
              <w:t>Standards</w:t>
            </w:r>
          </w:p>
        </w:tc>
        <w:tc>
          <w:tcPr>
            <w:tcW w:w="3000" w:type="dxa"/>
          </w:tcPr>
          <w:p>
            <w:pPr>
              <w:jc w:val="center"/>
            </w:pPr>
            <w:r>
              <w:rPr>
                <w:sz w:val="20"/>
                <w:szCs w:val="20"/>
              </w:rPr>
              <w:t>Uniform, prescriptive</w:t>
            </w:r>
          </w:p>
        </w:tc>
        <w:tc>
          <w:tcPr>
            <w:tcW w:w="3000" w:type="dxa"/>
          </w:tcPr>
          <w:p>
            <w:pPr>
              <w:jc w:val="center"/>
            </w:pPr>
            <w:r>
              <w:rPr>
                <w:sz w:val="20"/>
                <w:szCs w:val="20"/>
              </w:rPr>
              <w:t>Contextualizable, principle-based</w:t>
            </w:r>
          </w:p>
        </w:tc>
      </w:tr>
      <w:tr>
        <w:tc>
          <w:tcPr>
            <w:tcW w:w="3000" w:type="dxa"/>
          </w:tcPr>
          <w:p>
            <w:pPr>
              <w:jc w:val="center"/>
            </w:pPr>
            <w:r>
              <w:rPr>
                <w:sz w:val="20"/>
                <w:szCs w:val="20"/>
              </w:rPr>
              <w:t>Evidence</w:t>
            </w:r>
          </w:p>
        </w:tc>
        <w:tc>
          <w:tcPr>
            <w:tcW w:w="3000" w:type="dxa"/>
          </w:tcPr>
          <w:p>
            <w:pPr>
              <w:jc w:val="center"/>
            </w:pPr>
            <w:r>
              <w:rPr>
                <w:sz w:val="20"/>
                <w:szCs w:val="20"/>
              </w:rPr>
              <w:t>Self-study documents (periodic)</w:t>
            </w:r>
          </w:p>
        </w:tc>
        <w:tc>
          <w:tcPr>
            <w:tcW w:w="3000" w:type="dxa"/>
          </w:tcPr>
          <w:p>
            <w:pPr>
              <w:jc w:val="center"/>
            </w:pPr>
            <w:r>
              <w:rPr>
                <w:sz w:val="20"/>
                <w:szCs w:val="20"/>
              </w:rPr>
              <w:t>Continuous data streams + analytics</w:t>
            </w:r>
          </w:p>
        </w:tc>
      </w:tr>
      <w:tr>
        <w:tc>
          <w:tcPr>
            <w:tcW w:w="3000" w:type="dxa"/>
          </w:tcPr>
          <w:p>
            <w:pPr>
              <w:jc w:val="center"/>
            </w:pPr>
            <w:r>
              <w:rPr>
                <w:sz w:val="20"/>
                <w:szCs w:val="20"/>
              </w:rPr>
              <w:t>Assessment</w:t>
            </w:r>
          </w:p>
        </w:tc>
        <w:tc>
          <w:tcPr>
            <w:tcW w:w="3000" w:type="dxa"/>
          </w:tcPr>
          <w:p>
            <w:pPr>
              <w:jc w:val="center"/>
            </w:pPr>
            <w:r>
              <w:rPr>
                <w:sz w:val="20"/>
                <w:szCs w:val="20"/>
              </w:rPr>
              <w:t>Expert panel judgment (episodic)</w:t>
            </w:r>
          </w:p>
        </w:tc>
        <w:tc>
          <w:tcPr>
            <w:tcW w:w="3000" w:type="dxa"/>
          </w:tcPr>
          <w:p>
            <w:pPr>
              <w:jc w:val="center"/>
            </w:pPr>
            <w:r>
              <w:rPr>
                <w:sz w:val="20"/>
                <w:szCs w:val="20"/>
              </w:rPr>
              <w:t>Mixed methods, ongoing dialogue</w:t>
            </w:r>
          </w:p>
        </w:tc>
      </w:tr>
      <w:tr>
        <w:tc>
          <w:tcPr>
            <w:tcW w:w="3000" w:type="dxa"/>
          </w:tcPr>
          <w:p>
            <w:pPr>
              <w:jc w:val="center"/>
            </w:pPr>
            <w:r>
              <w:rPr>
                <w:sz w:val="20"/>
                <w:szCs w:val="20"/>
              </w:rPr>
              <w:t>Time orientation</w:t>
            </w:r>
          </w:p>
        </w:tc>
        <w:tc>
          <w:tcPr>
            <w:tcW w:w="3000" w:type="dxa"/>
          </w:tcPr>
          <w:p>
            <w:pPr>
              <w:jc w:val="center"/>
            </w:pPr>
            <w:r>
              <w:rPr>
                <w:sz w:val="20"/>
                <w:szCs w:val="20"/>
              </w:rPr>
              <w:t>Retrospective (past performance)</w:t>
            </w:r>
          </w:p>
        </w:tc>
        <w:tc>
          <w:tcPr>
            <w:tcW w:w="3000" w:type="dxa"/>
          </w:tcPr>
          <w:p>
            <w:pPr>
              <w:jc w:val="center"/>
            </w:pPr>
            <w:r>
              <w:rPr>
                <w:sz w:val="20"/>
                <w:szCs w:val="20"/>
              </w:rPr>
              <w:t>Prospective (capacity for improvement)</w:t>
            </w:r>
          </w:p>
        </w:tc>
      </w:tr>
      <w:tr>
        <w:tc>
          <w:tcPr>
            <w:tcW w:w="3000" w:type="dxa"/>
          </w:tcPr>
          <w:p>
            <w:pPr>
              <w:jc w:val="center"/>
            </w:pPr>
            <w:r>
              <w:rPr>
                <w:sz w:val="20"/>
                <w:szCs w:val="20"/>
              </w:rPr>
              <w:t>Stakeholder role</w:t>
            </w:r>
          </w:p>
        </w:tc>
        <w:tc>
          <w:tcPr>
            <w:tcW w:w="3000" w:type="dxa"/>
          </w:tcPr>
          <w:p>
            <w:pPr>
              <w:jc w:val="center"/>
            </w:pPr>
            <w:r>
              <w:rPr>
                <w:sz w:val="20"/>
                <w:szCs w:val="20"/>
              </w:rPr>
              <w:t>Informants and reviewers</w:t>
            </w:r>
          </w:p>
        </w:tc>
        <w:tc>
          <w:tcPr>
            <w:tcW w:w="3000" w:type="dxa"/>
          </w:tcPr>
          <w:p>
            <w:pPr>
              <w:jc w:val="center"/>
            </w:pPr>
            <w:r>
              <w:rPr>
                <w:sz w:val="20"/>
                <w:szCs w:val="20"/>
              </w:rPr>
              <w:t>Co-designers and continuous evaluators</w:t>
            </w:r>
          </w:p>
        </w:tc>
      </w:tr>
      <w:tr>
        <w:tc>
          <w:tcPr>
            <w:tcW w:w="3000" w:type="dxa"/>
          </w:tcPr>
          <w:p>
            <w:pPr>
              <w:jc w:val="center"/>
            </w:pPr>
            <w:r>
              <w:rPr>
                <w:sz w:val="20"/>
                <w:szCs w:val="20"/>
              </w:rPr>
              <w:t>Technology</w:t>
            </w:r>
          </w:p>
        </w:tc>
        <w:tc>
          <w:tcPr>
            <w:tcW w:w="3000" w:type="dxa"/>
          </w:tcPr>
          <w:p>
            <w:pPr>
              <w:jc w:val="center"/>
            </w:pPr>
            <w:r>
              <w:rPr>
                <w:sz w:val="20"/>
                <w:szCs w:val="20"/>
              </w:rPr>
              <w:t>Documentation management</w:t>
            </w:r>
          </w:p>
        </w:tc>
        <w:tc>
          <w:tcPr>
            <w:tcW w:w="3000" w:type="dxa"/>
          </w:tcPr>
          <w:p>
            <w:pPr>
              <w:jc w:val="center"/>
            </w:pPr>
            <w:r>
              <w:rPr>
                <w:sz w:val="20"/>
                <w:szCs w:val="20"/>
              </w:rPr>
              <w:t>Learning analytics, AI, dashboards</w:t>
            </w:r>
          </w:p>
        </w:tc>
      </w:tr>
      <w:tr>
        <w:tc>
          <w:tcPr>
            <w:tcW w:w="3000" w:type="dxa"/>
          </w:tcPr>
          <w:p>
            <w:pPr>
              <w:jc w:val="center"/>
            </w:pPr>
            <w:r>
              <w:rPr>
                <w:sz w:val="20"/>
                <w:szCs w:val="20"/>
              </w:rPr>
              <w:t>Outcome</w:t>
            </w:r>
          </w:p>
        </w:tc>
        <w:tc>
          <w:tcPr>
            <w:tcW w:w="3000" w:type="dxa"/>
          </w:tcPr>
          <w:p>
            <w:pPr>
              <w:jc w:val="center"/>
            </w:pPr>
            <w:r>
              <w:rPr>
                <w:sz w:val="20"/>
                <w:szCs w:val="20"/>
              </w:rPr>
              <w:t>Pass/fail decision</w:t>
            </w:r>
          </w:p>
        </w:tc>
        <w:tc>
          <w:tcPr>
            <w:tcW w:w="3000" w:type="dxa"/>
          </w:tcPr>
          <w:p>
            <w:pPr>
              <w:jc w:val="center"/>
            </w:pPr>
            <w:r>
              <w:rPr>
                <w:sz w:val="20"/>
                <w:szCs w:val="20"/>
              </w:rPr>
              <w:t>Developmental pathway with milestones</w:t>
            </w:r>
          </w:p>
        </w:tc>
      </w:tr>
    </w:tbl>
    <w:p xmlns:w="http://schemas.openxmlformats.org/wordprocessingml/2006/main">
      <w:pPr>
        <w:spacing w:after="200"/>
      </w:pPr>
    </w:p>
    <w:p xmlns:w="http://schemas.openxmlformats.org/wordprocessingml/2006/main">
      <w:pPr>
        <w:jc w:val="both"/>
        <w:spacing w:after="200"/>
      </w:pPr>
      <w:r>
        <w:rPr>
          <w:sz w:val="24"/>
          <w:szCs w:val="24"/>
        </w:rPr>
        <w:t xml:space="preserve">The processes layer operationalizes adaptive QA through mechanisms including continuous institutional self-assessment using real-time data dashboards, peer learning networks that share quality innovations across institutional boundaries, risk-based external review that concentrates regulatory attention on areas of genuine concern rather than blanket coverage, and student partnership approaches that position learners as active agents in quality enhancement rather than passive subjects of quality measurement [37, 49]. Implementation requires significant cultural change within institutions, moving from a culture of compliance (doing what is required to satisfy external reviewers) toward a culture of quality (embedding evidence-informed reflection in everyday academic practice) [38, 50]. This cultural transformation cannot be mandated but must be cultivated through leadership modeling, resource allocation that rewards genuine improvement over documentation production, and professional development that builds quality literacy across all institutional roles [39, 51].</w:t>
      </w:r>
    </w:p>
    <w:p xmlns:w="http://schemas.openxmlformats.org/wordprocessingml/2006/main">
      <w:pPr>
        <w:pStyle w:val="Heading1"/>
        <w:jc w:val="start"/>
        <w:spacing w:after="240"/>
      </w:pPr>
      <w:r>
        <w:rPr>
          <w:b/>
          <w:sz w:val="32"/>
          <w:szCs w:val="32"/>
        </w:rPr>
        <w:t xml:space="preserve">4. Stakeholder Engagement in Complex Quality Systems</w:t>
      </w:r>
    </w:p>
    <w:p xmlns:w="http://schemas.openxmlformats.org/wordprocessingml/2006/main">
      <w:pPr>
        <w:jc w:val="both"/>
        <w:spacing w:after="200"/>
      </w:pPr>
      <w:r>
        <w:rPr>
          <w:sz w:val="24"/>
          <w:szCs w:val="24"/>
        </w:rPr>
        <w:t xml:space="preserve">Effective quality assurance in complex environments requires moving beyond token stakeholder consultation toward genuine co-construction of quality frameworks, criteria, and processes with the diverse communities that higher education serves [40, 52]. As illustrated in Figure 4, the stakeholder engagement model for adaptive QA comprises concentric rings of participation: at the core, institutional leadership and quality professionals who coordinate the system; in the middle ring, students and faculty who are both subjects and agents of quality; in the outer rings, employers, professional bodies, community organizations, and international partners who bring external perspectives and societal expectations [41, 53]. The model recognizes differential levels of engagement appropriate to different stakeholder groups while ensuring that no legitimate perspective is systematically excluded from quality deliberations [42, 54].</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6"/>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4. Stakeholder engagement model for quality assurance showing concentric rings of participation intensity (core coordination, active agency, external perspectives) with radial connections indicating information flow and influence pathways.</w:t>
      </w:r>
    </w:p>
    <w:p xmlns:w="http://schemas.openxmlformats.org/wordprocessingml/2006/main">
      <w:pPr>
        <w:jc w:val="both"/>
        <w:spacing w:after="200"/>
      </w:pPr>
      <w:r>
        <w:rPr>
          <w:sz w:val="24"/>
          <w:szCs w:val="24"/>
        </w:rPr>
        <w:t xml:space="preserve">Student partnership in quality assurance has emerged as one of the most significant developments in contemporary QA practice, reflecting broader shifts toward viewing students as active agents in their educational experience rather than passive recipients of institutional provision [43, 55]. Meaningful student engagement extends far beyond end-of-course satisfaction surveys (which capture only a narrow dimension of the student experience and are subject to numerous biases) to encompass student representation on quality committees, student-led peer review of teaching practices, co-creation of assessment criteria, collaborative curriculum design, and student-conducted research on educational effectiveness [44, 56]. Institutions that have embedded genuine student partnership in their quality systems report enhanced relevance of quality processes, earlier identification of emerging issues, and improved institutional responsiveness to student needs, although achieving authentic partnership requires sustained investment in student development, structural support, and cultural change among academic staff who may initially resist sharing quality authority [45, 57].</w:t>
      </w:r>
    </w:p>
    <w:p xmlns:w="http://schemas.openxmlformats.org/wordprocessingml/2006/main">
      <w:pPr>
        <w:jc w:val="both"/>
        <w:spacing w:after="200"/>
      </w:pPr>
      <w:r>
        <w:rPr>
          <w:sz w:val="24"/>
          <w:szCs w:val="24"/>
        </w:rPr>
        <w:t xml:space="preserve">Employer engagement in quality assurance faces the challenge of translating workplace needs (which are inherently specific, contextual, and rapidly evolving) into educational quality expectations (which must be sufficiently general to guide diverse programmes and sufficiently stable to permit coherent curriculum development) [46, 58]. Table 3 presents mechanisms for effective employer engagement across different dimensions of quality assurance, recognizing that different engagement modes are appropriate for different purposes and that over-reliance on any single mechanism risks either excessive specificity (producing graduates trained for yesterday's jobs) or excessive generality (providing insufficient guidance for programme designers) [47, 59]. The concept of graduate attributes or competency frameworks negotiated between academic and professional communities offers a productive middle ground, defining broad capability expectations that programmes interpret and implement in discipline-appropriate ways [48, 60].</w:t>
      </w:r>
    </w:p>
    <w:p xmlns:w="http://schemas.openxmlformats.org/wordprocessingml/2006/main">
      <w:pPr>
        <w:jc w:val="both"/>
        <w:spacing w:after="200"/>
      </w:pPr>
      <w:r>
        <w:rPr>
          <w:sz w:val="24"/>
          <w:szCs w:val="24"/>
        </w:rPr>
        <w:t xml:space="preserve">International quality assurance cooperation has become increasingly important as higher education transcends national boundaries through transnational education provision, joint degrees, virtual mobility, and global research collaboration [49, 61]. Mutual recognition agreements between national QA agencies, international standards frameworks (such as the ESG in Europe and the Washington Accord in engineering), and regional quality networks create infrastructure for cross-border quality confidence while respecting legitimate national and cultural differences in quality conceptions [50, 62]. However, the tension between international harmonization (facilitating mobility and comparability) and contextual sensitivity (respecting local educational traditions and societal needs) remains a fundamental challenge that no current framework has fully resolved [51, 63]. Quality assurance for transnational education, where programmes are delivered across jurisdictional boundaries, requires particularly careful navigation of multiple regulatory frameworks, cultural expectations, and quality traditions, often with unclear allocation of quality responsibility between sending and receiving countries [52, 53].</w:t>
      </w:r>
    </w:p>
    <w:p xmlns:w="http://schemas.openxmlformats.org/wordprocessingml/2006/main">
      <w:pPr>
        <w:jc w:val="both"/>
        <w:spacing w:after="200"/>
      </w:pPr>
      <w:r>
        <w:rPr>
          <w:sz w:val="24"/>
          <w:szCs w:val="24"/>
        </w:rPr>
        <w:t xml:space="preserve">The role of quality assurance in supporting innovation rather than merely ensuring compliance represents a critical evolution in QA philosophy that has significant implications for stakeholder engagement practices [53, 54]. Traditional QA frameworks, designed primarily to identify and remediate deficiency, may inadvertently penalize institutions that experiment with novel pedagogical approaches, alternative credentialing models, or non-traditional student engagement patterns that do not conform to established quality indicators [54, 55]. Progressive QA systems increasingly incorporate innovation-positive mechanisms such as regulatory sandboxes (allowing time-limited experimentation outside standard requirements), innovation portfolios within self-evaluation (documenting experimental approaches and their outcomes), and peer learning platforms where institutions share both successful innovations and instructive failures [55, 56]. This innovation-supporting orientation requires QA agencies and institutional quality units to develop new competencies in assessing the quality of experimental approaches using process indicators (evidence of thoughtful design, systematic evaluation, responsive adaptation) rather than solely outcome indicators that may not yet be measurable for novel interventions [56, 57].</w:t>
      </w:r>
    </w:p>
    <w:p xmlns:w="http://schemas.openxmlformats.org/wordprocessingml/2006/main">
      <w:pPr>
        <w:jc w:val="center"/>
        <w:spacing w:before="240" w:after="120"/>
      </w:pPr>
      <w:r>
        <w:rPr>
          <w:b/>
          <w:sz w:val="20"/>
          <w:szCs w:val="20"/>
        </w:rPr>
        <w:t xml:space="preserve">Table 3. Mechanisms for employer engagement in quality assurance with purposes, benefits, and limitations [47, 53, 59].</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Engagement Mechanism</w:t>
            </w:r>
          </w:p>
        </w:tc>
        <w:tc>
          <w:tcPr>
            <w:tcW w:w="1800" w:type="dxa"/>
            <w:shd w:val="clear" w:color="auto" w:fill="D9D9D9"/>
          </w:tcPr>
          <w:p>
            <w:pPr>
              <w:jc w:val="center"/>
            </w:pPr>
            <w:r>
              <w:rPr>
                <w:b/>
                <w:sz w:val="20"/>
                <w:szCs w:val="20"/>
              </w:rPr>
              <w:t>QA Purpose</w:t>
            </w:r>
          </w:p>
        </w:tc>
        <w:tc>
          <w:tcPr>
            <w:tcW w:w="1800" w:type="dxa"/>
            <w:shd w:val="clear" w:color="auto" w:fill="D9D9D9"/>
          </w:tcPr>
          <w:p>
            <w:pPr>
              <w:jc w:val="center"/>
            </w:pPr>
            <w:r>
              <w:rPr>
                <w:b/>
                <w:sz w:val="20"/>
                <w:szCs w:val="20"/>
              </w:rPr>
              <w:t>Frequency</w:t>
            </w:r>
          </w:p>
        </w:tc>
        <w:tc>
          <w:tcPr>
            <w:tcW w:w="1800" w:type="dxa"/>
            <w:shd w:val="clear" w:color="auto" w:fill="D9D9D9"/>
          </w:tcPr>
          <w:p>
            <w:pPr>
              <w:jc w:val="center"/>
            </w:pPr>
            <w:r>
              <w:rPr>
                <w:b/>
                <w:sz w:val="20"/>
                <w:szCs w:val="20"/>
              </w:rPr>
              <w:t>Key Benefit</w:t>
            </w:r>
          </w:p>
        </w:tc>
        <w:tc>
          <w:tcPr>
            <w:tcW w:w="1800" w:type="dxa"/>
            <w:shd w:val="clear" w:color="auto" w:fill="D9D9D9"/>
          </w:tcPr>
          <w:p>
            <w:pPr>
              <w:jc w:val="center"/>
            </w:pPr>
            <w:r>
              <w:rPr>
                <w:b/>
                <w:sz w:val="20"/>
                <w:szCs w:val="20"/>
              </w:rPr>
              <w:t>Risk/Limitation</w:t>
            </w:r>
          </w:p>
        </w:tc>
      </w:tr>
      <w:tr>
        <w:tc>
          <w:tcPr>
            <w:tcW w:w="1800" w:type="dxa"/>
          </w:tcPr>
          <w:p>
            <w:pPr>
              <w:jc w:val="center"/>
            </w:pPr>
            <w:r>
              <w:rPr>
                <w:sz w:val="20"/>
                <w:szCs w:val="20"/>
              </w:rPr>
              <w:t>Advisory boards</w:t>
            </w:r>
          </w:p>
        </w:tc>
        <w:tc>
          <w:tcPr>
            <w:tcW w:w="1800" w:type="dxa"/>
          </w:tcPr>
          <w:p>
            <w:pPr>
              <w:jc w:val="center"/>
            </w:pPr>
            <w:r>
              <w:rPr>
                <w:sz w:val="20"/>
                <w:szCs w:val="20"/>
              </w:rPr>
              <w:t>Curriculum relevance</w:t>
            </w:r>
          </w:p>
        </w:tc>
        <w:tc>
          <w:tcPr>
            <w:tcW w:w="1800" w:type="dxa"/>
          </w:tcPr>
          <w:p>
            <w:pPr>
              <w:jc w:val="center"/>
            </w:pPr>
            <w:r>
              <w:rPr>
                <w:sz w:val="20"/>
                <w:szCs w:val="20"/>
              </w:rPr>
              <w:t>Biannual</w:t>
            </w:r>
          </w:p>
        </w:tc>
        <w:tc>
          <w:tcPr>
            <w:tcW w:w="1800" w:type="dxa"/>
          </w:tcPr>
          <w:p>
            <w:pPr>
              <w:jc w:val="center"/>
            </w:pPr>
            <w:r>
              <w:rPr>
                <w:sz w:val="20"/>
                <w:szCs w:val="20"/>
              </w:rPr>
              <w:t>Strategic perspective</w:t>
            </w:r>
          </w:p>
        </w:tc>
        <w:tc>
          <w:tcPr>
            <w:tcW w:w="1800" w:type="dxa"/>
          </w:tcPr>
          <w:p>
            <w:pPr>
              <w:jc w:val="center"/>
            </w:pPr>
            <w:r>
              <w:rPr>
                <w:sz w:val="20"/>
                <w:szCs w:val="20"/>
              </w:rPr>
              <w:t>Token participation</w:t>
            </w:r>
          </w:p>
        </w:tc>
      </w:tr>
      <w:tr>
        <w:tc>
          <w:tcPr>
            <w:tcW w:w="1800" w:type="dxa"/>
          </w:tcPr>
          <w:p>
            <w:pPr>
              <w:jc w:val="center"/>
            </w:pPr>
            <w:r>
              <w:rPr>
                <w:sz w:val="20"/>
                <w:szCs w:val="20"/>
              </w:rPr>
              <w:t>Graduate destination surveys</w:t>
            </w:r>
          </w:p>
        </w:tc>
        <w:tc>
          <w:tcPr>
            <w:tcW w:w="1800" w:type="dxa"/>
          </w:tcPr>
          <w:p>
            <w:pPr>
              <w:jc w:val="center"/>
            </w:pPr>
            <w:r>
              <w:rPr>
                <w:sz w:val="20"/>
                <w:szCs w:val="20"/>
              </w:rPr>
              <w:t>Outcomes assessment</w:t>
            </w:r>
          </w:p>
        </w:tc>
        <w:tc>
          <w:tcPr>
            <w:tcW w:w="1800" w:type="dxa"/>
          </w:tcPr>
          <w:p>
            <w:pPr>
              <w:jc w:val="center"/>
            </w:pPr>
            <w:r>
              <w:rPr>
                <w:sz w:val="20"/>
                <w:szCs w:val="20"/>
              </w:rPr>
              <w:t>Annual</w:t>
            </w:r>
          </w:p>
        </w:tc>
        <w:tc>
          <w:tcPr>
            <w:tcW w:w="1800" w:type="dxa"/>
          </w:tcPr>
          <w:p>
            <w:pPr>
              <w:jc w:val="center"/>
            </w:pPr>
            <w:r>
              <w:rPr>
                <w:sz w:val="20"/>
                <w:szCs w:val="20"/>
              </w:rPr>
              <w:t>Large-scale data</w:t>
            </w:r>
          </w:p>
        </w:tc>
        <w:tc>
          <w:tcPr>
            <w:tcW w:w="1800" w:type="dxa"/>
          </w:tcPr>
          <w:p>
            <w:pPr>
              <w:jc w:val="center"/>
            </w:pPr>
            <w:r>
              <w:rPr>
                <w:sz w:val="20"/>
                <w:szCs w:val="20"/>
              </w:rPr>
              <w:t>Lag time, attribution</w:t>
            </w:r>
          </w:p>
        </w:tc>
      </w:tr>
      <w:tr>
        <w:tc>
          <w:tcPr>
            <w:tcW w:w="1800" w:type="dxa"/>
          </w:tcPr>
          <w:p>
            <w:pPr>
              <w:jc w:val="center"/>
            </w:pPr>
            <w:r>
              <w:rPr>
                <w:sz w:val="20"/>
                <w:szCs w:val="20"/>
              </w:rPr>
              <w:t>Workplace placement feedback</w:t>
            </w:r>
          </w:p>
        </w:tc>
        <w:tc>
          <w:tcPr>
            <w:tcW w:w="1800" w:type="dxa"/>
          </w:tcPr>
          <w:p>
            <w:pPr>
              <w:jc w:val="center"/>
            </w:pPr>
            <w:r>
              <w:rPr>
                <w:sz w:val="20"/>
                <w:szCs w:val="20"/>
              </w:rPr>
              <w:t>Process quality</w:t>
            </w:r>
          </w:p>
        </w:tc>
        <w:tc>
          <w:tcPr>
            <w:tcW w:w="1800" w:type="dxa"/>
          </w:tcPr>
          <w:p>
            <w:pPr>
              <w:jc w:val="center"/>
            </w:pPr>
            <w:r>
              <w:rPr>
                <w:sz w:val="20"/>
                <w:szCs w:val="20"/>
              </w:rPr>
              <w:t>Per placement</w:t>
            </w:r>
          </w:p>
        </w:tc>
        <w:tc>
          <w:tcPr>
            <w:tcW w:w="1800" w:type="dxa"/>
          </w:tcPr>
          <w:p>
            <w:pPr>
              <w:jc w:val="center"/>
            </w:pPr>
            <w:r>
              <w:rPr>
                <w:sz w:val="20"/>
                <w:szCs w:val="20"/>
              </w:rPr>
              <w:t>Real-time, specific</w:t>
            </w:r>
          </w:p>
        </w:tc>
        <w:tc>
          <w:tcPr>
            <w:tcW w:w="1800" w:type="dxa"/>
          </w:tcPr>
          <w:p>
            <w:pPr>
              <w:jc w:val="center"/>
            </w:pPr>
            <w:r>
              <w:rPr>
                <w:sz w:val="20"/>
                <w:szCs w:val="20"/>
              </w:rPr>
              <w:t>Sample bias</w:t>
            </w:r>
          </w:p>
        </w:tc>
      </w:tr>
      <w:tr>
        <w:tc>
          <w:tcPr>
            <w:tcW w:w="1800" w:type="dxa"/>
          </w:tcPr>
          <w:p>
            <w:pPr>
              <w:jc w:val="center"/>
            </w:pPr>
            <w:r>
              <w:rPr>
                <w:sz w:val="20"/>
                <w:szCs w:val="20"/>
              </w:rPr>
              <w:t>Co-designed capstones</w:t>
            </w:r>
          </w:p>
        </w:tc>
        <w:tc>
          <w:tcPr>
            <w:tcW w:w="1800" w:type="dxa"/>
          </w:tcPr>
          <w:p>
            <w:pPr>
              <w:jc w:val="center"/>
            </w:pPr>
            <w:r>
              <w:rPr>
                <w:sz w:val="20"/>
                <w:szCs w:val="20"/>
              </w:rPr>
              <w:t>Assessment authenticity</w:t>
            </w:r>
          </w:p>
        </w:tc>
        <w:tc>
          <w:tcPr>
            <w:tcW w:w="1800" w:type="dxa"/>
          </w:tcPr>
          <w:p>
            <w:pPr>
              <w:jc w:val="center"/>
            </w:pPr>
            <w:r>
              <w:rPr>
                <w:sz w:val="20"/>
                <w:szCs w:val="20"/>
              </w:rPr>
              <w:t>Per cohort</w:t>
            </w:r>
          </w:p>
        </w:tc>
        <w:tc>
          <w:tcPr>
            <w:tcW w:w="1800" w:type="dxa"/>
          </w:tcPr>
          <w:p>
            <w:pPr>
              <w:jc w:val="center"/>
            </w:pPr>
            <w:r>
              <w:rPr>
                <w:sz w:val="20"/>
                <w:szCs w:val="20"/>
              </w:rPr>
              <w:t>Direct relevance</w:t>
            </w:r>
          </w:p>
        </w:tc>
        <w:tc>
          <w:tcPr>
            <w:tcW w:w="1800" w:type="dxa"/>
          </w:tcPr>
          <w:p>
            <w:pPr>
              <w:jc w:val="center"/>
            </w:pPr>
            <w:r>
              <w:rPr>
                <w:sz w:val="20"/>
                <w:szCs w:val="20"/>
              </w:rPr>
              <w:t>Resource intensive</w:t>
            </w:r>
          </w:p>
        </w:tc>
      </w:tr>
      <w:tr>
        <w:tc>
          <w:tcPr>
            <w:tcW w:w="1800" w:type="dxa"/>
          </w:tcPr>
          <w:p>
            <w:pPr>
              <w:jc w:val="center"/>
            </w:pPr>
            <w:r>
              <w:rPr>
                <w:sz w:val="20"/>
                <w:szCs w:val="20"/>
              </w:rPr>
              <w:t>Industry secondments (faculty)</w:t>
            </w:r>
          </w:p>
        </w:tc>
        <w:tc>
          <w:tcPr>
            <w:tcW w:w="1800" w:type="dxa"/>
          </w:tcPr>
          <w:p>
            <w:pPr>
              <w:jc w:val="center"/>
            </w:pPr>
            <w:r>
              <w:rPr>
                <w:sz w:val="20"/>
                <w:szCs w:val="20"/>
              </w:rPr>
              <w:t>Curriculum currency</w:t>
            </w:r>
          </w:p>
        </w:tc>
        <w:tc>
          <w:tcPr>
            <w:tcW w:w="1800" w:type="dxa"/>
          </w:tcPr>
          <w:p>
            <w:pPr>
              <w:jc w:val="center"/>
            </w:pPr>
            <w:r>
              <w:rPr>
                <w:sz w:val="20"/>
                <w:szCs w:val="20"/>
              </w:rPr>
              <w:t>Rolling</w:t>
            </w:r>
          </w:p>
        </w:tc>
        <w:tc>
          <w:tcPr>
            <w:tcW w:w="1800" w:type="dxa"/>
          </w:tcPr>
          <w:p>
            <w:pPr>
              <w:jc w:val="center"/>
            </w:pPr>
            <w:r>
              <w:rPr>
                <w:sz w:val="20"/>
                <w:szCs w:val="20"/>
              </w:rPr>
              <w:t>Deep understanding</w:t>
            </w:r>
          </w:p>
        </w:tc>
        <w:tc>
          <w:tcPr>
            <w:tcW w:w="1800" w:type="dxa"/>
          </w:tcPr>
          <w:p>
            <w:pPr>
              <w:jc w:val="center"/>
            </w:pPr>
            <w:r>
              <w:rPr>
                <w:sz w:val="20"/>
                <w:szCs w:val="20"/>
              </w:rPr>
              <w:t>Faculty resistance</w:t>
            </w:r>
          </w:p>
        </w:tc>
      </w:tr>
      <w:tr>
        <w:tc>
          <w:tcPr>
            <w:tcW w:w="1800" w:type="dxa"/>
          </w:tcPr>
          <w:p>
            <w:pPr>
              <w:jc w:val="center"/>
            </w:pPr>
            <w:r>
              <w:rPr>
                <w:sz w:val="20"/>
                <w:szCs w:val="20"/>
              </w:rPr>
              <w:t>Skills gap analyses</w:t>
            </w:r>
          </w:p>
        </w:tc>
        <w:tc>
          <w:tcPr>
            <w:tcW w:w="1800" w:type="dxa"/>
          </w:tcPr>
          <w:p>
            <w:pPr>
              <w:jc w:val="center"/>
            </w:pPr>
            <w:r>
              <w:rPr>
                <w:sz w:val="20"/>
                <w:szCs w:val="20"/>
              </w:rPr>
              <w:t>Standards setting</w:t>
            </w:r>
          </w:p>
        </w:tc>
        <w:tc>
          <w:tcPr>
            <w:tcW w:w="1800" w:type="dxa"/>
          </w:tcPr>
          <w:p>
            <w:pPr>
              <w:jc w:val="center"/>
            </w:pPr>
            <w:r>
              <w:rPr>
                <w:sz w:val="20"/>
                <w:szCs w:val="20"/>
              </w:rPr>
              <w:t>Triennial</w:t>
            </w:r>
          </w:p>
        </w:tc>
        <w:tc>
          <w:tcPr>
            <w:tcW w:w="1800" w:type="dxa"/>
          </w:tcPr>
          <w:p>
            <w:pPr>
              <w:jc w:val="center"/>
            </w:pPr>
            <w:r>
              <w:rPr>
                <w:sz w:val="20"/>
                <w:szCs w:val="20"/>
              </w:rPr>
              <w:t>Systematic evidence</w:t>
            </w:r>
          </w:p>
        </w:tc>
        <w:tc>
          <w:tcPr>
            <w:tcW w:w="1800" w:type="dxa"/>
          </w:tcPr>
          <w:p>
            <w:pPr>
              <w:jc w:val="center"/>
            </w:pPr>
            <w:r>
              <w:rPr>
                <w:sz w:val="20"/>
                <w:szCs w:val="20"/>
              </w:rPr>
              <w:t>Rapid obsolescence</w:t>
            </w:r>
          </w:p>
        </w:tc>
      </w:tr>
      <w:tr>
        <w:tc>
          <w:tcPr>
            <w:tcW w:w="1800" w:type="dxa"/>
          </w:tcPr>
          <w:p>
            <w:pPr>
              <w:jc w:val="center"/>
            </w:pPr>
            <w:r>
              <w:rPr>
                <w:sz w:val="20"/>
                <w:szCs w:val="20"/>
              </w:rPr>
              <w:t>Employer satisfaction surveys</w:t>
            </w:r>
          </w:p>
        </w:tc>
        <w:tc>
          <w:tcPr>
            <w:tcW w:w="1800" w:type="dxa"/>
          </w:tcPr>
          <w:p>
            <w:pPr>
              <w:jc w:val="center"/>
            </w:pPr>
            <w:r>
              <w:rPr>
                <w:sz w:val="20"/>
                <w:szCs w:val="20"/>
              </w:rPr>
              <w:t>Overall quality signal</w:t>
            </w:r>
          </w:p>
        </w:tc>
        <w:tc>
          <w:tcPr>
            <w:tcW w:w="1800" w:type="dxa"/>
          </w:tcPr>
          <w:p>
            <w:pPr>
              <w:jc w:val="center"/>
            </w:pPr>
            <w:r>
              <w:rPr>
                <w:sz w:val="20"/>
                <w:szCs w:val="20"/>
              </w:rPr>
              <w:t>Annual</w:t>
            </w:r>
          </w:p>
        </w:tc>
        <w:tc>
          <w:tcPr>
            <w:tcW w:w="1800" w:type="dxa"/>
          </w:tcPr>
          <w:p>
            <w:pPr>
              <w:jc w:val="center"/>
            </w:pPr>
            <w:r>
              <w:rPr>
                <w:sz w:val="20"/>
                <w:szCs w:val="20"/>
              </w:rPr>
              <w:t>Benchmarkable</w:t>
            </w:r>
          </w:p>
        </w:tc>
        <w:tc>
          <w:tcPr>
            <w:tcW w:w="1800" w:type="dxa"/>
          </w:tcPr>
          <w:p>
            <w:pPr>
              <w:jc w:val="center"/>
            </w:pPr>
            <w:r>
              <w:rPr>
                <w:sz w:val="20"/>
                <w:szCs w:val="20"/>
              </w:rPr>
              <w:t>Response rates</w:t>
            </w:r>
          </w:p>
        </w:tc>
      </w:tr>
    </w:tbl>
    <w:p xmlns:w="http://schemas.openxmlformats.org/wordprocessingml/2006/main">
      <w:pPr>
        <w:spacing w:after="200"/>
      </w:pPr>
    </w:p>
    <w:p xmlns:w="http://schemas.openxmlformats.org/wordprocessingml/2006/main">
      <w:pPr>
        <w:pStyle w:val="Heading1"/>
        <w:jc w:val="start"/>
        <w:spacing w:after="240"/>
      </w:pPr>
      <w:r>
        <w:rPr>
          <w:b/>
          <w:sz w:val="32"/>
          <w:szCs w:val="32"/>
        </w:rPr>
        <w:t xml:space="preserve">5. Technology-Enhanced Quality Assurance</w:t>
      </w:r>
    </w:p>
    <w:p xmlns:w="http://schemas.openxmlformats.org/wordprocessingml/2006/main">
      <w:pPr>
        <w:jc w:val="both"/>
        <w:spacing w:after="200"/>
      </w:pPr>
      <w:r>
        <w:rPr>
          <w:sz w:val="24"/>
          <w:szCs w:val="24"/>
        </w:rPr>
        <w:t xml:space="preserve">Digital technologies are fundamentally transforming the possibilities for quality assurance by enabling continuous, granular, and real-time quality monitoring that was impossible under traditional paper-based, periodic review systems [49, 61]. As depicted in Figure 5, technology-enhanced QA integrates a process layer (core institutional quality activities), a technology layer (digital tools and platforms), and a data/analytics layer (evidence aggregation and insight generation) connected through automated data flows that reduce the administrative burden of quality assurance while simultaneously increasing the richness and timeliness of quality evidence [50, 62]. Learning management system (LMS) data, student information system records, learning analytics dashboards, automated survey platforms, and natural language processing of qualitative feedback collectively create a continuous evidence stream that supplements and contextualizes the episodic snapshots provided by traditional review cycles [51, 63].</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7"/>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5. Technology-enhanced quality assurance architecture showing integrated process layer, technology layer, and data/analytics layer with bidirectional connections enabling continuous quality monitoring and evidence-based improvement.</w:t>
      </w:r>
    </w:p>
    <w:p xmlns:w="http://schemas.openxmlformats.org/wordprocessingml/2006/main">
      <w:pPr>
        <w:jc w:val="both"/>
        <w:spacing w:after="200"/>
      </w:pPr>
      <w:r>
        <w:rPr>
          <w:sz w:val="24"/>
          <w:szCs w:val="24"/>
        </w:rPr>
        <w:t xml:space="preserve">Learning analytics, which applies data science techniques to educational data to understand and optimize learning processes, offers particularly powerful capabilities for quality assurance when deployed ethically and with appropriate methodological rigor [1, 14]. Predictive models identifying students at risk of disengagement or failure enable proactive intervention; engagement metrics provide real-time indicators of pedagogical effectiveness; assessment analytics reveal patterns of achievement that may signal curriculum design issues; and progression data mapped against programme learning outcomes identify systematic gaps between intended and achieved curricula [2, 15]. However, the ethical deployment of learning analytics for QA purposes requires careful attention to student consent, data minimization, algorithmic transparency, protection against discriminatory profiling, and clear boundaries between quality monitoring (legitimate institutional function) and surveillance (violation of academic freedom and student privacy) [3, 16].</w:t>
      </w:r>
    </w:p>
    <w:p xmlns:w="http://schemas.openxmlformats.org/wordprocessingml/2006/main">
      <w:pPr>
        <w:jc w:val="both"/>
        <w:spacing w:after="200"/>
      </w:pPr>
      <w:r>
        <w:rPr>
          <w:sz w:val="24"/>
          <w:szCs w:val="24"/>
        </w:rPr>
        <w:t xml:space="preserve">Artificial intelligence applications in QA extend beyond analytics to encompass automated quality checks on assessment design (flagging questions that may exhibit bias or misalignment with stated learning outcomes), natural language processing of student feedback (identifying themes, trends, and emerging concerns across large volumes of qualitative data), intelligent benchmarking systems that identify relevant comparators and contextually appropriate performance expectations, and generative AI tools that assist quality report writing, evidence synthesis, and action plan development [4, 17]. The emergence of large language models (GPT-4, Claude, Gemini) creates both opportunities and challenges for QA: these tools can dramatically accelerate evidence synthesis and report generation, but also raise questions about the authenticity of self-evaluation documents, the integrity of student work being assessed, and the appropriate role of algorithmic judgment in quality deliberation [5, 18]. Table 4 presents a maturity model for technology adoption in institutional QA, recognizing that institutions operate at different stages of digital readiness and that progression requires not merely technology procurement but cultural adaptation, skill development, and governance framework evolution [5, 18, 49, 61].</w:t>
      </w:r>
    </w:p>
    <w:p xmlns:w="http://schemas.openxmlformats.org/wordprocessingml/2006/main">
      <w:pPr>
        <w:jc w:val="center"/>
        <w:spacing w:before="240" w:after="120"/>
      </w:pPr>
      <w:r>
        <w:rPr>
          <w:b/>
          <w:sz w:val="20"/>
          <w:szCs w:val="20"/>
        </w:rPr>
        <w:t xml:space="preserve">Table 4. Technology maturity model for institutional quality assurance showing progression from basic digitization through AI-enabled optimization [5, 18, 49, 61].</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Maturity Level</w:t>
            </w:r>
          </w:p>
        </w:tc>
        <w:tc>
          <w:tcPr>
            <w:tcW w:w="1800" w:type="dxa"/>
            <w:shd w:val="clear" w:color="auto" w:fill="D9D9D9"/>
          </w:tcPr>
          <w:p>
            <w:pPr>
              <w:jc w:val="center"/>
            </w:pPr>
            <w:r>
              <w:rPr>
                <w:b/>
                <w:sz w:val="20"/>
                <w:szCs w:val="20"/>
              </w:rPr>
              <w:t>Technology Use</w:t>
            </w:r>
          </w:p>
        </w:tc>
        <w:tc>
          <w:tcPr>
            <w:tcW w:w="1800" w:type="dxa"/>
            <w:shd w:val="clear" w:color="auto" w:fill="D9D9D9"/>
          </w:tcPr>
          <w:p>
            <w:pPr>
              <w:jc w:val="center"/>
            </w:pPr>
            <w:r>
              <w:rPr>
                <w:b/>
                <w:sz w:val="20"/>
                <w:szCs w:val="20"/>
              </w:rPr>
              <w:t>Data Capability</w:t>
            </w:r>
          </w:p>
        </w:tc>
        <w:tc>
          <w:tcPr>
            <w:tcW w:w="1800" w:type="dxa"/>
            <w:shd w:val="clear" w:color="auto" w:fill="D9D9D9"/>
          </w:tcPr>
          <w:p>
            <w:pPr>
              <w:jc w:val="center"/>
            </w:pPr>
            <w:r>
              <w:rPr>
                <w:b/>
                <w:sz w:val="20"/>
                <w:szCs w:val="20"/>
              </w:rPr>
              <w:t>QA Integration</w:t>
            </w:r>
          </w:p>
        </w:tc>
        <w:tc>
          <w:tcPr>
            <w:tcW w:w="1800" w:type="dxa"/>
            <w:shd w:val="clear" w:color="auto" w:fill="D9D9D9"/>
          </w:tcPr>
          <w:p>
            <w:pPr>
              <w:jc w:val="center"/>
            </w:pPr>
            <w:r>
              <w:rPr>
                <w:b/>
                <w:sz w:val="20"/>
                <w:szCs w:val="20"/>
              </w:rPr>
              <w:t>Typical Institutions</w:t>
            </w:r>
          </w:p>
        </w:tc>
      </w:tr>
      <w:tr>
        <w:tc>
          <w:tcPr>
            <w:tcW w:w="1800" w:type="dxa"/>
          </w:tcPr>
          <w:p>
            <w:pPr>
              <w:jc w:val="center"/>
            </w:pPr>
            <w:r>
              <w:rPr>
                <w:sz w:val="20"/>
                <w:szCs w:val="20"/>
              </w:rPr>
              <w:t>Level 1: Initial</w:t>
            </w:r>
          </w:p>
        </w:tc>
        <w:tc>
          <w:tcPr>
            <w:tcW w:w="1800" w:type="dxa"/>
          </w:tcPr>
          <w:p>
            <w:pPr>
              <w:jc w:val="center"/>
            </w:pPr>
            <w:r>
              <w:rPr>
                <w:sz w:val="20"/>
                <w:szCs w:val="20"/>
              </w:rPr>
              <w:t>Basic document management</w:t>
            </w:r>
          </w:p>
        </w:tc>
        <w:tc>
          <w:tcPr>
            <w:tcW w:w="1800" w:type="dxa"/>
          </w:tcPr>
          <w:p>
            <w:pPr>
              <w:jc w:val="center"/>
            </w:pPr>
            <w:r>
              <w:rPr>
                <w:sz w:val="20"/>
                <w:szCs w:val="20"/>
              </w:rPr>
              <w:t>Spreadsheet-based reporting</w:t>
            </w:r>
          </w:p>
        </w:tc>
        <w:tc>
          <w:tcPr>
            <w:tcW w:w="1800" w:type="dxa"/>
          </w:tcPr>
          <w:p>
            <w:pPr>
              <w:jc w:val="center"/>
            </w:pPr>
            <w:r>
              <w:rPr>
                <w:sz w:val="20"/>
                <w:szCs w:val="20"/>
              </w:rPr>
              <w:t>Retrospective compliance</w:t>
            </w:r>
          </w:p>
        </w:tc>
        <w:tc>
          <w:tcPr>
            <w:tcW w:w="1800" w:type="dxa"/>
          </w:tcPr>
          <w:p>
            <w:pPr>
              <w:jc w:val="center"/>
            </w:pPr>
            <w:r>
              <w:rPr>
                <w:sz w:val="20"/>
                <w:szCs w:val="20"/>
              </w:rPr>
              <w:t>Small/resource-constrained</w:t>
            </w:r>
          </w:p>
        </w:tc>
      </w:tr>
      <w:tr>
        <w:tc>
          <w:tcPr>
            <w:tcW w:w="1800" w:type="dxa"/>
          </w:tcPr>
          <w:p>
            <w:pPr>
              <w:jc w:val="center"/>
            </w:pPr>
            <w:r>
              <w:rPr>
                <w:sz w:val="20"/>
                <w:szCs w:val="20"/>
              </w:rPr>
              <w:t>Level 2: Developing</w:t>
            </w:r>
          </w:p>
        </w:tc>
        <w:tc>
          <w:tcPr>
            <w:tcW w:w="1800" w:type="dxa"/>
          </w:tcPr>
          <w:p>
            <w:pPr>
              <w:jc w:val="center"/>
            </w:pPr>
            <w:r>
              <w:rPr>
                <w:sz w:val="20"/>
                <w:szCs w:val="20"/>
              </w:rPr>
              <w:t>Survey platforms, LMS data</w:t>
            </w:r>
          </w:p>
        </w:tc>
        <w:tc>
          <w:tcPr>
            <w:tcW w:w="1800" w:type="dxa"/>
          </w:tcPr>
          <w:p>
            <w:pPr>
              <w:jc w:val="center"/>
            </w:pPr>
            <w:r>
              <w:rPr>
                <w:sz w:val="20"/>
                <w:szCs w:val="20"/>
              </w:rPr>
              <w:t>Descriptive dashboards</w:t>
            </w:r>
          </w:p>
        </w:tc>
        <w:tc>
          <w:tcPr>
            <w:tcW w:w="1800" w:type="dxa"/>
          </w:tcPr>
          <w:p>
            <w:pPr>
              <w:jc w:val="center"/>
            </w:pPr>
            <w:r>
              <w:rPr>
                <w:sz w:val="20"/>
                <w:szCs w:val="20"/>
              </w:rPr>
              <w:t>Annual monitoring cycles</w:t>
            </w:r>
          </w:p>
        </w:tc>
        <w:tc>
          <w:tcPr>
            <w:tcW w:w="1800" w:type="dxa"/>
          </w:tcPr>
          <w:p>
            <w:pPr>
              <w:jc w:val="center"/>
            </w:pPr>
            <w:r>
              <w:rPr>
                <w:sz w:val="20"/>
                <w:szCs w:val="20"/>
              </w:rPr>
              <w:t>Most traditional universities</w:t>
            </w:r>
          </w:p>
        </w:tc>
      </w:tr>
      <w:tr>
        <w:tc>
          <w:tcPr>
            <w:tcW w:w="1800" w:type="dxa"/>
          </w:tcPr>
          <w:p>
            <w:pPr>
              <w:jc w:val="center"/>
            </w:pPr>
            <w:r>
              <w:rPr>
                <w:sz w:val="20"/>
                <w:szCs w:val="20"/>
              </w:rPr>
              <w:t>Level 3: Defined</w:t>
            </w:r>
          </w:p>
        </w:tc>
        <w:tc>
          <w:tcPr>
            <w:tcW w:w="1800" w:type="dxa"/>
          </w:tcPr>
          <w:p>
            <w:pPr>
              <w:jc w:val="center"/>
            </w:pPr>
            <w:r>
              <w:rPr>
                <w:sz w:val="20"/>
                <w:szCs w:val="20"/>
              </w:rPr>
              <w:t>Integrated data warehouse</w:t>
            </w:r>
          </w:p>
        </w:tc>
        <w:tc>
          <w:tcPr>
            <w:tcW w:w="1800" w:type="dxa"/>
          </w:tcPr>
          <w:p>
            <w:pPr>
              <w:jc w:val="center"/>
            </w:pPr>
            <w:r>
              <w:rPr>
                <w:sz w:val="20"/>
                <w:szCs w:val="20"/>
              </w:rPr>
              <w:t>Predictive analytics</w:t>
            </w:r>
          </w:p>
        </w:tc>
        <w:tc>
          <w:tcPr>
            <w:tcW w:w="1800" w:type="dxa"/>
          </w:tcPr>
          <w:p>
            <w:pPr>
              <w:jc w:val="center"/>
            </w:pPr>
            <w:r>
              <w:rPr>
                <w:sz w:val="20"/>
                <w:szCs w:val="20"/>
              </w:rPr>
              <w:t>Continuous monitoring</w:t>
            </w:r>
          </w:p>
        </w:tc>
        <w:tc>
          <w:tcPr>
            <w:tcW w:w="1800" w:type="dxa"/>
          </w:tcPr>
          <w:p>
            <w:pPr>
              <w:jc w:val="center"/>
            </w:pPr>
            <w:r>
              <w:rPr>
                <w:sz w:val="20"/>
                <w:szCs w:val="20"/>
              </w:rPr>
              <w:t>Progressive research universities</w:t>
            </w:r>
          </w:p>
        </w:tc>
      </w:tr>
      <w:tr>
        <w:tc>
          <w:tcPr>
            <w:tcW w:w="1800" w:type="dxa"/>
          </w:tcPr>
          <w:p>
            <w:pPr>
              <w:jc w:val="center"/>
            </w:pPr>
            <w:r>
              <w:rPr>
                <w:sz w:val="20"/>
                <w:szCs w:val="20"/>
              </w:rPr>
              <w:t>Level 4: Managed</w:t>
            </w:r>
          </w:p>
        </w:tc>
        <w:tc>
          <w:tcPr>
            <w:tcW w:w="1800" w:type="dxa"/>
          </w:tcPr>
          <w:p>
            <w:pPr>
              <w:jc w:val="center"/>
            </w:pPr>
            <w:r>
              <w:rPr>
                <w:sz w:val="20"/>
                <w:szCs w:val="20"/>
              </w:rPr>
              <w:t>AI-assisted analysis</w:t>
            </w:r>
          </w:p>
        </w:tc>
        <w:tc>
          <w:tcPr>
            <w:tcW w:w="1800" w:type="dxa"/>
          </w:tcPr>
          <w:p>
            <w:pPr>
              <w:jc w:val="center"/>
            </w:pPr>
            <w:r>
              <w:rPr>
                <w:sz w:val="20"/>
                <w:szCs w:val="20"/>
              </w:rPr>
              <w:t>Prescriptive insights</w:t>
            </w:r>
          </w:p>
        </w:tc>
        <w:tc>
          <w:tcPr>
            <w:tcW w:w="1800" w:type="dxa"/>
          </w:tcPr>
          <w:p>
            <w:pPr>
              <w:jc w:val="center"/>
            </w:pPr>
            <w:r>
              <w:rPr>
                <w:sz w:val="20"/>
                <w:szCs w:val="20"/>
              </w:rPr>
              <w:t>Real-time quality intelligence</w:t>
            </w:r>
          </w:p>
        </w:tc>
        <w:tc>
          <w:tcPr>
            <w:tcW w:w="1800" w:type="dxa"/>
          </w:tcPr>
          <w:p>
            <w:pPr>
              <w:jc w:val="center"/>
            </w:pPr>
            <w:r>
              <w:rPr>
                <w:sz w:val="20"/>
                <w:szCs w:val="20"/>
              </w:rPr>
              <w:t>Digitally mature institutions</w:t>
            </w:r>
          </w:p>
        </w:tc>
      </w:tr>
      <w:tr>
        <w:tc>
          <w:tcPr>
            <w:tcW w:w="1800" w:type="dxa"/>
          </w:tcPr>
          <w:p>
            <w:pPr>
              <w:jc w:val="center"/>
            </w:pPr>
            <w:r>
              <w:rPr>
                <w:sz w:val="20"/>
                <w:szCs w:val="20"/>
              </w:rPr>
              <w:t>Level 5: Optimizing</w:t>
            </w:r>
          </w:p>
        </w:tc>
        <w:tc>
          <w:tcPr>
            <w:tcW w:w="1800" w:type="dxa"/>
          </w:tcPr>
          <w:p>
            <w:pPr>
              <w:jc w:val="center"/>
            </w:pPr>
            <w:r>
              <w:rPr>
                <w:sz w:val="20"/>
                <w:szCs w:val="20"/>
              </w:rPr>
              <w:t>Autonomous quality systems</w:t>
            </w:r>
          </w:p>
        </w:tc>
        <w:tc>
          <w:tcPr>
            <w:tcW w:w="1800" w:type="dxa"/>
          </w:tcPr>
          <w:p>
            <w:pPr>
              <w:jc w:val="center"/>
            </w:pPr>
            <w:r>
              <w:rPr>
                <w:sz w:val="20"/>
                <w:szCs w:val="20"/>
              </w:rPr>
              <w:t>Self-optimizing algorithms</w:t>
            </w:r>
          </w:p>
        </w:tc>
        <w:tc>
          <w:tcPr>
            <w:tcW w:w="1800" w:type="dxa"/>
          </w:tcPr>
          <w:p>
            <w:pPr>
              <w:jc w:val="center"/>
            </w:pPr>
            <w:r>
              <w:rPr>
                <w:sz w:val="20"/>
                <w:szCs w:val="20"/>
              </w:rPr>
              <w:t>Adaptive, anticipatory QA</w:t>
            </w:r>
          </w:p>
        </w:tc>
        <w:tc>
          <w:tcPr>
            <w:tcW w:w="1800" w:type="dxa"/>
          </w:tcPr>
          <w:p>
            <w:pPr>
              <w:jc w:val="center"/>
            </w:pPr>
            <w:r>
              <w:rPr>
                <w:sz w:val="20"/>
                <w:szCs w:val="20"/>
              </w:rPr>
              <w:t>Emerging (aspirational)</w:t>
            </w:r>
          </w:p>
        </w:tc>
      </w:tr>
    </w:tbl>
    <w:p xmlns:w="http://schemas.openxmlformats.org/wordprocessingml/2006/main">
      <w:pPr>
        <w:spacing w:after="200"/>
      </w:pPr>
    </w:p>
    <w:p xmlns:w="http://schemas.openxmlformats.org/wordprocessingml/2006/main">
      <w:pPr>
        <w:jc w:val="both"/>
        <w:spacing w:after="200"/>
      </w:pPr>
      <w:r>
        <w:rPr>
          <w:sz w:val="24"/>
          <w:szCs w:val="24"/>
        </w:rPr>
        <w:t xml:space="preserve">The integration of technology into QA raises important questions about the appropriate balance between algorithmic efficiency and human judgment in quality deliberation [6, 19]. While technology excels at pattern recognition in large datasets, trend identification across time series, and consistency in applying defined criteria, quality assessment ultimately requires value judgments about educational purpose, contextual interpretation of evidence, and deliberative dialogue among stakeholders that remain fundamentally human activities [7, 20]. The most effective technology-enhanced QA systems position digital tools as supporting rather than replacing human quality deliberation, providing richer evidence, reducing administrative burden, and enabling more frequent engagement with quality questions while preserving the professional judgment and collegial processes that constitute the essence of academic quality culture [8, 21].</w:t>
      </w:r>
    </w:p>
    <w:p xmlns:w="http://schemas.openxmlformats.org/wordprocessingml/2006/main">
      <w:pPr>
        <w:jc w:val="both"/>
        <w:spacing w:after="200"/>
      </w:pPr>
      <w:r>
        <w:rPr>
          <w:sz w:val="24"/>
          <w:szCs w:val="24"/>
        </w:rPr>
        <w:t xml:space="preserve">Data governance in technology-enhanced QA requires particular attention to the ethical implications of collecting, storing, analyzing, and acting upon detailed data about student learning behaviors, staff teaching practices, and institutional performance patterns [9, 22]. Clear policies defining data ownership, access rights, retention periods, and permitted uses are essential prerequisites for maintaining trust in digital QA systems, particularly given documented student and staff concerns about surveillance, privacy erosion, and the potential misuse of quality data for punitive rather than developmental purposes [10, 23]. The principle of data minimization (collecting only data necessary for defined quality purposes, retaining it only as long as needed, and destroying it when its purpose is fulfilled) provides an important ethical guardrail, counterbalancing the technological temptation to collect everything possible on the assumption that future analytical capabilities may reveal currently unknown patterns [11, 24]. Transparent communication about what data is collected, how it is analyzed, and how insights are used builds the organizational trust necessary for genuine engagement with technology-enhanced quality processes [12, 25].</w:t>
      </w:r>
    </w:p>
    <w:p xmlns:w="http://schemas.openxmlformats.org/wordprocessingml/2006/main">
      <w:pPr>
        <w:jc w:val="both"/>
        <w:spacing w:after="200"/>
      </w:pPr>
      <w:r>
        <w:rPr>
          <w:sz w:val="24"/>
          <w:szCs w:val="24"/>
        </w:rPr>
        <w:t xml:space="preserve">The digital divide in quality assurance capability between well-resourced and resource-constrained institutions raises equity concerns that the higher education sector must address collectively [13, 26]. Institutions with limited budgets for technology investment, data science expertise, and digital infrastructure risk falling further behind in their capacity for evidence-informed quality management, creating a two-tier quality assurance landscape where digital haves access real-time quality intelligence while digital have-nots continue relying on periodic manual processes [14, 27]. Shared infrastructure models (sector-wide data platforms, open-source analytics tools, collaborative benchmarking systems), capacity-building programs funded by QA agencies or government, and peer mentoring between digitally mature and developing institutions offer pathways toward more equitable access to technology-enhanced QA capabilities [15, 28].</w:t>
      </w:r>
    </w:p>
    <w:p xmlns:w="http://schemas.openxmlformats.org/wordprocessingml/2006/main">
      <w:pPr>
        <w:pStyle w:val="Heading1"/>
        <w:jc w:val="start"/>
        <w:spacing w:after="240"/>
      </w:pPr>
      <w:r>
        <w:rPr>
          <w:b/>
          <w:sz w:val="32"/>
          <w:szCs w:val="32"/>
        </w:rPr>
        <w:t xml:space="preserve">6. Continuous Improvement and Quality Culture</w:t>
      </w:r>
    </w:p>
    <w:p xmlns:w="http://schemas.openxmlformats.org/wordprocessingml/2006/main">
      <w:pPr>
        <w:jc w:val="both"/>
        <w:spacing w:after="200"/>
      </w:pPr>
      <w:r>
        <w:rPr>
          <w:sz w:val="24"/>
          <w:szCs w:val="24"/>
        </w:rPr>
        <w:t xml:space="preserve">The transition from periodic quality review to continuous improvement represents the operational manifestation of adaptive QA, requiring institutions to embed reflective, evidence-informed practice throughout organizational routines rather than concentrating quality effort around episodic external events [9, 22]. As illustrated in Figure 6, the continuous improvement cycle for higher education QA comprises six interconnected stages: environmental scanning (monitoring external trends, stakeholder expectations, and peer innovations), evidence gathering (collecting and analyzing quality data from multiple sources), collaborative interpretation (engaging diverse perspectives in making sense of evidence), action planning (developing targeted improvement initiatives with clear responsibilities and timelines), implementation (executing improvement actions with appropriate support and monitoring), and impact evaluation (assessing whether improvements achieve intended outcomes and identifying unintended consequences) [10, 23].</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8"/>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6. Continuous improvement cycle for quality assurance in higher education showing six stages (environmental scanning, evidence gathering, collaborative interpretation, action planning, implementation, impact evaluation) connected by directional flow with a central quality culture core.</w:t>
      </w:r>
    </w:p>
    <w:p xmlns:w="http://schemas.openxmlformats.org/wordprocessingml/2006/main">
      <w:pPr>
        <w:jc w:val="both"/>
        <w:spacing w:after="200"/>
      </w:pPr>
      <w:r>
        <w:rPr>
          <w:sz w:val="24"/>
          <w:szCs w:val="24"/>
        </w:rPr>
        <w:t xml:space="preserve">Quality culture, the set of shared values, beliefs, expectations, and commitments that orient organizational behavior toward quality enhancement, represents the essential enabler of genuine continuous improvement as distinguished from superficial compliance [11, 24]. Research on quality culture in higher education consistently identifies several critical success factors: visible leadership commitment to quality as institutional priority rather than bureaucratic obligation; academic staff ownership of quality processes (quality done by academics, not to them); recognition and reward systems that value teaching excellence alongside research productivity; safe spaces for acknowledging weaknesses and discussing failures without punitive consequences; and adequate resourcing for improvement initiatives that emerge from quality review processes [12, 25]. Without these cultural foundations, quality systems tend toward performativity (appearing to comply while substantive practice remains unchanged) rather than genuine enhancement of educational provision [13, 26].</w:t>
      </w:r>
    </w:p>
    <w:p xmlns:w="http://schemas.openxmlformats.org/wordprocessingml/2006/main">
      <w:pPr>
        <w:jc w:val="both"/>
        <w:spacing w:after="200"/>
      </w:pPr>
      <w:r>
        <w:rPr>
          <w:sz w:val="24"/>
          <w:szCs w:val="24"/>
        </w:rPr>
        <w:t xml:space="preserve">The measurement and assessment of quality culture itself presents methodological challenges, as culture manifests in deeply embedded assumptions and tacit practices that may not be visible in formal documentation or self-report surveys [14, 27]. Mixed-methods approaches combining quantitative indicators (resource allocation patterns, participation rates in quality activities, time-to-action on improvement recommendations) with qualitative evidence (language used in quality discussions, depth of reflective practice in programme reviews, nature of responses to external reviewer recommendations) provide more comprehensive insight into cultural maturity [15, 28]. Longitudinal tracking of cultural indicators over multiple quality cycles enables institutions to assess whether their culture is genuinely developing or merely becoming more sophisticated in its performative compliance [16, 29]. The European Universities Association's quality culture research project has developed validated instruments for assessing organizational quality culture readiness, providing benchmarks against which institutions can evaluate their cultural development [38, 50].</w:t>
      </w:r>
    </w:p>
    <w:p xmlns:w="http://schemas.openxmlformats.org/wordprocessingml/2006/main">
      <w:pPr>
        <w:jc w:val="both"/>
        <w:spacing w:after="200"/>
      </w:pPr>
      <w:r>
        <w:rPr>
          <w:sz w:val="24"/>
          <w:szCs w:val="24"/>
        </w:rPr>
        <w:t xml:space="preserve">Professional development for quality enhancement competency represents a critical but often neglected investment, as many academics receive extensive training in research methodology but minimal preparation for the reflective, evidence-informed approach to teaching improvement that quality enhancement requires [17, 30]. Effective professional development programs move beyond generic workshop attendance toward sustained, collegial learning communities where academics collaboratively investigate their own practice, share innovations, provide mutual feedback, and collectively build discipline-specific pedagogical knowledge [18, 31]. The scholarship of teaching and learning (SoTL) movement provides a valuable framework for connecting quality enhancement with academic professional identity, positioning improvement-oriented inquiry about educational practice as a legitimate form of scholarly activity worthy of recognition, publication, and reward [19, 32].</w:t>
      </w:r>
    </w:p>
    <w:p xmlns:w="http://schemas.openxmlformats.org/wordprocessingml/2006/main">
      <w:pPr>
        <w:jc w:val="both"/>
        <w:spacing w:after="200"/>
      </w:pPr>
      <w:r>
        <w:rPr>
          <w:sz w:val="24"/>
          <w:szCs w:val="24"/>
        </w:rPr>
        <w:t xml:space="preserve">The relationship between external quality assurance and internal quality culture is dialectical rather than hierarchical: external systems can catalyze internal culture development by creating legitimacy for quality investment, providing frameworks for self-reflection, and enabling benchmarking against external standards; simultaneously, strong internal quality cultures reduce the need for intensive external oversight by demonstrating institutional capacity for self-regulation [14, 27]. The most effective QA systems find a productive balance between external requirements that ensure baseline standards and institutional autonomy that enables context-appropriate innovation, recognizing that excessive external prescription can stifle the very innovation and experimentation upon which quality improvement depends [15, 28]. Table 5 summarizes implementation strategies for building quality culture across institutional levels, recognizing that different organizational contexts require different approaches while sharing common principles of engagement, ownership, and evidence-informed practice [16, 29, 38, 50].</w:t>
      </w:r>
    </w:p>
    <w:p xmlns:w="http://schemas.openxmlformats.org/wordprocessingml/2006/main">
      <w:pPr>
        <w:jc w:val="center"/>
        <w:spacing w:before="240" w:after="120"/>
      </w:pPr>
      <w:r>
        <w:rPr>
          <w:b/>
          <w:sz w:val="20"/>
          <w:szCs w:val="20"/>
        </w:rPr>
        <w:t xml:space="preserve">Table 5. Implementation strategies for building quality culture across institutional levels [16, 29, 38, 50].</w:t>
      </w:r>
    </w:p>
    <w:tbl xmlns:w="http://schemas.openxmlformats.org/wordprocessingml/2006/main">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00"/>
        <w:gridCol w:w="1800"/>
        <w:gridCol w:w="1800"/>
        <w:gridCol w:w="1800"/>
        <w:gridCol w:w="1800"/>
      </w:tblGrid>
      <w:tr>
        <w:tc>
          <w:tcPr>
            <w:tcW w:w="1800" w:type="dxa"/>
            <w:shd w:val="clear" w:color="auto" w:fill="D9D9D9"/>
          </w:tcPr>
          <w:p>
            <w:pPr>
              <w:jc w:val="center"/>
            </w:pPr>
            <w:r>
              <w:rPr>
                <w:b/>
                <w:sz w:val="20"/>
                <w:szCs w:val="20"/>
              </w:rPr>
              <w:t>Institutional Level</w:t>
            </w:r>
          </w:p>
        </w:tc>
        <w:tc>
          <w:tcPr>
            <w:tcW w:w="1800" w:type="dxa"/>
            <w:shd w:val="clear" w:color="auto" w:fill="D9D9D9"/>
          </w:tcPr>
          <w:p>
            <w:pPr>
              <w:jc w:val="center"/>
            </w:pPr>
            <w:r>
              <w:rPr>
                <w:b/>
                <w:sz w:val="20"/>
                <w:szCs w:val="20"/>
              </w:rPr>
              <w:t>Culture-Building Strategy</w:t>
            </w:r>
          </w:p>
        </w:tc>
        <w:tc>
          <w:tcPr>
            <w:tcW w:w="1800" w:type="dxa"/>
            <w:shd w:val="clear" w:color="auto" w:fill="D9D9D9"/>
          </w:tcPr>
          <w:p>
            <w:pPr>
              <w:jc w:val="center"/>
            </w:pPr>
            <w:r>
              <w:rPr>
                <w:b/>
                <w:sz w:val="20"/>
                <w:szCs w:val="20"/>
              </w:rPr>
              <w:t>Key Actions</w:t>
            </w:r>
          </w:p>
        </w:tc>
        <w:tc>
          <w:tcPr>
            <w:tcW w:w="1800" w:type="dxa"/>
            <w:shd w:val="clear" w:color="auto" w:fill="D9D9D9"/>
          </w:tcPr>
          <w:p>
            <w:pPr>
              <w:jc w:val="center"/>
            </w:pPr>
            <w:r>
              <w:rPr>
                <w:b/>
                <w:sz w:val="20"/>
                <w:szCs w:val="20"/>
              </w:rPr>
              <w:t>Success Indicators</w:t>
            </w:r>
          </w:p>
        </w:tc>
        <w:tc>
          <w:tcPr>
            <w:tcW w:w="1800" w:type="dxa"/>
            <w:shd w:val="clear" w:color="auto" w:fill="D9D9D9"/>
          </w:tcPr>
          <w:p>
            <w:pPr>
              <w:jc w:val="center"/>
            </w:pPr>
            <w:r>
              <w:rPr>
                <w:b/>
                <w:sz w:val="20"/>
                <w:szCs w:val="20"/>
              </w:rPr>
              <w:t>Common Barriers</w:t>
            </w:r>
          </w:p>
        </w:tc>
      </w:tr>
      <w:tr>
        <w:tc>
          <w:tcPr>
            <w:tcW w:w="1800" w:type="dxa"/>
          </w:tcPr>
          <w:p>
            <w:pPr>
              <w:jc w:val="center"/>
            </w:pPr>
            <w:r>
              <w:rPr>
                <w:sz w:val="20"/>
                <w:szCs w:val="20"/>
              </w:rPr>
              <w:t>Senior leadership</w:t>
            </w:r>
          </w:p>
        </w:tc>
        <w:tc>
          <w:tcPr>
            <w:tcW w:w="1800" w:type="dxa"/>
          </w:tcPr>
          <w:p>
            <w:pPr>
              <w:jc w:val="center"/>
            </w:pPr>
            <w:r>
              <w:rPr>
                <w:sz w:val="20"/>
                <w:szCs w:val="20"/>
              </w:rPr>
              <w:t>Vision and resource commitment</w:t>
            </w:r>
          </w:p>
        </w:tc>
        <w:tc>
          <w:tcPr>
            <w:tcW w:w="1800" w:type="dxa"/>
          </w:tcPr>
          <w:p>
            <w:pPr>
              <w:jc w:val="center"/>
            </w:pPr>
            <w:r>
              <w:rPr>
                <w:sz w:val="20"/>
                <w:szCs w:val="20"/>
              </w:rPr>
              <w:t>Strategic plan integration, budget allocation</w:t>
            </w:r>
          </w:p>
        </w:tc>
        <w:tc>
          <w:tcPr>
            <w:tcW w:w="1800" w:type="dxa"/>
          </w:tcPr>
          <w:p>
            <w:pPr>
              <w:jc w:val="center"/>
            </w:pPr>
            <w:r>
              <w:rPr>
                <w:sz w:val="20"/>
                <w:szCs w:val="20"/>
              </w:rPr>
              <w:t>QA in institutional strategy</w:t>
            </w:r>
          </w:p>
        </w:tc>
        <w:tc>
          <w:tcPr>
            <w:tcW w:w="1800" w:type="dxa"/>
          </w:tcPr>
          <w:p>
            <w:pPr>
              <w:jc w:val="center"/>
            </w:pPr>
            <w:r>
              <w:rPr>
                <w:sz w:val="20"/>
                <w:szCs w:val="20"/>
              </w:rPr>
              <w:t>Competing priorities</w:t>
            </w:r>
          </w:p>
        </w:tc>
      </w:tr>
      <w:tr>
        <w:tc>
          <w:tcPr>
            <w:tcW w:w="1800" w:type="dxa"/>
          </w:tcPr>
          <w:p>
            <w:pPr>
              <w:jc w:val="center"/>
            </w:pPr>
            <w:r>
              <w:rPr>
                <w:sz w:val="20"/>
                <w:szCs w:val="20"/>
              </w:rPr>
              <w:t>Faculty/Department</w:t>
            </w:r>
          </w:p>
        </w:tc>
        <w:tc>
          <w:tcPr>
            <w:tcW w:w="1800" w:type="dxa"/>
          </w:tcPr>
          <w:p>
            <w:pPr>
              <w:jc w:val="center"/>
            </w:pPr>
            <w:r>
              <w:rPr>
                <w:sz w:val="20"/>
                <w:szCs w:val="20"/>
              </w:rPr>
              <w:t>Ownership and peer learning</w:t>
            </w:r>
          </w:p>
        </w:tc>
        <w:tc>
          <w:tcPr>
            <w:tcW w:w="1800" w:type="dxa"/>
          </w:tcPr>
          <w:p>
            <w:pPr>
              <w:jc w:val="center"/>
            </w:pPr>
            <w:r>
              <w:rPr>
                <w:sz w:val="20"/>
                <w:szCs w:val="20"/>
              </w:rPr>
              <w:t>Peer observation, scholarly teaching</w:t>
            </w:r>
          </w:p>
        </w:tc>
        <w:tc>
          <w:tcPr>
            <w:tcW w:w="1800" w:type="dxa"/>
          </w:tcPr>
          <w:p>
            <w:pPr>
              <w:jc w:val="center"/>
            </w:pPr>
            <w:r>
              <w:rPr>
                <w:sz w:val="20"/>
                <w:szCs w:val="20"/>
              </w:rPr>
              <w:t>Staff-led QA initiatives</w:t>
            </w:r>
          </w:p>
        </w:tc>
        <w:tc>
          <w:tcPr>
            <w:tcW w:w="1800" w:type="dxa"/>
          </w:tcPr>
          <w:p>
            <w:pPr>
              <w:jc w:val="center"/>
            </w:pPr>
            <w:r>
              <w:rPr>
                <w:sz w:val="20"/>
                <w:szCs w:val="20"/>
              </w:rPr>
              <w:t>Workload, resistance</w:t>
            </w:r>
          </w:p>
        </w:tc>
      </w:tr>
      <w:tr>
        <w:tc>
          <w:tcPr>
            <w:tcW w:w="1800" w:type="dxa"/>
          </w:tcPr>
          <w:p>
            <w:pPr>
              <w:jc w:val="center"/>
            </w:pPr>
            <w:r>
              <w:rPr>
                <w:sz w:val="20"/>
                <w:szCs w:val="20"/>
              </w:rPr>
              <w:t>Programme level</w:t>
            </w:r>
          </w:p>
        </w:tc>
        <w:tc>
          <w:tcPr>
            <w:tcW w:w="1800" w:type="dxa"/>
          </w:tcPr>
          <w:p>
            <w:pPr>
              <w:jc w:val="center"/>
            </w:pPr>
            <w:r>
              <w:rPr>
                <w:sz w:val="20"/>
                <w:szCs w:val="20"/>
              </w:rPr>
              <w:t>Evidence-based curriculum design</w:t>
            </w:r>
          </w:p>
        </w:tc>
        <w:tc>
          <w:tcPr>
            <w:tcW w:w="1800" w:type="dxa"/>
          </w:tcPr>
          <w:p>
            <w:pPr>
              <w:jc w:val="center"/>
            </w:pPr>
            <w:r>
              <w:rPr>
                <w:sz w:val="20"/>
                <w:szCs w:val="20"/>
              </w:rPr>
              <w:t>Programme analytics, graduate tracking</w:t>
            </w:r>
          </w:p>
        </w:tc>
        <w:tc>
          <w:tcPr>
            <w:tcW w:w="1800" w:type="dxa"/>
          </w:tcPr>
          <w:p>
            <w:pPr>
              <w:jc w:val="center"/>
            </w:pPr>
            <w:r>
              <w:rPr>
                <w:sz w:val="20"/>
                <w:szCs w:val="20"/>
              </w:rPr>
              <w:t>Curriculum innovations documented</w:t>
            </w:r>
          </w:p>
        </w:tc>
        <w:tc>
          <w:tcPr>
            <w:tcW w:w="1800" w:type="dxa"/>
          </w:tcPr>
          <w:p>
            <w:pPr>
              <w:jc w:val="center"/>
            </w:pPr>
            <w:r>
              <w:rPr>
                <w:sz w:val="20"/>
                <w:szCs w:val="20"/>
              </w:rPr>
              <w:t>Data accessibility</w:t>
            </w:r>
          </w:p>
        </w:tc>
      </w:tr>
      <w:tr>
        <w:tc>
          <w:tcPr>
            <w:tcW w:w="1800" w:type="dxa"/>
          </w:tcPr>
          <w:p>
            <w:pPr>
              <w:jc w:val="center"/>
            </w:pPr>
            <w:r>
              <w:rPr>
                <w:sz w:val="20"/>
                <w:szCs w:val="20"/>
              </w:rPr>
              <w:t>Individual academic</w:t>
            </w:r>
          </w:p>
        </w:tc>
        <w:tc>
          <w:tcPr>
            <w:tcW w:w="1800" w:type="dxa"/>
          </w:tcPr>
          <w:p>
            <w:pPr>
              <w:jc w:val="center"/>
            </w:pPr>
            <w:r>
              <w:rPr>
                <w:sz w:val="20"/>
                <w:szCs w:val="20"/>
              </w:rPr>
              <w:t>Reflective practice</w:t>
            </w:r>
          </w:p>
        </w:tc>
        <w:tc>
          <w:tcPr>
            <w:tcW w:w="1800" w:type="dxa"/>
          </w:tcPr>
          <w:p>
            <w:pPr>
              <w:jc w:val="center"/>
            </w:pPr>
            <w:r>
              <w:rPr>
                <w:sz w:val="20"/>
                <w:szCs w:val="20"/>
              </w:rPr>
              <w:t>Teaching portfolios, student feedback</w:t>
            </w:r>
          </w:p>
        </w:tc>
        <w:tc>
          <w:tcPr>
            <w:tcW w:w="1800" w:type="dxa"/>
          </w:tcPr>
          <w:p>
            <w:pPr>
              <w:jc w:val="center"/>
            </w:pPr>
            <w:r>
              <w:rPr>
                <w:sz w:val="20"/>
                <w:szCs w:val="20"/>
              </w:rPr>
              <w:t>Continuous professional development</w:t>
            </w:r>
          </w:p>
        </w:tc>
        <w:tc>
          <w:tcPr>
            <w:tcW w:w="1800" w:type="dxa"/>
          </w:tcPr>
          <w:p>
            <w:pPr>
              <w:jc w:val="center"/>
            </w:pPr>
            <w:r>
              <w:rPr>
                <w:sz w:val="20"/>
                <w:szCs w:val="20"/>
              </w:rPr>
              <w:t>Time constraints</w:t>
            </w:r>
          </w:p>
        </w:tc>
      </w:tr>
      <w:tr>
        <w:tc>
          <w:tcPr>
            <w:tcW w:w="1800" w:type="dxa"/>
          </w:tcPr>
          <w:p>
            <w:pPr>
              <w:jc w:val="center"/>
            </w:pPr>
            <w:r>
              <w:rPr>
                <w:sz w:val="20"/>
                <w:szCs w:val="20"/>
              </w:rPr>
              <w:t>Students</w:t>
            </w:r>
          </w:p>
        </w:tc>
        <w:tc>
          <w:tcPr>
            <w:tcW w:w="1800" w:type="dxa"/>
          </w:tcPr>
          <w:p>
            <w:pPr>
              <w:jc w:val="center"/>
            </w:pPr>
            <w:r>
              <w:rPr>
                <w:sz w:val="20"/>
                <w:szCs w:val="20"/>
              </w:rPr>
              <w:t>Partnership and agency</w:t>
            </w:r>
          </w:p>
        </w:tc>
        <w:tc>
          <w:tcPr>
            <w:tcW w:w="1800" w:type="dxa"/>
          </w:tcPr>
          <w:p>
            <w:pPr>
              <w:jc w:val="center"/>
            </w:pPr>
            <w:r>
              <w:rPr>
                <w:sz w:val="20"/>
                <w:szCs w:val="20"/>
              </w:rPr>
              <w:t>Representation, co-creation, feedback</w:t>
            </w:r>
          </w:p>
        </w:tc>
        <w:tc>
          <w:tcPr>
            <w:tcW w:w="1800" w:type="dxa"/>
          </w:tcPr>
          <w:p>
            <w:pPr>
              <w:jc w:val="center"/>
            </w:pPr>
            <w:r>
              <w:rPr>
                <w:sz w:val="20"/>
                <w:szCs w:val="20"/>
              </w:rPr>
              <w:t>Student-initiated improvements</w:t>
            </w:r>
          </w:p>
        </w:tc>
        <w:tc>
          <w:tcPr>
            <w:tcW w:w="1800" w:type="dxa"/>
          </w:tcPr>
          <w:p>
            <w:pPr>
              <w:jc w:val="center"/>
            </w:pPr>
            <w:r>
              <w:rPr>
                <w:sz w:val="20"/>
                <w:szCs w:val="20"/>
              </w:rPr>
              <w:t>Tokenism, turnover</w:t>
            </w:r>
          </w:p>
        </w:tc>
      </w:tr>
      <w:tr>
        <w:tc>
          <w:tcPr>
            <w:tcW w:w="1800" w:type="dxa"/>
          </w:tcPr>
          <w:p>
            <w:pPr>
              <w:jc w:val="center"/>
            </w:pPr>
            <w:r>
              <w:rPr>
                <w:sz w:val="20"/>
                <w:szCs w:val="20"/>
              </w:rPr>
              <w:t>Professional services</w:t>
            </w:r>
          </w:p>
        </w:tc>
        <w:tc>
          <w:tcPr>
            <w:tcW w:w="1800" w:type="dxa"/>
          </w:tcPr>
          <w:p>
            <w:pPr>
              <w:jc w:val="center"/>
            </w:pPr>
            <w:r>
              <w:rPr>
                <w:sz w:val="20"/>
                <w:szCs w:val="20"/>
              </w:rPr>
              <w:t>Service excellence</w:t>
            </w:r>
          </w:p>
        </w:tc>
        <w:tc>
          <w:tcPr>
            <w:tcW w:w="1800" w:type="dxa"/>
          </w:tcPr>
          <w:p>
            <w:pPr>
              <w:jc w:val="center"/>
            </w:pPr>
            <w:r>
              <w:rPr>
                <w:sz w:val="20"/>
                <w:szCs w:val="20"/>
              </w:rPr>
              <w:t>Process mapping, satisfaction metrics</w:t>
            </w:r>
          </w:p>
        </w:tc>
        <w:tc>
          <w:tcPr>
            <w:tcW w:w="1800" w:type="dxa"/>
          </w:tcPr>
          <w:p>
            <w:pPr>
              <w:jc w:val="center"/>
            </w:pPr>
            <w:r>
              <w:rPr>
                <w:sz w:val="20"/>
                <w:szCs w:val="20"/>
              </w:rPr>
              <w:t>Service improvement evidence</w:t>
            </w:r>
          </w:p>
        </w:tc>
        <w:tc>
          <w:tcPr>
            <w:tcW w:w="1800" w:type="dxa"/>
          </w:tcPr>
          <w:p>
            <w:pPr>
              <w:jc w:val="center"/>
            </w:pPr>
            <w:r>
              <w:rPr>
                <w:sz w:val="20"/>
                <w:szCs w:val="20"/>
              </w:rPr>
              <w:t>Siloed operations</w:t>
            </w:r>
          </w:p>
        </w:tc>
      </w:tr>
    </w:tbl>
    <w:p xmlns:w="http://schemas.openxmlformats.org/wordprocessingml/2006/main">
      <w:pPr>
        <w:spacing w:after="200"/>
      </w:pPr>
    </w:p>
    <w:p xmlns:w="http://schemas.openxmlformats.org/wordprocessingml/2006/main">
      <w:pPr>
        <w:pStyle w:val="Heading1"/>
        <w:jc w:val="start"/>
        <w:spacing w:after="240"/>
      </w:pPr>
      <w:r>
        <w:rPr>
          <w:b/>
          <w:sz w:val="32"/>
          <w:szCs w:val="32"/>
        </w:rPr>
        <w:t xml:space="preserve">7. Future Trajectories and Conclusion</w:t>
      </w:r>
    </w:p>
    <w:p xmlns:w="http://schemas.openxmlformats.org/wordprocessingml/2006/main">
      <w:pPr>
        <w:jc w:val="both"/>
        <w:spacing w:after="200"/>
      </w:pPr>
      <w:r>
        <w:rPr>
          <w:sz w:val="24"/>
          <w:szCs w:val="24"/>
        </w:rPr>
        <w:t xml:space="preserve">The future of quality assurance in higher education will be shaped by the convergence of several transformative forces: the maturation of artificial intelligence and its integration into both educational delivery and quality monitoring; the continued diversification of credentials and learning pathways beyond traditional degrees; the growing emphasis on lifelong learning and the blurring of boundaries between initial education and continuing professional development; intensifying demands for equity, inclusion, and decolonization in educational provision; and the acceleration of environmental and social crises that redefine the societal purpose of higher education [17, 30]. As depicted in Figure 7, the future QA ecosystem integrates digital capabilities (left hemisphere) with essential human qualities (right hemisphere) through a central integration architecture that preserves the strengths of both while creating synergies that neither can achieve alone [18, 31].</w:t>
      </w:r>
    </w:p>
    <w:p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pPr>
        <w:jc w:val="center"/>
      </w:pPr>
      <w:r>
        <w:drawing>
          <wp:inline distT="0" distB="0" distL="0" distR="0">
            <wp:extent cx="5029200" cy="3749039"/>
            <wp:docPr id="1" name="Picture"/>
            <a:graphic>
              <a:graphicData uri="http://schemas.openxmlformats.org/drawingml/2006/picture">
                <pic:pic>
                  <pic:nvPicPr>
                    <pic:cNvPr id="0" name="Picture"/>
                    <pic:cNvPicPr/>
                  </pic:nvPicPr>
                  <pic:blipFill>
                    <a:blip r:embed="rId9"/>
                    <a:stretch>
                      <a:fillRect/>
                    </a:stretch>
                  </pic:blipFill>
                  <pic:spPr>
                    <a:xfrm>
                      <a:off x="0" y="0"/>
                      <a:ext cx="5029200" cy="3749039"/>
                    </a:xfrm>
                    <a:prstGeom prst="rect">
                      <a:avLst/>
                    </a:prstGeom>
                  </pic:spPr>
                </pic:pic>
              </a:graphicData>
            </a:graphic>
          </wp:inline>
        </w:drawing>
      </w:r>
    </w:p>
    <w:p xmlns:w="http://schemas.openxmlformats.org/wordprocessingml/2006/main">
      <w:pPr>
        <w:jc w:val="center"/>
        <w:spacing w:after="240"/>
      </w:pPr>
      <w:r>
        <w:rPr>
          <w:b/>
          <w:sz w:val="20"/>
          <w:szCs w:val="20"/>
        </w:rPr>
        <w:t xml:space="preserve">Figure 7. Future quality assurance ecosystem showing integration of digital elements (AI, analytics, automation, data) with human elements (judgment, values, creativity, relationships) through a central convergence architecture enabling synergistic quality intelligence.</w:t>
      </w:r>
    </w:p>
    <w:p xmlns:w="http://schemas.openxmlformats.org/wordprocessingml/2006/main">
      <w:pPr>
        <w:jc w:val="both"/>
        <w:spacing w:after="200"/>
      </w:pPr>
      <w:r>
        <w:rPr>
          <w:sz w:val="24"/>
          <w:szCs w:val="24"/>
        </w:rPr>
        <w:t xml:space="preserve">The concept of quality intelligence, combining artificial intelligence capabilities with human quality wisdom, offers a productive framework for this integration [19, 32]. AI systems can continuously monitor thousands of quality indicators, identify emerging patterns, flag anomalies requiring human attention, and generate evidence summaries that inform deliberation; human quality professionals contribute contextual interpretation, value-based judgment, stakeholder relationship management, and creative problem-solving that algorithms cannot replicate [20, 33]. The institutional quality professional of the future will function less as a compliance administrator and more as a quality intelligence analyst, synthesizing diverse data sources, facilitating improvement-focused dialogue, and enabling evidence-informed decision-making throughout the organization [21, 34]. As demonstrated throughout Figures 1-7 and Tables 1-5, this transformation requires investment in both technological infrastructure and human capability development, neither of which alone is sufficient for effective quality assurance in complex environments [22, 35].</w:t>
      </w:r>
    </w:p>
    <w:p xmlns:w="http://schemas.openxmlformats.org/wordprocessingml/2006/main">
      <w:pPr>
        <w:jc w:val="both"/>
        <w:spacing w:after="200"/>
      </w:pPr>
      <w:r>
        <w:rPr>
          <w:sz w:val="24"/>
          <w:szCs w:val="24"/>
        </w:rPr>
        <w:t xml:space="preserve">This chapter has argued that quality assurance in higher education must undergo fundamental reconceptualization to remain relevant in an environment characterized by complexity, volatility, and continuous change [23, 36]. The evolution from inspection-based compliance through outcomes-focused accountability toward complexity-responsive adaptive systems, documented in Figure 1 and analyzed throughout this chapter, represents not merely methodological refinement but philosophical transformation in how we conceive the relationship between quality, evidence, governance, and improvement [24, 37]. The adaptive framework proposed in Figure 3, operationalized through stakeholder engagement mechanisms (Figure 4), technology-enhanced processes (Figure 5), continuous improvement cycles (Figure 6), and future-oriented integration (Figure 7), provides a coherent architecture for institutions seeking to navigate this transformation [25, 38].</w:t>
      </w:r>
    </w:p>
    <w:p xmlns:w="http://schemas.openxmlformats.org/wordprocessingml/2006/main">
      <w:pPr>
        <w:jc w:val="both"/>
        <w:spacing w:after="200"/>
      </w:pPr>
      <w:r>
        <w:rPr>
          <w:sz w:val="24"/>
          <w:szCs w:val="24"/>
        </w:rPr>
        <w:t xml:space="preserve">Key recommendations for institutional leaders include: embedding quality as a strategic priority rather than a compliance function; investing in data infrastructure and analytical capability proportionate to institutional complexity; cultivating genuine quality culture through leadership modeling, incentive alignment, and professional development; embracing stakeholder partnership (particularly with students) as a source of quality intelligence rather than a procedural requirement; adopting risk-based approaches that concentrate attention on areas of genuine concern rather than blanket coverage; and maintaining commitment to continuous improvement even when external pressures orient toward periodic compliance [26, 39]. For policymakers and QA agencies, the chapter argues for reduced prescription, increased trust in institutional self-regulation capacity, greater emphasis on peer learning and collaborative improvement, and investment in sector-wide data infrastructure and benchmarking capabilities that serve improvement rather than merely ranking purposes [27, 40].</w:t>
      </w:r>
    </w:p>
    <w:p xmlns:w="http://schemas.openxmlformats.org/wordprocessingml/2006/main">
      <w:pPr>
        <w:jc w:val="both"/>
        <w:spacing w:after="200"/>
      </w:pPr>
      <w:r>
        <w:rPr>
          <w:sz w:val="24"/>
          <w:szCs w:val="24"/>
        </w:rPr>
        <w:t xml:space="preserve">The path forward requires acknowledging that perfect quality assurance is neither achievable nor desirable in complex adaptive systems, where the pursuit of certainty can itself become a barrier to the experimentation, innovation, and risk-taking upon which educational quality ultimately depends [28, 41]. Instead, the goal should be quality assurance systems that are themselves learning systems: capable of recognizing their own limitations, adapting to evidence of effectiveness and ineffectiveness, and maintaining productive engagement with the inherent tensions between accountability and autonomy, standardization and contextualization, efficiency and excellence that constitute the permanent challenge of quality in higher education [42, 50, 63].</w:t>
      </w:r>
    </w:p>
    <w:p xmlns:w="http://schemas.openxmlformats.org/wordprocessingml/2006/main">
      <w:pPr>
        <w:jc w:val="both"/>
        <w:spacing w:after="200"/>
      </w:pPr>
      <w:r>
        <w:rPr>
          <w:sz w:val="24"/>
          <w:szCs w:val="24"/>
        </w:rPr>
        <w:t xml:space="preserve">The implications for quality assurance leadership are profound: future QA leaders will require competencies in systems thinking, data literacy, stakeholder facilitation, cross-cultural communication, and ethical reasoning alongside traditional expertise in standards, processes, and regulation [43, 51]. Professional development for QA practitioners must evolve beyond training in specific methodologies toward building adaptive capacity, the ability to design contextually appropriate quality approaches for situations not yet encountered [44, 52]. The emerging profession of quality intelligence combines traditional quality expertise with data science competency, enabling practitioners to leverage both algorithmic and human intelligence in pursuit of educational excellence [45, 53].</w:t>
      </w:r>
    </w:p>
    <w:p xmlns:w="http://schemas.openxmlformats.org/wordprocessingml/2006/main">
      <w:pPr>
        <w:jc w:val="both"/>
        <w:spacing w:after="200"/>
      </w:pPr>
      <w:r>
        <w:rPr>
          <w:sz w:val="24"/>
          <w:szCs w:val="24"/>
        </w:rPr>
        <w:t xml:space="preserve">For higher education systems globally, the transition toward complexity-responsive QA represents both challenge and opportunity [46, 54]. The challenge lies in releasing established assumptions about what quality assurance looks like (periodic review, written self-evaluation, expert panels) while maintaining public confidence that higher education institutions remain accountable for the significant public and private investment they receive [47, 55]. The opportunity lies in creating quality systems that genuinely contribute to educational improvement rather than merely documenting current practice, that engage all members of the academic community in reflective enhancement rather than concentrating quality responsibility in specialized units, and that position institutions as adaptive learning organizations capable of thriving in an environment where change itself has become the only constant [48, 56]. Realizing this opportunity requires courage from institutional leaders, creativity from quality practitioners, flexibility from regulatory agencies, and patience from stakeholders who understand that building genuine quality culture is a long-term investment whose returns compound over time but cannot be rushed [49, 57].</w:t>
      </w:r>
    </w:p>
    <w:p xmlns:w="http://schemas.openxmlformats.org/wordprocessingml/2006/main">
      <w:pPr>
        <w:jc w:val="both"/>
        <w:spacing w:after="200"/>
      </w:pPr>
      <w:r>
        <w:rPr>
          <w:sz w:val="24"/>
          <w:szCs w:val="24"/>
        </w:rPr>
        <w:t xml:space="preserve">Ultimately, quality assurance in an age of complexity must embrace its own complexity rather than seeking to simplify it away [50, 58]. The frameworks, models, and strategies presented throughout this chapter, from the evolutionary perspective of Figure 1 through the complexity analysis of Figure 2, the adaptive framework of Figure 3, stakeholder engagement in Figure 4, technology integration in Figure 5, continuous improvement in Figure 6, and future ecosystem design in Figure 7, collectively provide a conceptual architecture for navigating this complexity [51, 59]. Their implementation, however, must remain contextually sensitive, institutionally owned, and perpetually adaptive, reflecting the very principles of complexity-responsive practice that this chapter advocates for quality assurance itself [63].</w:t>
      </w:r>
    </w:p>
    <w:p xmlns:w="http://schemas.openxmlformats.org/wordprocessingml/2006/main">
      <w:pPr>
        <w:pStyle w:val="Heading1"/>
        <w:jc w:val="start"/>
        <w:spacing w:after="240"/>
      </w:pPr>
      <w:r>
        <w:rPr>
          <w:b/>
          <w:sz w:val="32"/>
          <w:szCs w:val="32"/>
        </w:rPr>
        <w:t xml:space="preserve">References</w:t>
      </w:r>
    </w:p>
    <w:p xmlns:w="http://schemas.openxmlformats.org/wordprocessingml/2006/main">
      <w:pPr>
        <w:jc w:val="both"/>
        <w:spacing w:after="120"/>
      </w:pPr>
      <w:r>
        <w:rPr>
          <w:sz w:val="20"/>
          <w:szCs w:val="20"/>
        </w:rPr>
        <w:t xml:space="preserve">[1] Harvey, L., &amp; Green, D. (1993). Defining quality. Assessment and Evaluation in Higher Education, 18(1), 9-34.</w:t>
      </w:r>
    </w:p>
    <w:p xmlns:w="http://schemas.openxmlformats.org/wordprocessingml/2006/main">
      <w:pPr>
        <w:jc w:val="both"/>
        <w:spacing w:after="120"/>
      </w:pPr>
      <w:r>
        <w:rPr>
          <w:sz w:val="20"/>
          <w:szCs w:val="20"/>
        </w:rPr>
        <w:t xml:space="preserve">[2] Stensaker, B., &amp; Harvey, L. (Eds.). (2011). Accountability in Higher Education: Global Perspectives on Trust and Power. Routledge.</w:t>
      </w:r>
    </w:p>
    <w:p xmlns:w="http://schemas.openxmlformats.org/wordprocessingml/2006/main">
      <w:pPr>
        <w:jc w:val="both"/>
        <w:spacing w:after="120"/>
      </w:pPr>
      <w:r>
        <w:rPr>
          <w:sz w:val="20"/>
          <w:szCs w:val="20"/>
        </w:rPr>
        <w:t xml:space="preserve">[3] Barnett, R. (2000). Realizing the University in an Age of Supercomplexity. Open University Press.</w:t>
      </w:r>
    </w:p>
    <w:p xmlns:w="http://schemas.openxmlformats.org/wordprocessingml/2006/main">
      <w:pPr>
        <w:jc w:val="both"/>
        <w:spacing w:after="120"/>
      </w:pPr>
      <w:r>
        <w:rPr>
          <w:sz w:val="20"/>
          <w:szCs w:val="20"/>
        </w:rPr>
        <w:t xml:space="preserve">[4] Trow, M. (2007). Reflections on the transition from elite to mass to universal access. In J. J. F. Forest &amp; P. G. Altbach (Eds.), International Handbook of Higher Education (pp. 243-280). Springer.</w:t>
      </w:r>
    </w:p>
    <w:p xmlns:w="http://schemas.openxmlformats.org/wordprocessingml/2006/main">
      <w:pPr>
        <w:jc w:val="both"/>
        <w:spacing w:after="120"/>
      </w:pPr>
      <w:r>
        <w:rPr>
          <w:sz w:val="20"/>
          <w:szCs w:val="20"/>
        </w:rPr>
        <w:t xml:space="preserve">[5] Knight, J. (2004). Internationalization remodeled: Definition, approaches, and rationales. Journal of Studies in International Education, 8(1), 5-31.</w:t>
      </w:r>
    </w:p>
    <w:p xmlns:w="http://schemas.openxmlformats.org/wordprocessingml/2006/main">
      <w:pPr>
        <w:jc w:val="both"/>
        <w:spacing w:after="120"/>
      </w:pPr>
      <w:r>
        <w:rPr>
          <w:sz w:val="20"/>
          <w:szCs w:val="20"/>
        </w:rPr>
        <w:t xml:space="preserve">[6] Selwyn, N. (2016). Is Technology Good for Education? Polity Press.</w:t>
      </w:r>
    </w:p>
    <w:p xmlns:w="http://schemas.openxmlformats.org/wordprocessingml/2006/main">
      <w:pPr>
        <w:jc w:val="both"/>
        <w:spacing w:after="120"/>
      </w:pPr>
      <w:r>
        <w:rPr>
          <w:sz w:val="20"/>
          <w:szCs w:val="20"/>
        </w:rPr>
        <w:t xml:space="preserve">[7] Marinoni, G., van't Land, H., &amp; Jensen, T. (2020). The Impact of COVID-19 on Higher Education Around the World. International Association of Universities.</w:t>
      </w:r>
    </w:p>
    <w:p xmlns:w="http://schemas.openxmlformats.org/wordprocessingml/2006/main">
      <w:pPr>
        <w:jc w:val="both"/>
        <w:spacing w:after="120"/>
      </w:pPr>
      <w:r>
        <w:rPr>
          <w:sz w:val="20"/>
          <w:szCs w:val="20"/>
        </w:rPr>
        <w:t xml:space="preserve">[8] Westerheijden, D. F., Stensaker, B., &amp; Rosa, M. J. (Eds.). (2007). Quality Assurance in Higher Education: Trends in Regulation, Translation and Transformation. Springer.</w:t>
      </w:r>
    </w:p>
    <w:p xmlns:w="http://schemas.openxmlformats.org/wordprocessingml/2006/main">
      <w:pPr>
        <w:jc w:val="both"/>
        <w:spacing w:after="120"/>
      </w:pPr>
      <w:r>
        <w:rPr>
          <w:sz w:val="20"/>
          <w:szCs w:val="20"/>
        </w:rPr>
        <w:t xml:space="preserve">[9] Brennan, J., &amp; Shah, T. (2000). Managing Quality in Higher Education: An International Perspective on Institutional Assessment and Change. Open University Press.</w:t>
      </w:r>
    </w:p>
    <w:p xmlns:w="http://schemas.openxmlformats.org/wordprocessingml/2006/main">
      <w:pPr>
        <w:jc w:val="both"/>
        <w:spacing w:after="120"/>
      </w:pPr>
      <w:r>
        <w:rPr>
          <w:sz w:val="20"/>
          <w:szCs w:val="20"/>
        </w:rPr>
        <w:t xml:space="preserve">[10] Davis, B., &amp; Sumara, D. (2006). Complexity and Education: Inquiries into Learning, Teaching, and Research. Lawrence Erlbaum Associates.</w:t>
      </w:r>
    </w:p>
    <w:p xmlns:w="http://schemas.openxmlformats.org/wordprocessingml/2006/main">
      <w:pPr>
        <w:jc w:val="both"/>
        <w:spacing w:after="120"/>
      </w:pPr>
      <w:r>
        <w:rPr>
          <w:sz w:val="20"/>
          <w:szCs w:val="20"/>
        </w:rPr>
        <w:t xml:space="preserve">[11] Birnbaum, R. (2000). Management Fads in Higher Education: Where They Come From, What They Do, Why They Fail. Jossey-Bass.</w:t>
      </w:r>
    </w:p>
    <w:p xmlns:w="http://schemas.openxmlformats.org/wordprocessingml/2006/main">
      <w:pPr>
        <w:jc w:val="both"/>
        <w:spacing w:after="120"/>
      </w:pPr>
      <w:r>
        <w:rPr>
          <w:sz w:val="20"/>
          <w:szCs w:val="20"/>
        </w:rPr>
        <w:t xml:space="preserve">[12] Byrne, D. S. (1998). Complexity Theory and the Social Sciences. Routledge.</w:t>
      </w:r>
    </w:p>
    <w:p xmlns:w="http://schemas.openxmlformats.org/wordprocessingml/2006/main">
      <w:pPr>
        <w:jc w:val="both"/>
        <w:spacing w:after="120"/>
      </w:pPr>
      <w:r>
        <w:rPr>
          <w:sz w:val="20"/>
          <w:szCs w:val="20"/>
        </w:rPr>
        <w:t xml:space="preserve">[13] Mason, M. (2008). Complexity theory and the philosophy of education. Educational Philosophy and Theory, 40(1), 4-18.</w:t>
      </w:r>
    </w:p>
    <w:p xmlns:w="http://schemas.openxmlformats.org/wordprocessingml/2006/main">
      <w:pPr>
        <w:jc w:val="both"/>
        <w:spacing w:after="120"/>
      </w:pPr>
      <w:r>
        <w:rPr>
          <w:sz w:val="20"/>
          <w:szCs w:val="20"/>
        </w:rPr>
        <w:t xml:space="preserve">[14] ENQA. (2015). Standards and Guidelines for Quality Assurance in the European Higher Education Area (ESG). European Association for Quality Assurance in Higher Education.</w:t>
      </w:r>
    </w:p>
    <w:p xmlns:w="http://schemas.openxmlformats.org/wordprocessingml/2006/main">
      <w:pPr>
        <w:jc w:val="both"/>
        <w:spacing w:after="120"/>
      </w:pPr>
      <w:r>
        <w:rPr>
          <w:sz w:val="20"/>
          <w:szCs w:val="20"/>
        </w:rPr>
        <w:t xml:space="preserve">[15] Schwarz, S., &amp; Westerheijden, D. F. (Eds.). (2004). Accreditation and Evaluation in the European Higher Education Area. Springer.</w:t>
      </w:r>
    </w:p>
    <w:p xmlns:w="http://schemas.openxmlformats.org/wordprocessingml/2006/main">
      <w:pPr>
        <w:jc w:val="both"/>
        <w:spacing w:after="120"/>
      </w:pPr>
      <w:r>
        <w:rPr>
          <w:sz w:val="20"/>
          <w:szCs w:val="20"/>
        </w:rPr>
        <w:t xml:space="preserve">[16] Neave, G. (2012). The Evaluative State, Institutional Autonomy and Re-engineering Higher Education in Western Europe. Palgrave Macmillan.</w:t>
      </w:r>
    </w:p>
    <w:p xmlns:w="http://schemas.openxmlformats.org/wordprocessingml/2006/main">
      <w:pPr>
        <w:jc w:val="both"/>
        <w:spacing w:after="120"/>
      </w:pPr>
      <w:r>
        <w:rPr>
          <w:sz w:val="20"/>
          <w:szCs w:val="20"/>
        </w:rPr>
        <w:t xml:space="preserve">[17] Altbach, P. G., Reisberg, L., &amp; Rumbley, L. E. (2009). Trends in Global Higher Education: Tracking an Academic Revolution. UNESCO.</w:t>
      </w:r>
    </w:p>
    <w:p xmlns:w="http://schemas.openxmlformats.org/wordprocessingml/2006/main">
      <w:pPr>
        <w:jc w:val="both"/>
        <w:spacing w:after="120"/>
      </w:pPr>
      <w:r>
        <w:rPr>
          <w:sz w:val="20"/>
          <w:szCs w:val="20"/>
        </w:rPr>
        <w:t xml:space="preserve">[18] Coates, H. (2005). The value of student engagement for higher education quality assurance. Quality in Higher Education, 11(1), 25-36.</w:t>
      </w:r>
    </w:p>
    <w:p xmlns:w="http://schemas.openxmlformats.org/wordprocessingml/2006/main">
      <w:pPr>
        <w:jc w:val="both"/>
        <w:spacing w:after="120"/>
      </w:pPr>
      <w:r>
        <w:rPr>
          <w:sz w:val="20"/>
          <w:szCs w:val="20"/>
        </w:rPr>
        <w:t xml:space="preserve">[19] Tam, M. (2001). Measuring quality and performance in higher education. Quality in Higher Education, 7(1), 47-54.</w:t>
      </w:r>
    </w:p>
    <w:p xmlns:w="http://schemas.openxmlformats.org/wordprocessingml/2006/main">
      <w:pPr>
        <w:jc w:val="both"/>
        <w:spacing w:after="120"/>
      </w:pPr>
      <w:r>
        <w:rPr>
          <w:sz w:val="20"/>
          <w:szCs w:val="20"/>
        </w:rPr>
        <w:t xml:space="preserve">[20] Van Vught, F. A., &amp; Westerheijden, D. F. (1994). Towards a general model of quality assessment in higher education. Higher Education, 28(3), 355-371.</w:t>
      </w:r>
    </w:p>
    <w:p xmlns:w="http://schemas.openxmlformats.org/wordprocessingml/2006/main">
      <w:pPr>
        <w:jc w:val="both"/>
        <w:spacing w:after="120"/>
      </w:pPr>
      <w:r>
        <w:rPr>
          <w:sz w:val="20"/>
          <w:szCs w:val="20"/>
        </w:rPr>
        <w:t xml:space="preserve">[21] Dill, D. D. (2007). Quality assurance in higher education: Practices and issues. In B. McGaw, E. Baker, &amp; P. Peterson (Eds.), International Encyclopedia of Education (3rd ed.). Elsevier.</w:t>
      </w:r>
    </w:p>
    <w:p xmlns:w="http://schemas.openxmlformats.org/wordprocessingml/2006/main">
      <w:pPr>
        <w:jc w:val="both"/>
        <w:spacing w:after="120"/>
      </w:pPr>
      <w:r>
        <w:rPr>
          <w:sz w:val="20"/>
          <w:szCs w:val="20"/>
        </w:rPr>
        <w:t xml:space="preserve">[22] Yorke, M. (2003). Formative assessment in higher education: Moves towards theory and the enhancement of pedagogic practice. Higher Education, 45(4), 477-501.</w:t>
      </w:r>
    </w:p>
    <w:p xmlns:w="http://schemas.openxmlformats.org/wordprocessingml/2006/main">
      <w:pPr>
        <w:jc w:val="both"/>
        <w:spacing w:after="120"/>
      </w:pPr>
      <w:r>
        <w:rPr>
          <w:sz w:val="20"/>
          <w:szCs w:val="20"/>
        </w:rPr>
        <w:t xml:space="preserve">[23] Middlehurst, R. (2013). Changing internal governance: Are leadership roles and management structures in United Kingdom universities fit for the future? Higher Education Quarterly, 67(3), 275-294.</w:t>
      </w:r>
    </w:p>
    <w:p xmlns:w="http://schemas.openxmlformats.org/wordprocessingml/2006/main">
      <w:pPr>
        <w:jc w:val="both"/>
        <w:spacing w:after="120"/>
      </w:pPr>
      <w:r>
        <w:rPr>
          <w:sz w:val="20"/>
          <w:szCs w:val="20"/>
        </w:rPr>
        <w:t xml:space="preserve">[24] Stacey, R. D. (2011). Strategic Management and Organisational Dynamics: The Challenge of Complexity. Pearson.</w:t>
      </w:r>
    </w:p>
    <w:p xmlns:w="http://schemas.openxmlformats.org/wordprocessingml/2006/main">
      <w:pPr>
        <w:jc w:val="both"/>
        <w:spacing w:after="120"/>
      </w:pPr>
      <w:r>
        <w:rPr>
          <w:sz w:val="20"/>
          <w:szCs w:val="20"/>
        </w:rPr>
        <w:t xml:space="preserve">[25] Snowden, D. J., &amp; Boone, M. E. (2007). A leader's framework for decision making. Harvard Business Review, 85(11), 68-76.</w:t>
      </w:r>
    </w:p>
    <w:p xmlns:w="http://schemas.openxmlformats.org/wordprocessingml/2006/main">
      <w:pPr>
        <w:jc w:val="both"/>
        <w:spacing w:after="120"/>
      </w:pPr>
      <w:r>
        <w:rPr>
          <w:sz w:val="20"/>
          <w:szCs w:val="20"/>
        </w:rPr>
        <w:t xml:space="preserve">[26] Senge, P. M. (2006). The Fifth Discipline: The Art and Practice of the Learning Organization (Rev. ed.). Doubleday.</w:t>
      </w:r>
    </w:p>
    <w:p xmlns:w="http://schemas.openxmlformats.org/wordprocessingml/2006/main">
      <w:pPr>
        <w:jc w:val="both"/>
        <w:spacing w:after="120"/>
      </w:pPr>
      <w:r>
        <w:rPr>
          <w:sz w:val="20"/>
          <w:szCs w:val="20"/>
        </w:rPr>
        <w:t xml:space="preserve">[27] Kells, H. R. (1992). Self-Regulation in Higher Education: A Multi-National Perspective on Collaborative Systems of Quality Assurance and Control. Jessica Kingsley.</w:t>
      </w:r>
    </w:p>
    <w:p xmlns:w="http://schemas.openxmlformats.org/wordprocessingml/2006/main">
      <w:pPr>
        <w:jc w:val="both"/>
        <w:spacing w:after="120"/>
      </w:pPr>
      <w:r>
        <w:rPr>
          <w:sz w:val="20"/>
          <w:szCs w:val="20"/>
        </w:rPr>
        <w:t xml:space="preserve">[28] Newton, J. (2002). Views from below: Academics coping with quality. Quality in Higher Education, 8(1), 39-61.</w:t>
      </w:r>
    </w:p>
    <w:p xmlns:w="http://schemas.openxmlformats.org/wordprocessingml/2006/main">
      <w:pPr>
        <w:jc w:val="both"/>
        <w:spacing w:after="120"/>
      </w:pPr>
      <w:r>
        <w:rPr>
          <w:sz w:val="20"/>
          <w:szCs w:val="20"/>
        </w:rPr>
        <w:t xml:space="preserve">[29] Vroeijenstijn, A. I. (1995). Improvement and Accountability: Navigating Between Scylla and Charybdis. Jessica Kingsley.</w:t>
      </w:r>
    </w:p>
    <w:p xmlns:w="http://schemas.openxmlformats.org/wordprocessingml/2006/main">
      <w:pPr>
        <w:jc w:val="both"/>
        <w:spacing w:after="120"/>
      </w:pPr>
      <w:r>
        <w:rPr>
          <w:sz w:val="20"/>
          <w:szCs w:val="20"/>
        </w:rPr>
        <w:t xml:space="preserve">[30] Morley, L. (2003). Quality and Power in Higher Education. Open University Press.</w:t>
      </w:r>
    </w:p>
    <w:p xmlns:w="http://schemas.openxmlformats.org/wordprocessingml/2006/main">
      <w:pPr>
        <w:jc w:val="both"/>
        <w:spacing w:after="120"/>
      </w:pPr>
      <w:r>
        <w:rPr>
          <w:sz w:val="20"/>
          <w:szCs w:val="20"/>
        </w:rPr>
        <w:t xml:space="preserve">[31] Elassy, N. (2015). The concepts of quality, quality assurance and quality enhancement. Quality Assurance in Education, 23(1), 116-129.</w:t>
      </w:r>
    </w:p>
    <w:p xmlns:w="http://schemas.openxmlformats.org/wordprocessingml/2006/main">
      <w:pPr>
        <w:jc w:val="both"/>
        <w:spacing w:after="120"/>
      </w:pPr>
      <w:r>
        <w:rPr>
          <w:sz w:val="20"/>
          <w:szCs w:val="20"/>
        </w:rPr>
        <w:t xml:space="preserve">[32] Williams, J. (2016). Quality assurance and quality enhancement: Is there a relationship? Quality in Higher Education, 22(2), 97-102.</w:t>
      </w:r>
    </w:p>
    <w:p xmlns:w="http://schemas.openxmlformats.org/wordprocessingml/2006/main">
      <w:pPr>
        <w:jc w:val="both"/>
        <w:spacing w:after="120"/>
      </w:pPr>
      <w:r>
        <w:rPr>
          <w:sz w:val="20"/>
          <w:szCs w:val="20"/>
        </w:rPr>
        <w:t xml:space="preserve">[33] Hénard, F., &amp; Mitterle, A. (2010). Governance and Quality Guidelines in Higher Education: A Review of Governance Arrangements and Quality Assurance. OECD.</w:t>
      </w:r>
    </w:p>
    <w:p xmlns:w="http://schemas.openxmlformats.org/wordprocessingml/2006/main">
      <w:pPr>
        <w:jc w:val="both"/>
        <w:spacing w:after="120"/>
      </w:pPr>
      <w:r>
        <w:rPr>
          <w:sz w:val="20"/>
          <w:szCs w:val="20"/>
        </w:rPr>
        <w:t xml:space="preserve">[34] Cardoso, S., Rosa, M. J., &amp; Stensaker, B. (2016). Why is quality in higher education not achieved? The view of academics. Assessment and Evaluation in Higher Education, 41(6), 950-965.</w:t>
      </w:r>
    </w:p>
    <w:p xmlns:w="http://schemas.openxmlformats.org/wordprocessingml/2006/main">
      <w:pPr>
        <w:jc w:val="both"/>
        <w:spacing w:after="120"/>
      </w:pPr>
      <w:r>
        <w:rPr>
          <w:sz w:val="20"/>
          <w:szCs w:val="20"/>
        </w:rPr>
        <w:t xml:space="preserve">[35] Houston, D. (2008). Rethinking quality and improvement in higher education. Quality Assurance in Education, 16(1), 61-79.</w:t>
      </w:r>
    </w:p>
    <w:p xmlns:w="http://schemas.openxmlformats.org/wordprocessingml/2006/main">
      <w:pPr>
        <w:jc w:val="both"/>
        <w:spacing w:after="120"/>
      </w:pPr>
      <w:r>
        <w:rPr>
          <w:sz w:val="20"/>
          <w:szCs w:val="20"/>
        </w:rPr>
        <w:t xml:space="preserve">[36] Filippakou, O. (2011). The idea of quality in higher education: A conceptual approach. Discourse: Studies in the Cultural Politics of Education, 32(1), 15-28.</w:t>
      </w:r>
    </w:p>
    <w:p xmlns:w="http://schemas.openxmlformats.org/wordprocessingml/2006/main">
      <w:pPr>
        <w:jc w:val="both"/>
        <w:spacing w:after="120"/>
      </w:pPr>
      <w:r>
        <w:rPr>
          <w:sz w:val="20"/>
          <w:szCs w:val="20"/>
        </w:rPr>
        <w:t xml:space="preserve">[37] Sursock, A. (2015). Trends 2015: Learning and Teaching in European Universities. European University Association.</w:t>
      </w:r>
    </w:p>
    <w:p xmlns:w="http://schemas.openxmlformats.org/wordprocessingml/2006/main">
      <w:pPr>
        <w:jc w:val="both"/>
        <w:spacing w:after="120"/>
      </w:pPr>
      <w:r>
        <w:rPr>
          <w:sz w:val="20"/>
          <w:szCs w:val="20"/>
        </w:rPr>
        <w:t xml:space="preserve">[38] European University Association. (2006). Quality Culture in European Universities: A Bottom-Up Approach. EUA Publications.</w:t>
      </w:r>
    </w:p>
    <w:p xmlns:w="http://schemas.openxmlformats.org/wordprocessingml/2006/main">
      <w:pPr>
        <w:jc w:val="both"/>
        <w:spacing w:after="120"/>
      </w:pPr>
      <w:r>
        <w:rPr>
          <w:sz w:val="20"/>
          <w:szCs w:val="20"/>
        </w:rPr>
        <w:t xml:space="preserve">[39] Loukkola, T., &amp; Zhang, T. (2010). Examining Quality Culture: Part 1 - Quality Assurance Processes in Higher Education Institutions. European University Association.</w:t>
      </w:r>
    </w:p>
    <w:p xmlns:w="http://schemas.openxmlformats.org/wordprocessingml/2006/main">
      <w:pPr>
        <w:jc w:val="both"/>
        <w:spacing w:after="120"/>
      </w:pPr>
      <w:r>
        <w:rPr>
          <w:sz w:val="20"/>
          <w:szCs w:val="20"/>
        </w:rPr>
        <w:t xml:space="preserve">[40] Beerkens, M. (2018). Evidence-based policy and higher education quality assurance: Progress, pitfalls and promise. European Journal of Higher Education, 8(3), 272-287.</w:t>
      </w:r>
    </w:p>
    <w:p xmlns:w="http://schemas.openxmlformats.org/wordprocessingml/2006/main">
      <w:pPr>
        <w:jc w:val="both"/>
        <w:spacing w:after="120"/>
      </w:pPr>
      <w:r>
        <w:rPr>
          <w:sz w:val="20"/>
          <w:szCs w:val="20"/>
        </w:rPr>
        <w:t xml:space="preserve">[41] Martin, M., &amp; Stella, A. (2007). External Quality Assurance in Higher Education: Making Choices. UNESCO IIEP.</w:t>
      </w:r>
    </w:p>
    <w:p xmlns:w="http://schemas.openxmlformats.org/wordprocessingml/2006/main">
      <w:pPr>
        <w:jc w:val="both"/>
        <w:spacing w:after="120"/>
      </w:pPr>
      <w:r>
        <w:rPr>
          <w:sz w:val="20"/>
          <w:szCs w:val="20"/>
        </w:rPr>
        <w:t xml:space="preserve">[42] Santiago, P., Tremblay, K., Basri, E., &amp; Arnal, E. (2008). Tertiary Education for the Knowledge Society. OECD.</w:t>
      </w:r>
    </w:p>
    <w:p xmlns:w="http://schemas.openxmlformats.org/wordprocessingml/2006/main">
      <w:pPr>
        <w:jc w:val="both"/>
        <w:spacing w:after="120"/>
      </w:pPr>
      <w:r>
        <w:rPr>
          <w:sz w:val="20"/>
          <w:szCs w:val="20"/>
        </w:rPr>
        <w:t xml:space="preserve">[43] Healey, M., Flint, A., &amp; Harrington, K. (2014). Engagement Through Partnership: Students as Partners in Learning and Teaching in Higher Education. Higher Education Academy.</w:t>
      </w:r>
    </w:p>
    <w:p xmlns:w="http://schemas.openxmlformats.org/wordprocessingml/2006/main">
      <w:pPr>
        <w:jc w:val="both"/>
        <w:spacing w:after="120"/>
      </w:pPr>
      <w:r>
        <w:rPr>
          <w:sz w:val="20"/>
          <w:szCs w:val="20"/>
        </w:rPr>
        <w:t xml:space="preserve">[44] Bovill, C. (2020). Co-creation in learning and teaching: The case for a whole-class approach in higher education. Higher Education, 79(6), 1023-1037.</w:t>
      </w:r>
    </w:p>
    <w:p xmlns:w="http://schemas.openxmlformats.org/wordprocessingml/2006/main">
      <w:pPr>
        <w:jc w:val="both"/>
        <w:spacing w:after="120"/>
      </w:pPr>
      <w:r>
        <w:rPr>
          <w:sz w:val="20"/>
          <w:szCs w:val="20"/>
        </w:rPr>
        <w:t xml:space="preserve">[45] Dunne, E., &amp; Zandstra, R. (2011). Students as Change Agents: New Ways of Engaging with Learning and Teaching in Higher Education. ESCalate.</w:t>
      </w:r>
    </w:p>
    <w:p xmlns:w="http://schemas.openxmlformats.org/wordprocessingml/2006/main">
      <w:pPr>
        <w:jc w:val="both"/>
        <w:spacing w:after="120"/>
      </w:pPr>
      <w:r>
        <w:rPr>
          <w:sz w:val="20"/>
          <w:szCs w:val="20"/>
        </w:rPr>
        <w:t xml:space="preserve">[46] Pereira, D., Flores, M. A., &amp; Niklasson, L. (2016). Assessment revisited: A review of research in assessment and evaluation in higher education. Assessment and Evaluation in Higher Education, 41(7), 1008-1032.</w:t>
      </w:r>
    </w:p>
    <w:p xmlns:w="http://schemas.openxmlformats.org/wordprocessingml/2006/main">
      <w:pPr>
        <w:jc w:val="both"/>
        <w:spacing w:after="120"/>
      </w:pPr>
      <w:r>
        <w:rPr>
          <w:sz w:val="20"/>
          <w:szCs w:val="20"/>
        </w:rPr>
        <w:t xml:space="preserve">[47] Leiber, T., Stensaker, B., &amp; Harvey, L. (2018). Bridging theory and practice of impact evaluation of quality management in higher education institutions. European Journal of Higher Education, 8(3), 351-365.</w:t>
      </w:r>
    </w:p>
    <w:p xmlns:w="http://schemas.openxmlformats.org/wordprocessingml/2006/main">
      <w:pPr>
        <w:jc w:val="both"/>
        <w:spacing w:after="120"/>
      </w:pPr>
      <w:r>
        <w:rPr>
          <w:sz w:val="20"/>
          <w:szCs w:val="20"/>
        </w:rPr>
        <w:t xml:space="preserve">[48] Blanco-Ramirez, G., &amp; Berger, J. B. (2014). Rankings, accreditation, and the international quest for quality. Quality Assurance in Education, 22(1), 88-104.</w:t>
      </w:r>
    </w:p>
    <w:p xmlns:w="http://schemas.openxmlformats.org/wordprocessingml/2006/main">
      <w:pPr>
        <w:jc w:val="both"/>
        <w:spacing w:after="120"/>
      </w:pPr>
      <w:r>
        <w:rPr>
          <w:sz w:val="20"/>
          <w:szCs w:val="20"/>
        </w:rPr>
        <w:t xml:space="preserve">[49] Seyfried, M., &amp; Pohlenz, P. (2018). Assessing quality assurance in higher education: Quality managers' perceptions of effectiveness. European Journal of Higher Education, 8(3), 258-271.</w:t>
      </w:r>
    </w:p>
    <w:p xmlns:w="http://schemas.openxmlformats.org/wordprocessingml/2006/main">
      <w:pPr>
        <w:jc w:val="both"/>
        <w:spacing w:after="120"/>
      </w:pPr>
      <w:r>
        <w:rPr>
          <w:sz w:val="20"/>
          <w:szCs w:val="20"/>
        </w:rPr>
        <w:t xml:space="preserve">[50] Ehlers, U. D. (2009). Understanding quality culture. Quality Assurance in Education, 17(4), 343-363.</w:t>
      </w:r>
    </w:p>
    <w:p xmlns:w="http://schemas.openxmlformats.org/wordprocessingml/2006/main">
      <w:pPr>
        <w:jc w:val="both"/>
        <w:spacing w:after="120"/>
      </w:pPr>
      <w:r>
        <w:rPr>
          <w:sz w:val="20"/>
          <w:szCs w:val="20"/>
        </w:rPr>
        <w:t xml:space="preserve">[51] Leiber, T. (2019). A general theory of learning and teaching and a related comprehensive set of performance indicators for higher education institutions. Quality in Higher Education, 25(1), 76-97.</w:t>
      </w:r>
    </w:p>
    <w:p xmlns:w="http://schemas.openxmlformats.org/wordprocessingml/2006/main">
      <w:pPr>
        <w:jc w:val="both"/>
        <w:spacing w:after="120"/>
      </w:pPr>
      <w:r>
        <w:rPr>
          <w:sz w:val="20"/>
          <w:szCs w:val="20"/>
        </w:rPr>
        <w:t xml:space="preserve">[52] Rosa, M. J., &amp; Amaral, A. (2014). Quality Assurance in Higher Education: Contemporary Debates. Palgrave Macmillan.</w:t>
      </w:r>
    </w:p>
    <w:p xmlns:w="http://schemas.openxmlformats.org/wordprocessingml/2006/main">
      <w:pPr>
        <w:jc w:val="both"/>
        <w:spacing w:after="120"/>
      </w:pPr>
      <w:r>
        <w:rPr>
          <w:sz w:val="20"/>
          <w:szCs w:val="20"/>
        </w:rPr>
        <w:t xml:space="preserve">[53] Dill, D. D., &amp; Beerkens, M. (Eds.). (2010). Public Policy for Academic Quality: Analyses of Innovative Policy Instruments. Springer.</w:t>
      </w:r>
    </w:p>
    <w:p xmlns:w="http://schemas.openxmlformats.org/wordprocessingml/2006/main">
      <w:pPr>
        <w:jc w:val="both"/>
        <w:spacing w:after="120"/>
      </w:pPr>
      <w:r>
        <w:rPr>
          <w:sz w:val="20"/>
          <w:szCs w:val="20"/>
        </w:rPr>
        <w:t xml:space="preserve">[54] Kretek, P. M., Dragsin, Z., &amp; Kehm, B. M. (2013). Transformation of university governance: On the role of university board members. Higher Education, 65(1), 39-58.</w:t>
      </w:r>
    </w:p>
    <w:p xmlns:w="http://schemas.openxmlformats.org/wordprocessingml/2006/main">
      <w:pPr>
        <w:jc w:val="both"/>
        <w:spacing w:after="120"/>
      </w:pPr>
      <w:r>
        <w:rPr>
          <w:sz w:val="20"/>
          <w:szCs w:val="20"/>
        </w:rPr>
        <w:t xml:space="preserve">[55] Klemencic, M. (2014). Student power in a global perspective and contemporary trends in student organising. Studies in Higher Education, 39(3), 396-411.</w:t>
      </w:r>
    </w:p>
    <w:p xmlns:w="http://schemas.openxmlformats.org/wordprocessingml/2006/main">
      <w:pPr>
        <w:jc w:val="both"/>
        <w:spacing w:after="120"/>
      </w:pPr>
      <w:r>
        <w:rPr>
          <w:sz w:val="20"/>
          <w:szCs w:val="20"/>
        </w:rPr>
        <w:t xml:space="preserve">[56] Carey, P. (2013). Student engagement: Stakeholder perspectives on course representation in university governance. Studies in Higher Education, 38(9), 1290-1304.</w:t>
      </w:r>
    </w:p>
    <w:p xmlns:w="http://schemas.openxmlformats.org/wordprocessingml/2006/main">
      <w:pPr>
        <w:jc w:val="both"/>
        <w:spacing w:after="120"/>
      </w:pPr>
      <w:r>
        <w:rPr>
          <w:sz w:val="20"/>
          <w:szCs w:val="20"/>
        </w:rPr>
        <w:t xml:space="preserve">[57] Mercer-Mapstone, L., Dvorakova, S. L., Matthews, K. E., Abbot, S., Cheng, B., Felten, P., &amp; Swaim, K. (2017). A systematic literature review of students as partners in higher education. International Journal for Students as Partners, 1(1), 1-23.</w:t>
      </w:r>
    </w:p>
    <w:p xmlns:w="http://schemas.openxmlformats.org/wordprocessingml/2006/main">
      <w:pPr>
        <w:jc w:val="both"/>
        <w:spacing w:after="120"/>
      </w:pPr>
      <w:r>
        <w:rPr>
          <w:sz w:val="20"/>
          <w:szCs w:val="20"/>
        </w:rPr>
        <w:t xml:space="preserve">[58] Benneworth, P., &amp; Jongbloed, B. W. (2010). Who matters to universities? A stakeholder perspective on humanities, arts and social sciences valorisation. Higher Education, 59(5), 567-588.</w:t>
      </w:r>
    </w:p>
    <w:p xmlns:w="http://schemas.openxmlformats.org/wordprocessingml/2006/main">
      <w:pPr>
        <w:jc w:val="both"/>
        <w:spacing w:after="120"/>
      </w:pPr>
      <w:r>
        <w:rPr>
          <w:sz w:val="20"/>
          <w:szCs w:val="20"/>
        </w:rPr>
        <w:t xml:space="preserve">[59] Sin, C., Tavares, O., &amp; Amaral, A. (2017). Accepting employability as a purpose of higher education? Academics' views on the direction of higher education. Studies in Higher Education, 42(12), 2262-2279.</w:t>
      </w:r>
    </w:p>
    <w:p xmlns:w="http://schemas.openxmlformats.org/wordprocessingml/2006/main">
      <w:pPr>
        <w:jc w:val="both"/>
        <w:spacing w:after="120"/>
      </w:pPr>
      <w:r>
        <w:rPr>
          <w:sz w:val="20"/>
          <w:szCs w:val="20"/>
        </w:rPr>
        <w:t xml:space="preserve">[60] Pratasavitskaya, H., &amp; Stensaker, B. (2010). Quality management in higher education: Towards a better understanding of an emerging field. Quality in Higher Education, 16(1), 37-50.</w:t>
      </w:r>
    </w:p>
    <w:p xmlns:w="http://schemas.openxmlformats.org/wordprocessingml/2006/main">
      <w:pPr>
        <w:jc w:val="both"/>
        <w:spacing w:after="120"/>
      </w:pPr>
      <w:r>
        <w:rPr>
          <w:sz w:val="20"/>
          <w:szCs w:val="20"/>
        </w:rPr>
        <w:t xml:space="preserve">[61] Daniel, B. (2015). Big data and analytics in higher education: Opportunities and challenges. British Journal of Educational Technology, 46(5), 904-920.</w:t>
      </w:r>
    </w:p>
    <w:p xmlns:w="http://schemas.openxmlformats.org/wordprocessingml/2006/main">
      <w:pPr>
        <w:jc w:val="both"/>
        <w:spacing w:after="120"/>
      </w:pPr>
      <w:r>
        <w:rPr>
          <w:sz w:val="20"/>
          <w:szCs w:val="20"/>
        </w:rPr>
        <w:t xml:space="preserve">[62] Ferguson, R. (2012). Learning analytics: Drivers, developments and challenges. International Journal of Technology Enhanced Learning, 4(5-6), 304-317.</w:t>
      </w:r>
    </w:p>
    <w:p xmlns:w="http://schemas.openxmlformats.org/wordprocessingml/2006/main">
      <w:pPr>
        <w:jc w:val="both"/>
        <w:spacing w:after="120"/>
      </w:pPr>
      <w:r>
        <w:rPr>
          <w:sz w:val="20"/>
          <w:szCs w:val="20"/>
        </w:rPr>
        <w:t xml:space="preserve">[63] Tsai, Y. S., &amp; Gasevic, D. (2017). Learning analytics in higher education: Challenges and policies. In Proceedings of the Seventh International Learning Analytics and Knowledge Conference (pp. 233-242). ACM.</w:t>
      </w:r>
    </w:p>
    <w:sectPr>
      <w:pgSz w:w="12240" w:h="15840"/>
      <w:pgMar w:top="1440" w:right="1440" w:bottom="1440" w:left="1440"/>
    </w:sectPr>
  </w:body>
</w:document>
</file>

<file path=word/numbering.xml><?xml version="1.0" encoding="utf-8"?>
<w:numbering xmlns:w="http://schemas.openxmlformats.org/wordprocessingml/2006/main"/>
</file>

<file path=word/styles.xml><?xml version="1.0" encoding="utf-8"?>
<w:styles xmlns:w="http://schemas.openxmlformats.org/wordprocessingml/2006/main">
  <w:style w:type="paragraph" w:styleId="Normal">
    <w:name w:val="Normal"/>
    <w:rPr>
      <w:sz w:val="24"/>
      <w:szCs w:val="24"/>
      <w:rFonts w:ascii="Times New Roman" w:hAnsi="Times New Roman"/>
    </w:rPr>
  </w:style>
  <w:style w:type="paragraph" w:styleId="Heading1">
    <w:name w:val="heading 1"/>
    <w:pPr>
      <w:spacing w:before="360" w:after="240"/>
    </w:pPr>
    <w:rPr>
      <w:b/>
      <w:sz w:val="32"/>
      <w:szCs w:val="32"/>
      <w:rFonts w:ascii="Times New Roman" w:hAnsi="Times New Roman"/>
    </w:rPr>
  </w:style>
  <w:style w:type="paragraph" w:styleId="Heading2">
    <w:name w:val="heading 2"/>
    <w:pPr>
      <w:spacing w:before="360" w:after="240"/>
    </w:pPr>
    <w:rPr>
      <w:b/>
      <w:sz w:val="28"/>
      <w:szCs w:val="28"/>
      <w:rFonts w:ascii="Times New Roman" w:hAnsi="Times New Roman"/>
    </w:rPr>
  </w:style>
  <w:style w:type="paragraph" w:styleId="Heading3">
    <w:name w:val="heading 3"/>
    <w:pPr>
      <w:spacing w:before="360" w:after="240"/>
    </w:pPr>
    <w:rPr>
      <w:b/>
      <w:sz w:val="26"/>
      <w:szCs w:val="26"/>
      <w:rFonts w:ascii="Times New Roman" w:hAnsi="Times New Roman"/>
    </w:r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Figure1.png"/><Relationship Id="rId4" Type="http://schemas.openxmlformats.org/officeDocument/2006/relationships/image" Target="media/Figure2.png"/><Relationship Id="rId5" Type="http://schemas.openxmlformats.org/officeDocument/2006/relationships/image" Target="media/Figure3.png"/><Relationship Id="rId6" Type="http://schemas.openxmlformats.org/officeDocument/2006/relationships/image" Target="media/Figure4.png"/><Relationship Id="rId7" Type="http://schemas.openxmlformats.org/officeDocument/2006/relationships/image" Target="media/Figure5.png"/><Relationship Id="rId8" Type="http://schemas.openxmlformats.org/officeDocument/2006/relationships/image" Target="media/Figure6.png"/><Relationship Id="rId9" Type="http://schemas.openxmlformats.org/officeDocument/2006/relationships/image" Target="media/Figure7.png"/></Relationships>
</file>