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Chapter 1: Foundations and Advanced Perspectives of AI-Driven Smart Computing</w:t>
      </w:r>
    </w:p>
    <w:p>
      <w:pPr>
        <w:pStyle w:val="Heading1"/>
      </w:pPr>
      <w:r>
        <w:t xml:space="preserve">Abstract</w:t>
      </w:r>
    </w:p>
    <w:p>
      <w:pPr>
        <w:pStyle w:val="Normal"/>
      </w:pPr>
      <w:r>
        <w:t xml:space="preserve">Artificial intelligence (AI) has undergone a transformative evolution over the past several decades, transitioning from simple rule-based expert systems to sophisticated foundation models capable of reasoning, generating content, and making autonomous decisions. This chapter provides a comprehensive exploration of AI-driven smart computing, encompassing its historical foundations, technological architecture, and multidisciplinary applications. We examine the convergence of AI with cloud computing, edge computing, the Internet of Things (IoT), and big data analytics, elucidating how these technologies collectively enable intelligent systems across healthcare, industry, transportation, education, agriculture, finance, and smart cities. The chapter further investigates emerging paradigms including multimodal AI, digital twins, federated learning, quantum AI, and autonomous intelligence, while addressing critical concerns of data quality, privacy, cybersecurity, algorithmic fairness, and responsible AI governance. Finally, we present future directions encompassing scalable and sustainable AI architectures, human-centred intelligence, and research challenges for next-generation intelligent systems. Through systematic analysis and synthesis of contemporary literature, this chapter offers researchers, practitioners, and policymakers a holistic understanding of the current state and future trajectory of AI-driven smart computing.</w:t>
      </w:r>
    </w:p>
    <w:p>
      <w:pPr>
        <w:pStyle w:val="Normal"/>
      </w:pPr>
      <w:r>
        <w:rPr>
          <w:b/>
        </w:rPr>
        <w:t xml:space="preserve">Keywords:</w:t>
      </w:r>
      <w:r>
        <w:t xml:space="preserve"> Artificial Intelligence, Smart Computing, Deep Learning, Foundation Models, Edge Computing, IoT, Explainable AI, Federated Learning, Quantum AI, Responsible AI</w:t>
      </w:r>
    </w:p>
    <w:p>
      <w:pPr>
        <w:pStyle w:val="Heading1"/>
      </w:pPr>
      <w:r>
        <w:t xml:space="preserve">1. Foundations and Evolution of Artificial Intelligence-Driven Smart Computing</w:t>
      </w:r>
    </w:p>
    <w:p>
      <w:pPr>
        <w:pStyle w:val="Heading2"/>
      </w:pPr>
      <w:r>
        <w:t xml:space="preserve">1.1 Historical Evolution of AI: From Rule-Based Systems to Foundation Models</w:t>
      </w:r>
    </w:p>
    <w:p>
      <w:pPr>
        <w:pStyle w:val="Normal"/>
      </w:pPr>
      <w:r>
        <w:t xml:space="preserve">The journey of artificial intelligence began in the mid-twentieth century when pioneers such as Alan Turing, John McCarthy, and Marvin Minsky envisioned machines capable of exhibiting human-like reasoning [1]. The early decades of AI research (1950s-1980s) were dominated by symbolic AI and rule-based expert systems that encoded domain knowledge through hand-crafted if-then rules. These systems, including MYCIN for medical diagnosis and DENDRAL for chemical analysis, demonstrated narrow competence but suffered from brittleness, scalability limitations, and the knowledge acquisition bottleneck [2].</w:t>
      </w:r>
    </w:p>
    <w:p>
      <w:pPr>
        <w:pStyle w:val="Normal"/>
      </w:pPr>
      <w:r>
        <w:t xml:space="preserve">The 1990s witnessed the emergence of statistical machine learning methods that shifted the paradigm from knowledge engineering to data-driven learning. Support vector machines, decision trees, and ensemble methods demonstrated that algorithms could discover patterns from data without explicit programming [3]. The transition accelerated dramatically in 2012 when deep learning, particularly convolutional neural networks (CNNs), achieved breakthrough performance on the ImageNet challenge, igniting the modern AI revolution [4].</w:t>
      </w:r>
    </w:p>
    <w:p>
      <w:pPr>
        <w:pStyle w:val="Normal"/>
      </w:pPr>
      <w:r>
        <w:t xml:space="preserve">The subsequent decade saw rapid advances across multiple fronts: recurrent neural networks and Long Short-Term Memory (LSTM) networks transformed natural language processing; generative adversarial networks (GANs) enabled photorealistic image synthesis; and reinforcement learning achieved superhuman performance in complex games. The introduction of the Transformer architecture in 2017 fundamentally altered the AI landscape, enabling the development of large language models (LLMs) such as BERT, GPT-3, GPT-4, and subsequent foundation models that exhibit emergent capabilities including in-context learning, chain-of-thought reasoning, and multi-step problem solving [5].</w:t>
      </w:r>
    </w:p>
    <w:p>
      <w:pPr>
        <w:pStyle w:val="Normal"/>
      </w:pPr>
      <w:r>
        <w:t xml:space="preserve">Foundation models represent a paradigm shift wherein a single pre-trained model serves as the basis for numerous downstream tasks through fine-tuning or prompting [6]. These models, trained on internet-scale datasets using self-supervised learning objectives, have demonstrated remarkable versatility across language understanding, code generation, visual reasoning, and scientific discovery. The scale of foundation models has grown exponentially—from BERT's 340 million parameters in 2018 to GPT-4's estimated 1.8 trillion parameters in 2023—accompanied by qualitative improvements in reasoning, instruction following, and creative generation capabilities.</w:t>
      </w:r>
    </w:p>
    <w:p>
      <w:pPr>
        <w:pStyle w:val="Normal"/>
      </w:pPr>
      <w:r>
        <w:t xml:space="preserve">The evolution from narrow AI systems to increasingly general-purpose foundation models marks a fundamental transformation in computing philosophy—from task-specific engineering to adaptive intelligence that can be steered through natural language instruction [7]. This trajectory suggests a future where computing systems possess broad cognitive capabilities that can be directed toward arbitrary tasks through conversational interaction, fundamentally changing the relationship between humans and computational tools. The emergence of agentic AI systems that can plan, execute multi-step workflows, and autonomously interact with digital environments further extends this paradigm toward increasingly autonomous intelligent computing.</w:t>
      </w:r>
    </w:p>
    <w:p>
      <w:pPr>
        <w:pStyle w:val="Heading2"/>
      </w:pPr>
      <w:r>
        <w:t xml:space="preserve">1.2 Concepts, Characteristics, and Architecture of Smart Computing</w:t>
      </w:r>
    </w:p>
    <w:p>
      <w:pPr>
        <w:pStyle w:val="Normal"/>
      </w:pPr>
      <w:r>
        <w:t xml:space="preserve">Smart computing represents an advanced computational paradigm that integrates artificial intelligence, distributed systems, and adaptive algorithms to create self-aware, self-optimizing, and context-sensitive computing environments [8]. Unlike traditional computing systems that execute predefined instructions, smart computing platforms possess the ability to perceive environmental contexts, learn from data streams, reason about complex situations, and take autonomous actions to achieve defined objectives.</w:t>
      </w:r>
    </w:p>
    <w:p>
      <w:pPr>
        <w:pStyle w:val="Normal"/>
      </w:pPr>
      <w:r>
        <w:t xml:space="preserve">The core characteristics of smart computing include: (1) intelligence—the capacity to learn, reason, and adapt; (2) connectivity—seamless integration with networked devices and data sources; (3) autonomy—self-governing behaviour with minimal human intervention; (4) scalability—elastic resource allocation responding to dynamic workloads; and (5) resilience—fault tolerance and graceful degradation under stress [9]. These characteristics collectively enable computing systems that transcend conventional automation to achieve genuine cognitive capabilities.</w:t>
      </w:r>
    </w:p>
    <w:p>
      <w:pPr>
        <w:jc w:val="center"/>
      </w:pPr>
      <w:r>
        <w:drawing>
          <wp:inline xmlns:wp="http://schemas.openxmlformats.org/drawingml/2006/wordprocessingDrawing" distT="0" distB="0" distL="0" distR="0">
            <wp:extent cx="5400000" cy="3700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0"/>
                    <a:stretch>
                      <a:fillRect/>
                    </a:stretch>
                  </pic:blipFill>
                  <pic:spPr>
                    <a:xfrm>
                      <a:off x="0" y="0"/>
                      <a:ext cx="5400000" cy="3700000"/>
                    </a:xfrm>
                    <a:prstGeom prst="rect">
                      <a:avLst/>
                    </a:prstGeom>
                  </pic:spPr>
                </pic:pic>
              </a:graphicData>
            </a:graphic>
          </wp:inline>
        </w:drawing>
      </w:r>
    </w:p>
    <w:p>
      <w:pPr>
        <w:pStyle w:val="Normal"/>
      </w:pPr>
      <w:r>
        <w:t xml:space="preserve">The architectural framework of AI-driven smart computing typically comprises multiple layers (as illustrated in Figure 1): the perception layer (sensors, IoT devices, data acquisition systems), the network layer (5G/6G communications, edge nodes, fog computing), the data layer (data lakes, stream processing, feature stores), the intelligence layer (ML models, reasoning engines, knowledge graphs), and the application layer (domain-specific services, user interfaces, decision support systems) [10]. This layered architecture enables separation of concerns while facilitating end-to-end intelligence delivery from raw data to actionable insights. Each layer incorporates its own intelligence capabilities—edge AI at the perception layer for real-time filtering and preprocessing, intelligent routing at the network layer, automated data quality management at the data layer, model orchestration and ensemble methods at the intelligence layer, and adaptive user interfaces at the application layer.</w:t>
      </w:r>
    </w:p>
    <w:p>
      <w:pPr>
        <w:pStyle w:val="TableCaption"/>
      </w:pPr>
      <w:r>
        <w:t xml:space="preserve">[Insert Table 1: Comparison of Computing Paradigms]</w:t>
      </w:r>
    </w:p>
    <w:p>
      <w:pPr>
        <w:pStyle w:val="TableCaption"/>
      </w:pPr>
      <w:r>
        <w:t xml:space="preserve">Table 1 presents a comparative analysis of traditional, cloud, and smart computing paradigms across key architectural dimensions. The transition toward smart computing is characterized by increasing autonomy, intelligence integration, and adaptive resource management.</w:t>
      </w:r>
    </w:p>
    <w:tbl>
      <w:tblPr>
        <w:tblStyle w:val="TableGrid"/>
        <w:tblW w:w="9200" w:type="dxa"/>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shd w:val="clear" w:color="auto" w:fill="D9E2F3"/>
          </w:tcPr>
          <w:p>
            <w:pPr>
              <w:jc w:val="center"/>
            </w:pPr>
            <w:r>
              <w:rPr>
                <w:b/>
              </w:rPr>
              <w:t xml:space="preserve">Feature</w:t>
            </w:r>
          </w:p>
        </w:tc>
        <w:tc>
          <w:tcPr>
            <w:shd w:val="clear" w:color="auto" w:fill="D9E2F3"/>
          </w:tcPr>
          <w:p>
            <w:pPr>
              <w:jc w:val="center"/>
            </w:pPr>
            <w:r>
              <w:rPr>
                <w:b/>
              </w:rPr>
              <w:t xml:space="preserve">Traditional Computing</w:t>
            </w:r>
          </w:p>
        </w:tc>
        <w:tc>
          <w:tcPr>
            <w:shd w:val="clear" w:color="auto" w:fill="D9E2F3"/>
          </w:tcPr>
          <w:p>
            <w:pPr>
              <w:jc w:val="center"/>
            </w:pPr>
            <w:r>
              <w:rPr>
                <w:b/>
              </w:rPr>
              <w:t xml:space="preserve">Cloud Computing</w:t>
            </w:r>
          </w:p>
        </w:tc>
        <w:tc>
          <w:tcPr>
            <w:shd w:val="clear" w:color="auto" w:fill="D9E2F3"/>
          </w:tcPr>
          <w:p>
            <w:pPr>
              <w:jc w:val="center"/>
            </w:pPr>
            <w:r>
              <w:rPr>
                <w:b/>
              </w:rPr>
              <w:t xml:space="preserve">Smart Computing</w:t>
            </w:r>
          </w:p>
        </w:tc>
      </w:tr>
      <w:tr>
        <w:tc>
          <w:p>
            <w:pPr>
              <w:spacing w:after="40"/>
            </w:pPr>
            <w:r>
              <w:t xml:space="preserve">Processing Model</w:t>
            </w:r>
          </w:p>
        </w:tc>
        <w:tc>
          <w:p>
            <w:pPr>
              <w:spacing w:after="40"/>
            </w:pPr>
            <w:r>
              <w:t xml:space="preserve">Centralized, batch</w:t>
            </w:r>
          </w:p>
        </w:tc>
        <w:tc>
          <w:p>
            <w:pPr>
              <w:spacing w:after="40"/>
            </w:pPr>
            <w:r>
              <w:t xml:space="preserve">Distributed, on-demand</w:t>
            </w:r>
          </w:p>
        </w:tc>
        <w:tc>
          <w:p>
            <w:pPr>
              <w:spacing w:after="40"/>
            </w:pPr>
            <w:r>
              <w:t xml:space="preserve">Distributed, adaptive, autonomous</w:t>
            </w:r>
          </w:p>
        </w:tc>
      </w:tr>
      <w:tr>
        <w:tc>
          <w:p>
            <w:pPr>
              <w:spacing w:after="40"/>
            </w:pPr>
            <w:r>
              <w:t xml:space="preserve">Intelligence</w:t>
            </w:r>
          </w:p>
        </w:tc>
        <w:tc>
          <w:p>
            <w:pPr>
              <w:spacing w:after="40"/>
            </w:pPr>
            <w:r>
              <w:t xml:space="preserve">None (programmatic)</w:t>
            </w:r>
          </w:p>
        </w:tc>
        <w:tc>
          <w:p>
            <w:pPr>
              <w:spacing w:after="40"/>
            </w:pPr>
            <w:r>
              <w:t xml:space="preserve">Limited (analytics)</w:t>
            </w:r>
          </w:p>
        </w:tc>
        <w:tc>
          <w:p>
            <w:pPr>
              <w:spacing w:after="40"/>
            </w:pPr>
            <w:r>
              <w:t xml:space="preserve">Embedded AI at all layers</w:t>
            </w:r>
          </w:p>
        </w:tc>
      </w:tr>
      <w:tr>
        <w:tc>
          <w:p>
            <w:pPr>
              <w:spacing w:after="40"/>
            </w:pPr>
            <w:r>
              <w:t xml:space="preserve">Scalability</w:t>
            </w:r>
          </w:p>
        </w:tc>
        <w:tc>
          <w:p>
            <w:pPr>
              <w:spacing w:after="40"/>
            </w:pPr>
            <w:r>
              <w:t xml:space="preserve">Vertical scaling</w:t>
            </w:r>
          </w:p>
        </w:tc>
        <w:tc>
          <w:p>
            <w:pPr>
              <w:spacing w:after="40"/>
            </w:pPr>
            <w:r>
              <w:t xml:space="preserve">Horizontal elastic</w:t>
            </w:r>
          </w:p>
        </w:tc>
        <w:tc>
          <w:p>
            <w:pPr>
              <w:spacing w:after="40"/>
            </w:pPr>
            <w:r>
              <w:t xml:space="preserve">Auto-scaling with predictive optimization</w:t>
            </w:r>
          </w:p>
        </w:tc>
      </w:tr>
      <w:tr>
        <w:tc>
          <w:p>
            <w:pPr>
              <w:spacing w:after="40"/>
            </w:pPr>
            <w:r>
              <w:t xml:space="preserve">Context Awareness</w:t>
            </w:r>
          </w:p>
        </w:tc>
        <w:tc>
          <w:p>
            <w:pPr>
              <w:spacing w:after="40"/>
            </w:pPr>
            <w:r>
              <w:t xml:space="preserve">None</w:t>
            </w:r>
          </w:p>
        </w:tc>
        <w:tc>
          <w:p>
            <w:pPr>
              <w:spacing w:after="40"/>
            </w:pPr>
            <w:r>
              <w:t xml:space="preserve">Limited</w:t>
            </w:r>
          </w:p>
        </w:tc>
        <w:tc>
          <w:p>
            <w:pPr>
              <w:spacing w:after="40"/>
            </w:pPr>
            <w:r>
              <w:t xml:space="preserve">Full environmental and situational awareness</w:t>
            </w:r>
          </w:p>
        </w:tc>
      </w:tr>
      <w:tr>
        <w:tc>
          <w:p>
            <w:pPr>
              <w:spacing w:after="40"/>
            </w:pPr>
            <w:r>
              <w:t xml:space="preserve">Decision Making</w:t>
            </w:r>
          </w:p>
        </w:tc>
        <w:tc>
          <w:p>
            <w:pPr>
              <w:spacing w:after="40"/>
            </w:pPr>
            <w:r>
              <w:t xml:space="preserve">Manual/rule-based</w:t>
            </w:r>
          </w:p>
        </w:tc>
        <w:tc>
          <w:p>
            <w:pPr>
              <w:spacing w:after="40"/>
            </w:pPr>
            <w:r>
              <w:t xml:space="preserve">Semi-automated</w:t>
            </w:r>
          </w:p>
        </w:tc>
        <w:tc>
          <w:p>
            <w:pPr>
              <w:spacing w:after="40"/>
            </w:pPr>
            <w:r>
              <w:t xml:space="preserve">Autonomous with human-in-the-loop</w:t>
            </w:r>
          </w:p>
        </w:tc>
      </w:tr>
      <w:tr>
        <w:tc>
          <w:p>
            <w:pPr>
              <w:spacing w:after="40"/>
            </w:pPr>
            <w:r>
              <w:t xml:space="preserve">Latency</w:t>
            </w:r>
          </w:p>
        </w:tc>
        <w:tc>
          <w:p>
            <w:pPr>
              <w:spacing w:after="40"/>
            </w:pPr>
            <w:r>
              <w:t xml:space="preserve">Variable</w:t>
            </w:r>
          </w:p>
        </w:tc>
        <w:tc>
          <w:p>
            <w:pPr>
              <w:spacing w:after="40"/>
            </w:pPr>
            <w:r>
              <w:t xml:space="preserve">Cloud-dependent</w:t>
            </w:r>
          </w:p>
        </w:tc>
        <w:tc>
          <w:p>
            <w:pPr>
              <w:spacing w:after="40"/>
            </w:pPr>
            <w:r>
              <w:t xml:space="preserve">Ultra-low (edge-optimized)</w:t>
            </w:r>
          </w:p>
        </w:tc>
      </w:tr>
      <w:tr>
        <w:tc>
          <w:p>
            <w:pPr>
              <w:spacing w:after="40"/>
            </w:pPr>
            <w:r>
              <w:t xml:space="preserve">Learning Capability</w:t>
            </w:r>
          </w:p>
        </w:tc>
        <w:tc>
          <w:p>
            <w:pPr>
              <w:spacing w:after="40"/>
            </w:pPr>
            <w:r>
              <w:t xml:space="preserve">None</w:t>
            </w:r>
          </w:p>
        </w:tc>
        <w:tc>
          <w:p>
            <w:pPr>
              <w:spacing w:after="40"/>
            </w:pPr>
            <w:r>
              <w:t xml:space="preserve">Batch ML pipelines</w:t>
            </w:r>
          </w:p>
        </w:tc>
        <w:tc>
          <w:p>
            <w:pPr>
              <w:spacing w:after="40"/>
            </w:pPr>
            <w:r>
              <w:t xml:space="preserve">Continuous online learning</w:t>
            </w:r>
          </w:p>
        </w:tc>
      </w:tr>
      <w:tr>
        <w:tc>
          <w:p>
            <w:pPr>
              <w:spacing w:after="40"/>
            </w:pPr>
            <w:r>
              <w:t xml:space="preserve">Resource Optimization</w:t>
            </w:r>
          </w:p>
        </w:tc>
        <w:tc>
          <w:p>
            <w:pPr>
              <w:spacing w:after="40"/>
            </w:pPr>
            <w:r>
              <w:t xml:space="preserve">Static allocation</w:t>
            </w:r>
          </w:p>
        </w:tc>
        <w:tc>
          <w:p>
            <w:pPr>
              <w:spacing w:after="40"/>
            </w:pPr>
            <w:r>
              <w:t xml:space="preserve">Dynamic provisioning</w:t>
            </w:r>
          </w:p>
        </w:tc>
        <w:tc>
          <w:p>
            <w:pPr>
              <w:spacing w:after="40"/>
            </w:pPr>
            <w:r>
              <w:t xml:space="preserve">AI-driven predictive allocation</w:t>
            </w:r>
          </w:p>
        </w:tc>
      </w:tr>
    </w:tbl>
    <w:p>
      <w:pPr>
        <w:pStyle w:val="Heading2"/>
      </w:pPr>
      <w:r>
        <w:t xml:space="preserve">1.3 Convergence of AI, Cloud Computing, Edge Computing, IoT, and Big Data</w:t>
      </w:r>
    </w:p>
    <w:p>
      <w:pPr>
        <w:pStyle w:val="Normal"/>
      </w:pPr>
      <w:r>
        <w:t xml:space="preserve">The contemporary intelligent computing landscape is defined by the convergence of five transformative technologies: artificial intelligence, cloud computing, edge computing, the Internet of Things, and big data analytics [11]. This convergence creates a synergistic ecosystem wherein each technology amplifies the capabilities of the others, enabling applications that would be impossible with any single technology in isolation.</w:t>
      </w:r>
    </w:p>
    <w:p>
      <w:pPr>
        <w:pStyle w:val="Normal"/>
      </w:pPr>
      <w:r>
        <w:t xml:space="preserve">Cloud computing provides the massive computational resources—processing power, storage, and memory—required for training large-scale AI models [12]. Hyperscale data centres operated by providers such as Amazon Web Services, Microsoft Azure, and Google Cloud Platform offer GPU and TPU clusters capable of training models with hundreds of billions of parameters. However, cloud-centric architectures introduce latency, bandwidth constraints, and privacy concerns that limit their applicability for real-time, privacy-sensitive applications.</w:t>
      </w:r>
    </w:p>
    <w:p>
      <w:pPr>
        <w:pStyle w:val="Normal"/>
      </w:pPr>
      <w:r>
        <w:t xml:space="preserve">Edge computing addresses these limitations by bringing computation closer to data sources, enabling inference at the point of data generation with sub-millisecond latency [13]. The proliferation of AI-capable edge devices—including NVIDIA Jetson modules, Google Coral TPUs, and Apple Neural Engine chips—has democratized on-device intelligence, enabling applications from autonomous vehicles to smart manufacturing systems to execute complex AI workloads without cloud connectivity. The edge-cloud continuum enables hierarchical intelligence architectures where simple, latency-critical decisions are made at the edge while complex reasoning and model updates are coordinated through cloud infrastructure. Model optimization techniques including quantization, pruning, and neural architecture search produce compact models suitable for resource-constrained edge deployment without significant accuracy degradation.</w:t>
      </w:r>
    </w:p>
    <w:p>
      <w:pPr>
        <w:pStyle w:val="Normal"/>
      </w:pPr>
      <w:r>
        <w:t xml:space="preserve">The Internet of Things generates the data that fuels intelligent systems, with an estimated 75 billion connected devices projected by 2025, producing zettabytes of sensor data annually [14]. IoT platforms orchestrate device management, data collection, and event processing, creating the sensory infrastructure upon which AI systems operate. The integration of AI with IoT—termed AIoT—enables predictive maintenance, anomaly detection, and autonomous control across industrial, urban, and agricultural environments. AIoT architectures increasingly incorporate on-device intelligence through TinyML—the deployment of machine learning models on microcontrollers consuming milliwatts of power—enabling always-on sensing and inference without network connectivity or significant energy consumption. The proliferation of smart sensors capable of local data processing, anomaly detection, and event-triggered communication reduces network bandwidth requirements while improving system responsiveness and privacy by processing sensitive data at the source.</w:t>
      </w:r>
    </w:p>
    <w:p>
      <w:pPr>
        <w:pStyle w:val="Normal"/>
      </w:pPr>
      <w:r>
        <w:t xml:space="preserve">Big data analytics provides the methodological framework for extracting value from the vast, heterogeneous data streams generated by IoT ecosystems [15]. Technologies including Apache Spark, Apache Kafka, and distributed databases enable real-time processing of structured and unstructured data at scale. The convergence of big data with AI transforms raw data into predictive models, knowledge graphs, and decision-support systems that drive organizational intelligence. Modern data architectures employ lakehouse paradigms that unify data warehousing and data lake approaches, enabling both real-time streaming analytics and batch processing within unified governance frameworks. Feature stores serve as the bridge between raw data and ML models, ensuring consistent feature engineering across training and inference pipelines while enabling feature reuse across organizational teams and applications.</w:t>
      </w:r>
    </w:p>
    <w:p>
      <w:pPr>
        <w:jc w:val="center"/>
      </w:pPr>
      <w:r>
        <w:drawing>
          <wp:inline xmlns:wp="http://schemas.openxmlformats.org/drawingml/2006/wordprocessingDrawing" distT="0" distB="0" distL="0" distR="0">
            <wp:extent cx="5400000" cy="3700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1"/>
                    <a:stretch>
                      <a:fillRect/>
                    </a:stretch>
                  </pic:blipFill>
                  <pic:spPr>
                    <a:xfrm>
                      <a:off x="0" y="0"/>
                      <a:ext cx="5400000" cy="3700000"/>
                    </a:xfrm>
                    <a:prstGeom prst="rect">
                      <a:avLst/>
                    </a:prstGeom>
                  </pic:spPr>
                </pic:pic>
              </a:graphicData>
            </a:graphic>
          </wp:inline>
        </w:drawing>
      </w:r>
    </w:p>
    <w:p>
      <w:pPr>
        <w:pStyle w:val="Normal"/>
      </w:pPr>
      <w:r>
        <w:t xml:space="preserve">The convergence architecture depicted in Figure 2 illustrates how these technologies interact in a unified intelligent computing ecosystem, with data flowing from IoT sensors through edge and cloud layers, processed by AI algorithms, and delivering insights back to actuators and decision-makers in a continuous feedback loop.</w:t>
      </w:r>
    </w:p>
    <w:p>
      <w:pPr>
        <w:pStyle w:val="Heading1"/>
      </w:pPr>
      <w:r>
        <w:t xml:space="preserve">2. Intelligent Systems, Technologies, and Multidisciplinary Applications</w:t>
      </w:r>
    </w:p>
    <w:p>
      <w:pPr>
        <w:pStyle w:val="Heading2"/>
      </w:pPr>
      <w:r>
        <w:t xml:space="preserve">2.1 Machine Learning, Deep Learning, Reinforcement Learning, and Generative AI</w:t>
      </w:r>
    </w:p>
    <w:p>
      <w:pPr>
        <w:pStyle w:val="Normal"/>
      </w:pPr>
      <w:r>
        <w:t xml:space="preserve">Machine learning constitutes the algorithmic foundation of modern smart computing, encompassing supervised, unsupervised, and semi-supervised paradigms that enable systems to improve performance through experience [16]. Supervised learning algorithms, including gradient boosting machines, random forests, and neural networks, learn mappings from labelled input-output pairs, achieving state-of-the-art performance in classification, regression, and structured prediction tasks. Unsupervised methods including clustering, dimensionality reduction, and anomaly detection reveal hidden structures in unlabelled data, enabling discovery-oriented applications. Semi-supervised learning bridges the gap between supervised and unsupervised paradigms by leveraging small amounts of labelled data alongside large volumes of unlabelled data, reducing the annotation burden that often bottlenecks practical ML deployment. Self-supervised learning has emerged as a dominant pre-training paradigm, where models learn rich representations by solving pretext tasks (masked language modelling, contrastive learning, next-token prediction) that require no human annotations, enabling transfer to diverse downstream applications with minimal task-specific data.</w:t>
      </w:r>
    </w:p>
    <w:p>
      <w:pPr>
        <w:pStyle w:val="Normal"/>
      </w:pPr>
      <w:r>
        <w:t xml:space="preserve">Deep learning extends traditional machine learning through hierarchical feature learning using multi-layer neural networks [17]. The architecture landscape has expanded dramatically to include: convolutional neural networks (CNNs) for spatial data, recurrent networks (RNNs/LSTMs/GRUs) for sequential data, Transformer architectures for attention-based processing, graph neural networks (GNNs) for relational data, and diffusion models for generative tasks. The scalability of deep learning—enabled by GPU/TPU hardware acceleration and distributed training frameworks—has made it the dominant paradigm for perception, generation, and decision-making tasks [18]. The development of specialized training infrastructure including distributed data parallelism, model parallelism, pipeline parallelism, and mixed-precision training has enabled the scaling of deep learning models to unprecedented sizes while maintaining training stability and computational efficiency.</w:t>
      </w:r>
    </w:p>
    <w:p>
      <w:pPr>
        <w:pStyle w:val="Normal"/>
      </w:pPr>
      <w:r>
        <w:t xml:space="preserve">Reinforcement learning (RL) addresses sequential decision-making problems where agents learn optimal policies through interaction with environments, receiving reward signals that guide behaviour optimization [19]. Deep reinforcement learning combines neural networks with RL algorithms (DQN, PPO, SAC, A3C), achieving remarkable successes in game playing, robotic manipulation, autonomous navigation, and resource optimization. Model-based RL and offline RL represent recent advances that improve sample efficiency and enable learning from historical data without active exploration. The application of reinforcement learning in real-world domains has expanded significantly, with notable deployments in data centre cooling optimization (reducing energy consumption by 30-40%), chip design automation (producing layouts competitive with human engineers), and personalized recommendation systems that optimize long-term user engagement rather than immediate click-through metrics.</w:t>
      </w:r>
    </w:p>
    <w:p>
      <w:pPr>
        <w:pStyle w:val="Normal"/>
      </w:pPr>
      <w:r>
        <w:t xml:space="preserve">Generative AI represents perhaps the most transformative recent development, encompassing large language models (GPT-4, Claude, Gemini, Llama), text-to-image systems (DALL-E, Stable Diffusion, Midjourney), and multimodal generators that synthesize text, code, images, audio, and video [20]. These systems leverage massive pre-training on internet-scale corpora followed by alignment through reinforcement learning from human feedback (RLHF), achieving unprecedented fluency in content generation, reasoning, and creative problem-solving. The impact of generative AI extends across software development, scientific research, education, creative industries, and enterprise automation [21]. Generative AI has fundamentally altered productivity paradigms across knowledge work, with studies indicating 30-55% time savings in programming, writing, and analytical tasks when professionals leverage AI assistance tools. The emergence of AI coding assistants (GitHub Copilot, Cursor, Replit AI), AI writing tools, and AI-powered research assistants demonstrates the practical integration of generative capabilities into professional workflows, creating new human-AI collaborative modalities that amplify individual and organizational productivity.</w:t>
      </w:r>
    </w:p>
    <w:p>
      <w:pPr>
        <w:pStyle w:val="TableCaption"/>
      </w:pPr>
      <w:r>
        <w:t xml:space="preserve">[Insert Table 2: Comparison of AI/ML Paradigms in Smart Computing]</w:t>
      </w:r>
    </w:p>
    <w:tbl>
      <w:tblPr>
        <w:tblStyle w:val="TableGrid"/>
        <w:tblW w:w="9200" w:type="dxa"/>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33"/>
        <w:gridCol w:w="1533"/>
        <w:gridCol w:w="1533"/>
        <w:gridCol w:w="1533"/>
        <w:gridCol w:w="1533"/>
        <w:gridCol w:w="1533"/>
      </w:tblGrid>
      <w:tr>
        <w:tc>
          <w:tcPr>
            <w:shd w:val="clear" w:color="auto" w:fill="D9E2F3"/>
          </w:tcPr>
          <w:p>
            <w:pPr>
              <w:jc w:val="center"/>
            </w:pPr>
            <w:r>
              <w:rPr>
                <w:b/>
              </w:rPr>
              <w:t xml:space="preserve">Paradigm</w:t>
            </w:r>
          </w:p>
        </w:tc>
        <w:tc>
          <w:tcPr>
            <w:shd w:val="clear" w:color="auto" w:fill="D9E2F3"/>
          </w:tcPr>
          <w:p>
            <w:pPr>
              <w:jc w:val="center"/>
            </w:pPr>
            <w:r>
              <w:rPr>
                <w:b/>
              </w:rPr>
              <w:t xml:space="preserve">Learning Signal</w:t>
            </w:r>
          </w:p>
        </w:tc>
        <w:tc>
          <w:tcPr>
            <w:shd w:val="clear" w:color="auto" w:fill="D9E2F3"/>
          </w:tcPr>
          <w:p>
            <w:pPr>
              <w:jc w:val="center"/>
            </w:pPr>
            <w:r>
              <w:rPr>
                <w:b/>
              </w:rPr>
              <w:t xml:space="preserve">Key Algorithms</w:t>
            </w:r>
          </w:p>
        </w:tc>
        <w:tc>
          <w:tcPr>
            <w:shd w:val="clear" w:color="auto" w:fill="D9E2F3"/>
          </w:tcPr>
          <w:p>
            <w:pPr>
              <w:jc w:val="center"/>
            </w:pPr>
            <w:r>
              <w:rPr>
                <w:b/>
              </w:rPr>
              <w:t xml:space="preserve">Primary Applications</w:t>
            </w:r>
          </w:p>
        </w:tc>
        <w:tc>
          <w:tcPr>
            <w:shd w:val="clear" w:color="auto" w:fill="D9E2F3"/>
          </w:tcPr>
          <w:p>
            <w:pPr>
              <w:jc w:val="center"/>
            </w:pPr>
            <w:r>
              <w:rPr>
                <w:b/>
              </w:rPr>
              <w:t xml:space="preserve">Scalability</w:t>
            </w:r>
          </w:p>
        </w:tc>
        <w:tc>
          <w:tcPr>
            <w:shd w:val="clear" w:color="auto" w:fill="D9E2F3"/>
          </w:tcPr>
          <w:p>
            <w:pPr>
              <w:jc w:val="center"/>
            </w:pPr>
            <w:r>
              <w:rPr>
                <w:b/>
              </w:rPr>
              <w:t xml:space="preserve">Data Requirement</w:t>
            </w:r>
          </w:p>
        </w:tc>
      </w:tr>
      <w:tr>
        <w:tc>
          <w:p>
            <w:pPr>
              <w:spacing w:after="40"/>
            </w:pPr>
            <w:r>
              <w:t xml:space="preserve">Supervised Learning</w:t>
            </w:r>
          </w:p>
        </w:tc>
        <w:tc>
          <w:p>
            <w:pPr>
              <w:spacing w:after="40"/>
            </w:pPr>
            <w:r>
              <w:t xml:space="preserve">Labelled data</w:t>
            </w:r>
          </w:p>
        </w:tc>
        <w:tc>
          <w:p>
            <w:pPr>
              <w:spacing w:after="40"/>
            </w:pPr>
            <w:r>
              <w:t xml:space="preserve">CNNs, Transformers, XGBoost</w:t>
            </w:r>
          </w:p>
        </w:tc>
        <w:tc>
          <w:p>
            <w:pPr>
              <w:spacing w:after="40"/>
            </w:pPr>
            <w:r>
              <w:t xml:space="preserve">Classification, NLP, Computer Vision</w:t>
            </w:r>
          </w:p>
        </w:tc>
        <w:tc>
          <w:p>
            <w:pPr>
              <w:spacing w:after="40"/>
            </w:pPr>
            <w:r>
              <w:t xml:space="preserve">High</w:t>
            </w:r>
          </w:p>
        </w:tc>
        <w:tc>
          <w:p>
            <w:pPr>
              <w:spacing w:after="40"/>
            </w:pPr>
            <w:r>
              <w:t xml:space="preserve">Large labelled datasets</w:t>
            </w:r>
          </w:p>
        </w:tc>
      </w:tr>
      <w:tr>
        <w:tc>
          <w:p>
            <w:pPr>
              <w:spacing w:after="40"/>
            </w:pPr>
            <w:r>
              <w:t xml:space="preserve">Unsupervised Learning</w:t>
            </w:r>
          </w:p>
        </w:tc>
        <w:tc>
          <w:p>
            <w:pPr>
              <w:spacing w:after="40"/>
            </w:pPr>
            <w:r>
              <w:t xml:space="preserve">No labels</w:t>
            </w:r>
          </w:p>
        </w:tc>
        <w:tc>
          <w:p>
            <w:pPr>
              <w:spacing w:after="40"/>
            </w:pPr>
            <w:r>
              <w:t xml:space="preserve">K-means, VAE, GAN, DBSCAN</w:t>
            </w:r>
          </w:p>
        </w:tc>
        <w:tc>
          <w:p>
            <w:pPr>
              <w:spacing w:after="40"/>
            </w:pPr>
            <w:r>
              <w:t xml:space="preserve">Clustering, Anomaly Detection, Generation</w:t>
            </w:r>
          </w:p>
        </w:tc>
        <w:tc>
          <w:p>
            <w:pPr>
              <w:spacing w:after="40"/>
            </w:pPr>
            <w:r>
              <w:t xml:space="preserve">Medium</w:t>
            </w:r>
          </w:p>
        </w:tc>
        <w:tc>
          <w:p>
            <w:pPr>
              <w:spacing w:after="40"/>
            </w:pPr>
            <w:r>
              <w:t xml:space="preserve">Large unlabelled datasets</w:t>
            </w:r>
          </w:p>
        </w:tc>
      </w:tr>
      <w:tr>
        <w:tc>
          <w:p>
            <w:pPr>
              <w:spacing w:after="40"/>
            </w:pPr>
            <w:r>
              <w:t xml:space="preserve">Reinforcement Learning</w:t>
            </w:r>
          </w:p>
        </w:tc>
        <w:tc>
          <w:p>
            <w:pPr>
              <w:spacing w:after="40"/>
            </w:pPr>
            <w:r>
              <w:t xml:space="preserve">Reward signal</w:t>
            </w:r>
          </w:p>
        </w:tc>
        <w:tc>
          <w:p>
            <w:pPr>
              <w:spacing w:after="40"/>
            </w:pPr>
            <w:r>
              <w:t xml:space="preserve">DQN, PPO, SAC, AlphaZero</w:t>
            </w:r>
          </w:p>
        </w:tc>
        <w:tc>
          <w:p>
            <w:pPr>
              <w:spacing w:after="40"/>
            </w:pPr>
            <w:r>
              <w:t xml:space="preserve">Robotics, Game AI, Resource Optimization</w:t>
            </w:r>
          </w:p>
        </w:tc>
        <w:tc>
          <w:p>
            <w:pPr>
              <w:spacing w:after="40"/>
            </w:pPr>
            <w:r>
              <w:t xml:space="preserve">Medium</w:t>
            </w:r>
          </w:p>
        </w:tc>
        <w:tc>
          <w:p>
            <w:pPr>
              <w:spacing w:after="40"/>
            </w:pPr>
            <w:r>
              <w:t xml:space="preserve">Environment interactions</w:t>
            </w:r>
          </w:p>
        </w:tc>
      </w:tr>
      <w:tr>
        <w:tc>
          <w:p>
            <w:pPr>
              <w:spacing w:after="40"/>
            </w:pPr>
            <w:r>
              <w:t xml:space="preserve">Self-Supervised Learning</w:t>
            </w:r>
          </w:p>
        </w:tc>
        <w:tc>
          <w:p>
            <w:pPr>
              <w:spacing w:after="40"/>
            </w:pPr>
            <w:r>
              <w:t xml:space="preserve">Pretext tasks</w:t>
            </w:r>
          </w:p>
        </w:tc>
        <w:tc>
          <w:p>
            <w:pPr>
              <w:spacing w:after="40"/>
            </w:pPr>
            <w:r>
              <w:t xml:space="preserve">BERT, GPT, MAE, DINO</w:t>
            </w:r>
          </w:p>
        </w:tc>
        <w:tc>
          <w:p>
            <w:pPr>
              <w:spacing w:after="40"/>
            </w:pPr>
            <w:r>
              <w:t xml:space="preserve">Foundation Models, Representations</w:t>
            </w:r>
          </w:p>
        </w:tc>
        <w:tc>
          <w:p>
            <w:pPr>
              <w:spacing w:after="40"/>
            </w:pPr>
            <w:r>
              <w:t xml:space="preserve">Very High</w:t>
            </w:r>
          </w:p>
        </w:tc>
        <w:tc>
          <w:p>
            <w:pPr>
              <w:spacing w:after="40"/>
            </w:pPr>
            <w:r>
              <w:t xml:space="preserve">Massive unlabelled corpora</w:t>
            </w:r>
          </w:p>
        </w:tc>
      </w:tr>
      <w:tr>
        <w:tc>
          <w:p>
            <w:pPr>
              <w:spacing w:after="40"/>
            </w:pPr>
            <w:r>
              <w:t xml:space="preserve">Generative AI</w:t>
            </w:r>
          </w:p>
        </w:tc>
        <w:tc>
          <w:p>
            <w:pPr>
              <w:spacing w:after="40"/>
            </w:pPr>
            <w:r>
              <w:t xml:space="preserve">Human feedback</w:t>
            </w:r>
          </w:p>
        </w:tc>
        <w:tc>
          <w:p>
            <w:pPr>
              <w:spacing w:after="40"/>
            </w:pPr>
            <w:r>
              <w:t xml:space="preserve">GPT-4, Diffusion, GAN</w:t>
            </w:r>
          </w:p>
        </w:tc>
        <w:tc>
          <w:p>
            <w:pPr>
              <w:spacing w:after="40"/>
            </w:pPr>
            <w:r>
              <w:t xml:space="preserve">Content Generation, Code, Design</w:t>
            </w:r>
          </w:p>
        </w:tc>
        <w:tc>
          <w:p>
            <w:pPr>
              <w:spacing w:after="40"/>
            </w:pPr>
            <w:r>
              <w:t xml:space="preserve">Very High</w:t>
            </w:r>
          </w:p>
        </w:tc>
        <w:tc>
          <w:p>
            <w:pPr>
              <w:spacing w:after="40"/>
            </w:pPr>
            <w:r>
              <w:t xml:space="preserve">Internet-scale data</w:t>
            </w:r>
          </w:p>
        </w:tc>
      </w:tr>
      <w:tr>
        <w:tc>
          <w:p>
            <w:pPr>
              <w:spacing w:after="40"/>
            </w:pPr>
            <w:r>
              <w:t xml:space="preserve">Federated Learning</w:t>
            </w:r>
          </w:p>
        </w:tc>
        <w:tc>
          <w:p>
            <w:pPr>
              <w:spacing w:after="40"/>
            </w:pPr>
            <w:r>
              <w:t xml:space="preserve">Distributed data</w:t>
            </w:r>
          </w:p>
        </w:tc>
        <w:tc>
          <w:p>
            <w:pPr>
              <w:spacing w:after="40"/>
            </w:pPr>
            <w:r>
              <w:t xml:space="preserve">FedAvg, FedProx, SCAFFOLD</w:t>
            </w:r>
          </w:p>
        </w:tc>
        <w:tc>
          <w:p>
            <w:pPr>
              <w:spacing w:after="40"/>
            </w:pPr>
            <w:r>
              <w:t xml:space="preserve">Privacy-preserving ML, Healthcare</w:t>
            </w:r>
          </w:p>
        </w:tc>
        <w:tc>
          <w:p>
            <w:pPr>
              <w:spacing w:after="40"/>
            </w:pPr>
            <w:r>
              <w:t xml:space="preserve">High</w:t>
            </w:r>
          </w:p>
        </w:tc>
        <w:tc>
          <w:p>
            <w:pPr>
              <w:spacing w:after="40"/>
            </w:pPr>
            <w:r>
              <w:t xml:space="preserve">Distributed private data</w:t>
            </w:r>
          </w:p>
        </w:tc>
      </w:tr>
    </w:tbl>
    <w:p>
      <w:pPr>
        <w:pStyle w:val="TableCaption"/>
      </w:pPr>
      <w:r>
        <w:t xml:space="preserve">Table 2 summarizes the landscape of AI/ML paradigms, highlighting their distinctive learning mechanisms, algorithmic implementations, and application domains within the smart computing ecosystem.</w:t>
      </w:r>
    </w:p>
    <w:p>
      <w:pPr>
        <w:pStyle w:val="Heading2"/>
      </w:pPr>
      <w:r>
        <w:t xml:space="preserve">2.2 Neural Networks, Knowledge Representation, NLP, Computer Vision, and Explainable AI</w:t>
      </w:r>
    </w:p>
    <w:p>
      <w:pPr>
        <w:pStyle w:val="Normal"/>
      </w:pPr>
      <w:r>
        <w:t xml:space="preserve">Neural network architectures have diversified enormously to address domain-specific computational requirements [22]. Transformer-based architectures dominate natural language processing and increasingly computer vision, with Vision Transformers (ViT) and their variants (Swin Transformer, DeiT) achieving competitive or superior performance to CNNs on image recognition benchmarks. Graph neural networks process non-Euclidean data structures, enabling applications in molecular design, social network analysis, and knowledge graph reasoning. Neuromorphic computing, inspired by biological neural systems, offers ultra-low-power inference for edge deployment through spiking neural networks [23].</w:t>
      </w:r>
    </w:p>
    <w:p>
      <w:pPr>
        <w:pStyle w:val="Normal"/>
      </w:pPr>
      <w:r>
        <w:t xml:space="preserve">Knowledge representation and reasoning remain essential for systems requiring structured understanding beyond pattern recognition. Modern approaches combine neural networks with symbolic reasoning through neurosymbolic AI, integrating the learning capabilities of deep networks with the logical reasoning and interpretability of symbolic systems [24]. Knowledge graphs—structured representations of entities, relationships, and semantic information—serve as foundational infrastructure for intelligent systems, powering search engines, recommendation systems, and conversational AI assistants. Large-scale knowledge graphs including Wikidata, Google's Knowledge Graph, and domain-specific ontologies contain billions of facts organized into rich semantic networks that enable multi-hop reasoning, question answering, and fact verification. The integration of knowledge graphs with large language models through retrieval-augmented generation (RAG) combines the broad language capabilities of LLMs with the factual precision and up-to-date information contained in structured knowledge bases.</w:t>
      </w:r>
    </w:p>
    <w:p>
      <w:pPr>
        <w:pStyle w:val="Normal"/>
      </w:pPr>
      <w:r>
        <w:t xml:space="preserve">Natural language processing has been revolutionized by pre-trained language models that achieve near-human performance across comprehension, generation, translation, summarization, and question-answering tasks [25]. The progression from word embeddings (Word2Vec, GloVe) through contextualized representations (ELMo, BERT) to instruction-following LLMs (GPT-4, Claude) represents exponential capability growth. Multilingual models (mBERT, XLM-R) and domain-specific language models (BioBERT, FinBERT, CodeBERT) extend NLP capabilities across languages and specialized domains.</w:t>
      </w:r>
    </w:p>
    <w:p>
      <w:pPr>
        <w:pStyle w:val="Normal"/>
      </w:pPr>
      <w:r>
        <w:t xml:space="preserve">Computer vision has achieved remarkable advances through deep learning, with systems now capable of object detection, semantic segmentation, pose estimation, depth estimation, and scene understanding at superhuman accuracy [26]. Foundation models for vision (CLIP, SAM, DINO v2) demonstrate zero-shot generalization capabilities, recognizing novel object categories without task-specific training. Video understanding, 3D reconstruction, and visual reasoning represent active frontiers pushing toward comprehensive visual intelligence.</w:t>
      </w:r>
    </w:p>
    <w:p>
      <w:pPr>
        <w:pStyle w:val="Normal"/>
      </w:pPr>
      <w:r>
        <w:t xml:space="preserve">Explainable AI (XAI) addresses the critical challenge of interpreting and understanding AI system decisions, particularly for high-stakes applications in healthcare, finance, and criminal justice [27]. Techniques span model-agnostic methods (LIME, SHAP, attention visualization) and inherently interpretable architectures (decision trees, rule lists, concept bottleneck models). The tension between model performance and interpretability drives research toward approaches that maintain high accuracy while providing human-understandable explanations of reasoning processes. Recent advances in mechanistic interpretability aim to reverse-engineer the internal computations of neural networks, identifying interpretable circuits and features that reveal how models process information and arrive at decisions. This line of research holds promise for both improving model transparency and discovering unexpected capabilities or failure modes in deployed systems.</w:t>
      </w:r>
    </w:p>
    <w:p>
      <w:pPr>
        <w:pStyle w:val="Heading2"/>
      </w:pPr>
      <w:r>
        <w:t xml:space="preserve">2.3 AI-Enabled Intelligent Systems in Healthcare, Industry, Transportation, Education, Agriculture, Finance, and Smart Cities</w:t>
      </w:r>
    </w:p>
    <w:p>
      <w:pPr>
        <w:pStyle w:val="Normal"/>
      </w:pPr>
      <w:r>
        <w:t xml:space="preserve">The application of AI-driven smart computing spans virtually every sector of human endeavour, transforming operational paradigms and creating new possibilities for efficiency, personalization, and autonomy [28].</w:t>
      </w:r>
    </w:p>
    <w:p>
      <w:pPr>
        <w:pStyle w:val="Normal"/>
      </w:pPr>
      <w:r>
        <w:rPr>
          <w:b/>
        </w:rPr>
        <w:t xml:space="preserve">Healthcare:</w:t>
      </w:r>
      <w:r>
        <w:t xml:space="preserve"> AI systems are revolutionizing medical diagnostics, drug discovery, personalized treatment planning, and clinical workflow optimization. Deep learning models achieve radiologist-level accuracy in detecting pathologies from medical images including mammograms, chest X-rays, and retinal scans [29]. Large language models assist in clinical documentation, medical literature synthesis, and patient communication. AI-driven drug discovery platforms reduce development timelines from decades to years through virtual screening, molecular generation, and clinical trial optimization. The integration of multimodal AI in healthcare—combining imaging, genomics, electronic health records, and wearable sensor data—enables holistic patient assessment and truly personalized treatment strategies. Surgical robotics enhanced with AI perception and planning capabilities enable minimally invasive procedures with enhanced precision and reduced recovery times.</w:t>
      </w:r>
    </w:p>
    <w:p>
      <w:pPr>
        <w:pStyle w:val="Normal"/>
      </w:pPr>
      <w:r>
        <w:rPr>
          <w:b/>
        </w:rPr>
        <w:t xml:space="preserve">Industry 4.0 and Smart Manufacturing:</w:t>
      </w:r>
      <w:r>
        <w:t xml:space="preserve"> Industrial AI enables predictive maintenance, quality inspection, process optimization, and autonomous production systems [30]. Digital twins—virtual replicas of physical systems—combine real-time sensor data with AI models to simulate, predict, and optimize manufacturing processes. Collaborative robots (cobots) equipped with computer vision and force sensing operate alongside human workers, while AI-driven supply chain systems optimize inventory, logistics, and demand forecasting with unprecedented accuracy. The integration of generative AI in manufacturing design accelerates product development through automated design exploration, topology optimization, and manufacturing process simulation that identifies optimal production parameters before physical prototyping.</w:t>
      </w:r>
    </w:p>
    <w:p>
      <w:pPr>
        <w:pStyle w:val="Normal"/>
      </w:pPr>
      <w:r>
        <w:rPr>
          <w:b/>
        </w:rPr>
        <w:t xml:space="preserve">Transportation and Autonomous Vehicles:</w:t>
      </w:r>
      <w:r>
        <w:t xml:space="preserve"> Intelligent transportation systems leverage AI for traffic flow optimization, route planning, demand prediction, and vehicle autonomy [31]. Self-driving vehicles integrate perception (LiDAR, cameras, radar), prediction (motion forecasting), planning (trajectory optimization), and control (actuator commands) subsystems, all powered by deep learning and reinforcement learning algorithms. Smart traffic management systems reduce congestion through adaptive signal control and real-time routing optimization. Vehicle-to-everything (V2X) communication enables cooperative intelligent transportation where vehicles, infrastructure, and traffic management centres share information in real-time to optimize traffic flow, prevent accidents, and reduce emissions. The development of autonomous vehicle technology has catalysed broader advances in AI perception, planning under uncertainty, and safety-critical system design that transfer to numerous adjacent domains.</w:t>
      </w:r>
    </w:p>
    <w:p>
      <w:pPr>
        <w:pStyle w:val="Normal"/>
      </w:pPr>
      <w:r>
        <w:rPr>
          <w:b/>
        </w:rPr>
        <w:t xml:space="preserve">Education:</w:t>
      </w:r>
      <w:r>
        <w:t xml:space="preserve"> AI-powered adaptive learning systems personalize educational content, pacing, and assessment to individual learner needs [32]. Intelligent tutoring systems provide real-time feedback and scaffolding, while generative AI assists in content creation, question generation, and automated grading. Learning analytics platforms identify at-risk students and recommend interventions, improving educational outcomes through data-driven decision-making. The integration of large language models into educational technology has created AI tutoring experiences that provide patient, personalized instruction across diverse subjects, with early studies suggesting effectiveness comparable to human one-on-one tutoring for specific skill domains.</w:t>
      </w:r>
    </w:p>
    <w:p>
      <w:pPr>
        <w:pStyle w:val="Normal"/>
      </w:pPr>
      <w:r>
        <w:rPr>
          <w:b/>
        </w:rPr>
        <w:t xml:space="preserve">Agriculture:</w:t>
      </w:r>
      <w:r>
        <w:t xml:space="preserve"> Precision agriculture employs AI for crop monitoring, disease detection, yield prediction, irrigation optimization, and autonomous farming operations [33]. Computer vision systems mounted on drones and ground robots identify pest infestations, nutrient deficiencies, and harvest readiness at individual plant resolution. AI-driven climate models inform planting decisions and risk management strategies for agricultural sustainability. The convergence of satellite imagery, ground-based sensors, and weather data with machine learning enables field-level yield prediction weeks before harvest, enabling farmers to optimize harvesting logistics and marketing strategies while reducing food waste through improved supply chain coordination.</w:t>
      </w:r>
    </w:p>
    <w:p>
      <w:pPr>
        <w:pStyle w:val="Normal"/>
      </w:pPr>
      <w:r>
        <w:rPr>
          <w:b/>
        </w:rPr>
        <w:t xml:space="preserve">Finance:</w:t>
      </w:r>
      <w:r>
        <w:t xml:space="preserve"> AI transforms financial services through algorithmic trading, fraud detection, credit scoring, risk assessment, and customer service automation [34]. Natural language processing extracts insights from financial reports, news, and social media for sentiment analysis and market prediction. Generative AI enables personalized financial advisory services and automated regulatory compliance documentation. The deployment of graph neural networks for detecting sophisticated fraud patterns—identifying suspicious transaction networks that evade traditional rule-based detection systems—has significantly improved financial security while reducing false positive rates that burden legitimate customers and operational teams.</w:t>
      </w:r>
    </w:p>
    <w:p>
      <w:pPr>
        <w:pStyle w:val="Normal"/>
      </w:pPr>
      <w:r>
        <w:rPr>
          <w:b/>
        </w:rPr>
        <w:t xml:space="preserve">Smart Cities:</w:t>
      </w:r>
      <w:r>
        <w:t xml:space="preserve"> Urban intelligence integrates AI across infrastructure management, public safety, energy optimization, waste management, and citizen services [35]. Computer vision systems enable smart surveillance, traffic monitoring, and infrastructure health assessment. AI-driven energy grids balance supply and demand through predictive optimization, while intelligent waste management systems optimize collection routes and recycling processes. Smart city platforms integrate data from thousands of sensors, cameras, and municipal systems into unified digital command centres that enable real-time situational awareness and coordinated response to urban challenges. Natural language interfaces enable citizens to interact with municipal services through conversational AI, while predictive analytics inform urban planning decisions regarding transportation infrastructure, housing development, and public resource allocation.</w:t>
      </w:r>
    </w:p>
    <w:p>
      <w:pPr>
        <w:jc w:val="center"/>
      </w:pPr>
      <w:r>
        <w:drawing>
          <wp:inline xmlns:wp="http://schemas.openxmlformats.org/drawingml/2006/wordprocessingDrawing" distT="0" distB="0" distL="0" distR="0">
            <wp:extent cx="5400000" cy="3700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2"/>
                    <a:stretch>
                      <a:fillRect/>
                    </a:stretch>
                  </pic:blipFill>
                  <pic:spPr>
                    <a:xfrm>
                      <a:off x="0" y="0"/>
                      <a:ext cx="5400000" cy="3700000"/>
                    </a:xfrm>
                    <a:prstGeom prst="rect">
                      <a:avLst/>
                    </a:prstGeom>
                  </pic:spPr>
                </pic:pic>
              </a:graphicData>
            </a:graphic>
          </wp:inline>
        </w:drawing>
      </w:r>
    </w:p>
    <w:p>
      <w:pPr>
        <w:pStyle w:val="FigureCaption"/>
      </w:pPr>
      <w:r>
        <w:t xml:space="preserve">Figure 3 provides a comprehensive visualization of AI application domains across major industry sectors, illustrating the breadth and depth of smart computing deployment in contemporary society.</w:t>
      </w:r>
    </w:p>
    <w:p>
      <w:pPr>
        <w:pStyle w:val="Heading1"/>
      </w:pPr>
      <w:r>
        <w:t xml:space="preserve">3. Emerging AI Landscape and Trustworthy Smart Computing</w:t>
      </w:r>
    </w:p>
    <w:p>
      <w:pPr>
        <w:pStyle w:val="Heading2"/>
      </w:pPr>
      <w:r>
        <w:t xml:space="preserve">3.1 Multimodal AI, Digital Twins, Federated Learning, and Human-AI Collaboration</w:t>
      </w:r>
    </w:p>
    <w:p>
      <w:pPr>
        <w:pStyle w:val="Normal"/>
      </w:pPr>
      <w:r>
        <w:t xml:space="preserve">Multimodal AI systems process and integrate information across multiple sensory modalities—text, images, audio, video, sensor data, and structured information—to achieve more comprehensive understanding and generation capabilities [36]. Models such as GPT-4V, Gemini, and LLaVA demonstrate sophisticated reasoning across visual and textual inputs, enabling applications from visual question answering to document understanding to embodied agent control. The fusion of modalities provides complementary information that improves robustness and enables capabilities impossible with unimodal systems alone.</w:t>
      </w:r>
    </w:p>
    <w:p>
      <w:pPr>
        <w:pStyle w:val="Normal"/>
      </w:pPr>
      <w:r>
        <w:t xml:space="preserve">Digital twins represent a transformative paradigm that creates comprehensive virtual replicas of physical systems, processes, or environments, continuously synchronized through real-time data feeds [37]. AI-enhanced digital twins go beyond static simulations to incorporate predictive models, what-if analysis capabilities, and autonomous optimization. Applications span manufacturing (predictive maintenance, process optimization), healthcare (patient-specific treatment simulation), urban planning (city-scale traffic and energy modeling), and aerospace (structural health monitoring and mission planning). The integration of physics-informed neural networks with digital twin frameworks enables accurate modelling with limited data by embedding domain knowledge as inductive biases. The maturation of digital twin technology is accelerating through advances in real-time sensor fusion, high-fidelity rendering, and AI-driven simulation that collectively enable virtual environments indistinguishable from physical reality for training and planning purposes. Industry analysts estimate the global digital twin market will exceed $150 billion by 2030, reflecting the transformative economic value created by these technologies across industrial, urban, and healthcare applications.</w:t>
      </w:r>
    </w:p>
    <w:p>
      <w:pPr>
        <w:pStyle w:val="Normal"/>
      </w:pPr>
      <w:r>
        <w:t xml:space="preserve">Federated learning addresses the fundamental tension between data-driven AI and data privacy by enabling collaborative model training across distributed data sources without centralizing sensitive information [38]. In federated learning, local models train on private data residing on individual devices or institutions, sharing only model updates (gradients or parameters) with a central aggregation server. This approach has proven particularly valuable in healthcare (multi-hospital model training without patient data sharing), mobile computing (keyboard prediction, voice recognition), and financial services (fraud detection across banking institutions). Advances in differential privacy, secure aggregation, and communication efficiency continue to strengthen the privacy guarantees and practical scalability of federated systems. Vertical federated learning extends the paradigm to scenarios where different organizations hold different features for the same entities, enabling collaborative modeling across complementary data sources without exposing proprietary features or customer relationships to partner organizations.</w:t>
      </w:r>
    </w:p>
    <w:p>
      <w:pPr>
        <w:pStyle w:val="Normal"/>
      </w:pPr>
      <w:r>
        <w:t xml:space="preserve">Human-AI collaboration represents an emerging paradigm that positions AI systems as partners rather than replacements for human workers, leveraging the complementary strengths of human creativity, judgment, and contextual understanding with AI capabilities in computation, pattern recognition, and tireless execution [39]. Effective human-AI teams demonstrate synergistic performance exceeding either humans or AI alone, particularly in complex domains requiring both analytical processing and nuanced decision-making. Research in this area focuses on shared mental models, appropriate trust calibration, explainable AI interfaces, and interactive machine learning where humans guide model behaviour through feedback and demonstration. The design of effective human-AI collaborative interfaces requires understanding of cognitive load management, attention allocation, and information presentation that supports rather than overwhelms human decision-makers. Longitudinal studies of human-AI teams reveal that collaboration effectiveness improves significantly over time as humans develop accurate mental models of AI capabilities and limitations, underscoring the importance of onboarding processes and transparency in long-term human-AI partnerships.</w:t>
      </w:r>
    </w:p>
    <w:p>
      <w:pPr>
        <w:pStyle w:val="TableCaption"/>
      </w:pPr>
      <w:r>
        <w:t xml:space="preserve">[Insert Table 3: Emerging AI Technologies and Their Characteristics]</w:t>
      </w:r>
    </w:p>
    <w:tbl>
      <w:tblPr>
        <w:tblStyle w:val="TableGrid"/>
        <w:tblW w:w="9200" w:type="dxa"/>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0"/>
        <w:gridCol w:w="1840"/>
        <w:gridCol w:w="1840"/>
        <w:gridCol w:w="1840"/>
        <w:gridCol w:w="1840"/>
      </w:tblGrid>
      <w:tr>
        <w:tc>
          <w:tcPr>
            <w:shd w:val="clear" w:color="auto" w:fill="D9E2F3"/>
          </w:tcPr>
          <w:p>
            <w:pPr>
              <w:jc w:val="center"/>
            </w:pPr>
            <w:r>
              <w:rPr>
                <w:b/>
              </w:rPr>
              <w:t xml:space="preserve">Technology</w:t>
            </w:r>
          </w:p>
        </w:tc>
        <w:tc>
          <w:tcPr>
            <w:shd w:val="clear" w:color="auto" w:fill="D9E2F3"/>
          </w:tcPr>
          <w:p>
            <w:pPr>
              <w:jc w:val="center"/>
            </w:pPr>
            <w:r>
              <w:rPr>
                <w:b/>
              </w:rPr>
              <w:t xml:space="preserve">Core Capability</w:t>
            </w:r>
          </w:p>
        </w:tc>
        <w:tc>
          <w:tcPr>
            <w:shd w:val="clear" w:color="auto" w:fill="D9E2F3"/>
          </w:tcPr>
          <w:p>
            <w:pPr>
              <w:jc w:val="center"/>
            </w:pPr>
            <w:r>
              <w:rPr>
                <w:b/>
              </w:rPr>
              <w:t xml:space="preserve">Key Enablers</w:t>
            </w:r>
          </w:p>
        </w:tc>
        <w:tc>
          <w:tcPr>
            <w:shd w:val="clear" w:color="auto" w:fill="D9E2F3"/>
          </w:tcPr>
          <w:p>
            <w:pPr>
              <w:jc w:val="center"/>
            </w:pPr>
            <w:r>
              <w:rPr>
                <w:b/>
              </w:rPr>
              <w:t xml:space="preserve">Maturity Level</w:t>
            </w:r>
          </w:p>
        </w:tc>
        <w:tc>
          <w:tcPr>
            <w:shd w:val="clear" w:color="auto" w:fill="D9E2F3"/>
          </w:tcPr>
          <w:p>
            <w:pPr>
              <w:jc w:val="center"/>
            </w:pPr>
            <w:r>
              <w:rPr>
                <w:b/>
              </w:rPr>
              <w:t xml:space="preserve">Primary Challenges</w:t>
            </w:r>
          </w:p>
        </w:tc>
      </w:tr>
      <w:tr>
        <w:tc>
          <w:p>
            <w:pPr>
              <w:spacing w:after="40"/>
            </w:pPr>
            <w:r>
              <w:t xml:space="preserve">Multimodal AI</w:t>
            </w:r>
          </w:p>
        </w:tc>
        <w:tc>
          <w:p>
            <w:pPr>
              <w:spacing w:after="40"/>
            </w:pPr>
            <w:r>
              <w:t xml:space="preserve">Cross-modal reasoning</w:t>
            </w:r>
          </w:p>
        </w:tc>
        <w:tc>
          <w:p>
            <w:pPr>
              <w:spacing w:after="40"/>
            </w:pPr>
            <w:r>
              <w:t xml:space="preserve">Large datasets, attention mechanisms</w:t>
            </w:r>
          </w:p>
        </w:tc>
        <w:tc>
          <w:p>
            <w:pPr>
              <w:spacing w:after="40"/>
            </w:pPr>
            <w:r>
              <w:t xml:space="preserve">Growing (TRL 6-7)</w:t>
            </w:r>
          </w:p>
        </w:tc>
        <w:tc>
          <w:p>
            <w:pPr>
              <w:spacing w:after="40"/>
            </w:pPr>
            <w:r>
              <w:t xml:space="preserve">Alignment, hallucination, evaluation</w:t>
            </w:r>
          </w:p>
        </w:tc>
      </w:tr>
      <w:tr>
        <w:tc>
          <w:p>
            <w:pPr>
              <w:spacing w:after="40"/>
            </w:pPr>
            <w:r>
              <w:t xml:space="preserve">Digital Twins</w:t>
            </w:r>
          </w:p>
        </w:tc>
        <w:tc>
          <w:p>
            <w:pPr>
              <w:spacing w:after="40"/>
            </w:pPr>
            <w:r>
              <w:t xml:space="preserve">Real-time virtual simulation</w:t>
            </w:r>
          </w:p>
        </w:tc>
        <w:tc>
          <w:p>
            <w:pPr>
              <w:spacing w:after="40"/>
            </w:pPr>
            <w:r>
              <w:t xml:space="preserve">IoT, cloud, physics models</w:t>
            </w:r>
          </w:p>
        </w:tc>
        <w:tc>
          <w:p>
            <w:pPr>
              <w:spacing w:after="40"/>
            </w:pPr>
            <w:r>
              <w:t xml:space="preserve">Established (TRL 7-8)</w:t>
            </w:r>
          </w:p>
        </w:tc>
        <w:tc>
          <w:p>
            <w:pPr>
              <w:spacing w:after="40"/>
            </w:pPr>
            <w:r>
              <w:t xml:space="preserve">Synchronization, complexity, cost</w:t>
            </w:r>
          </w:p>
        </w:tc>
      </w:tr>
      <w:tr>
        <w:tc>
          <w:p>
            <w:pPr>
              <w:spacing w:after="40"/>
            </w:pPr>
            <w:r>
              <w:t xml:space="preserve">Federated Learning</w:t>
            </w:r>
          </w:p>
        </w:tc>
        <w:tc>
          <w:p>
            <w:pPr>
              <w:spacing w:after="40"/>
            </w:pPr>
            <w:r>
              <w:t xml:space="preserve">Privacy-preserving ML</w:t>
            </w:r>
          </w:p>
        </w:tc>
        <w:tc>
          <w:p>
            <w:pPr>
              <w:spacing w:after="40"/>
            </w:pPr>
            <w:r>
              <w:t xml:space="preserve">Secure aggregation, differential privacy</w:t>
            </w:r>
          </w:p>
        </w:tc>
        <w:tc>
          <w:p>
            <w:pPr>
              <w:spacing w:after="40"/>
            </w:pPr>
            <w:r>
              <w:t xml:space="preserve">Maturing (TRL 5-6)</w:t>
            </w:r>
          </w:p>
        </w:tc>
        <w:tc>
          <w:p>
            <w:pPr>
              <w:spacing w:after="40"/>
            </w:pPr>
            <w:r>
              <w:t xml:space="preserve">Communication overhead, heterogeneity</w:t>
            </w:r>
          </w:p>
        </w:tc>
      </w:tr>
      <w:tr>
        <w:tc>
          <w:p>
            <w:pPr>
              <w:spacing w:after="40"/>
            </w:pPr>
            <w:r>
              <w:t xml:space="preserve">Quantum AI</w:t>
            </w:r>
          </w:p>
        </w:tc>
        <w:tc>
          <w:p>
            <w:pPr>
              <w:spacing w:after="40"/>
            </w:pPr>
            <w:r>
              <w:t xml:space="preserve">Exponential speedup</w:t>
            </w:r>
          </w:p>
        </w:tc>
        <w:tc>
          <w:p>
            <w:pPr>
              <w:spacing w:after="40"/>
            </w:pPr>
            <w:r>
              <w:t xml:space="preserve">Quantum hardware, error correction</w:t>
            </w:r>
          </w:p>
        </w:tc>
        <w:tc>
          <w:p>
            <w:pPr>
              <w:spacing w:after="40"/>
            </w:pPr>
            <w:r>
              <w:t xml:space="preserve">Early (TRL 3-4)</w:t>
            </w:r>
          </w:p>
        </w:tc>
        <w:tc>
          <w:p>
            <w:pPr>
              <w:spacing w:after="40"/>
            </w:pPr>
            <w:r>
              <w:t xml:space="preserve">Decoherence, limited qubits, algorithms</w:t>
            </w:r>
          </w:p>
        </w:tc>
      </w:tr>
      <w:tr>
        <w:tc>
          <w:p>
            <w:pPr>
              <w:spacing w:after="40"/>
            </w:pPr>
            <w:r>
              <w:t xml:space="preserve">Neuromorphic Computing</w:t>
            </w:r>
          </w:p>
        </w:tc>
        <w:tc>
          <w:p>
            <w:pPr>
              <w:spacing w:after="40"/>
            </w:pPr>
            <w:r>
              <w:t xml:space="preserve">Brain-inspired efficiency</w:t>
            </w:r>
          </w:p>
        </w:tc>
        <w:tc>
          <w:p>
            <w:pPr>
              <w:spacing w:after="40"/>
            </w:pPr>
            <w:r>
              <w:t xml:space="preserve">Spiking neural networks, memristors</w:t>
            </w:r>
          </w:p>
        </w:tc>
        <w:tc>
          <w:p>
            <w:pPr>
              <w:spacing w:after="40"/>
            </w:pPr>
            <w:r>
              <w:t xml:space="preserve">Emerging (TRL 4-5)</w:t>
            </w:r>
          </w:p>
        </w:tc>
        <w:tc>
          <w:p>
            <w:pPr>
              <w:spacing w:after="40"/>
            </w:pPr>
            <w:r>
              <w:t xml:space="preserve">Programming models, ecosystem</w:t>
            </w:r>
          </w:p>
        </w:tc>
      </w:tr>
      <w:tr>
        <w:tc>
          <w:p>
            <w:pPr>
              <w:spacing w:after="40"/>
            </w:pPr>
            <w:r>
              <w:t xml:space="preserve">Autonomous Agents</w:t>
            </w:r>
          </w:p>
        </w:tc>
        <w:tc>
          <w:p>
            <w:pPr>
              <w:spacing w:after="40"/>
            </w:pPr>
            <w:r>
              <w:t xml:space="preserve">Goal-directed autonomy</w:t>
            </w:r>
          </w:p>
        </w:tc>
        <w:tc>
          <w:p>
            <w:pPr>
              <w:spacing w:after="40"/>
            </w:pPr>
            <w:r>
              <w:t xml:space="preserve">LLMs, tool use, planning</w:t>
            </w:r>
          </w:p>
        </w:tc>
        <w:tc>
          <w:p>
            <w:pPr>
              <w:spacing w:after="40"/>
            </w:pPr>
            <w:r>
              <w:t xml:space="preserve">Early (TRL 3-4)</w:t>
            </w:r>
          </w:p>
        </w:tc>
        <w:tc>
          <w:p>
            <w:pPr>
              <w:spacing w:after="40"/>
            </w:pPr>
            <w:r>
              <w:t xml:space="preserve">Reliability, safety, alignment</w:t>
            </w:r>
          </w:p>
        </w:tc>
      </w:tr>
    </w:tbl>
    <w:p>
      <w:pPr>
        <w:pStyle w:val="TableCaption"/>
      </w:pPr>
      <w:r>
        <w:t xml:space="preserve">Table 3 presents an overview of emerging AI technologies, characterizing their capabilities, technological readiness levels, and outstanding challenges.</w:t>
      </w:r>
    </w:p>
    <w:p>
      <w:pPr>
        <w:pStyle w:val="Heading2"/>
      </w:pPr>
      <w:r>
        <w:t xml:space="preserve">3.2 Quantum AI, Autonomous Intelligence, and Next-Generation Computing Paradigms</w:t>
      </w:r>
    </w:p>
    <w:p>
      <w:pPr>
        <w:pStyle w:val="Normal"/>
      </w:pPr>
      <w:r>
        <w:t xml:space="preserve">Quantum artificial intelligence represents the intersection of quantum computing and machine learning, promising exponential computational advantages for specific problem classes [40]. Quantum computers exploit superposition, entanglement, and interference to process information in fundamentally different ways from classical systems. Quantum machine learning algorithms—including quantum support vector machines, quantum neural networks, variational quantum eigensolvers, and quantum approximate optimization algorithms—demonstrate theoretical speedups for optimization, sampling, and linear algebra problems central to AI. The potential for quantum computing to accelerate molecular simulation, combinatorial optimization, and cryptographic operations positions it as a critical enabler for next-generation intelligent systems that must solve currently intractable computational problems.</w:t>
      </w:r>
    </w:p>
    <w:p>
      <w:pPr>
        <w:pStyle w:val="Normal"/>
      </w:pPr>
      <w:r>
        <w:t xml:space="preserve">Current noisy intermediate-scale quantum (NISQ) devices contain tens to hundreds of qubits with limited coherence times, restricting practical quantum advantage to narrow problem instances. However, rapid progress in quantum error correction, hardware fidelity, and hybrid quantum-classical algorithms suggests that meaningful quantum advantages for AI workloads may materialize within the coming decade [41]. Companies including IBM, Google, Microsoft, and numerous startups are actively developing quantum hardware and software stacks, while cloud-based quantum computing services democratize access to quantum resources for research and experimentation.</w:t>
      </w:r>
    </w:p>
    <w:p>
      <w:pPr>
        <w:pStyle w:val="Normal"/>
      </w:pPr>
      <w:r>
        <w:t xml:space="preserve">Autonomous intelligence extends beyond current AI systems toward agents capable of sustained, goal-directed behaviour in open-ended environments without continuous human supervision. Large language model-based agents (AutoGPT, BabyAGI, Devin) demonstrate emerging capabilities in task decomposition, tool use, memory management, and multi-step planning [42]. These systems represent early steps toward artificial general intelligence (AGI) that could autonomously conduct scientific research, manage complex engineering projects, and navigate novel situations with human-level competence. The development of autonomous intelligence raises profound questions about the nature of agency, responsibility, and control, requiring new theoretical frameworks that bridge computer science, cognitive science, and philosophy of mind. Multi-agent systems, where multiple autonomous AI agents collaborate, negotiate, and coordinate to achieve complex objectives, represent a particularly promising direction for tackling problems that exceed the capabilities of individual agents.</w:t>
      </w:r>
    </w:p>
    <w:p>
      <w:pPr>
        <w:pStyle w:val="Normal"/>
      </w:pPr>
      <w:r>
        <w:t xml:space="preserve">Next-generation computing paradigms extend beyond traditional von Neumann architectures to address the growing computational demands of AI. Neuromorphic computing, inspired by biological brains, implements spiking neural networks on specialized hardware (Intel Loihi 2, IBM NorthPole) achieving orders-of-magnitude improvements in energy efficiency for inference tasks. In-memory computing eliminates the memory-processor bottleneck by performing computations directly within memory arrays, dramatically improving throughput for matrix operations central to deep learning. Photonic computing leverages light-speed signal propagation and parallelism for specific AI workloads, while DNA computing and molecular systems offer ultra-dense storage and massively parallel biochemical computation [43].</w:t>
      </w:r>
    </w:p>
    <w:p>
      <w:pPr>
        <w:pStyle w:val="Heading2"/>
      </w:pPr>
      <w:r>
        <w:t xml:space="preserve">3.3 Data Quality, Privacy, Cybersecurity, Algorithmic Fairness, and Responsible AI Governance</w:t>
      </w:r>
    </w:p>
    <w:p>
      <w:pPr>
        <w:pStyle w:val="Normal"/>
      </w:pPr>
      <w:r>
        <w:t xml:space="preserve">The trustworthiness of AI-driven smart computing systems fundamentally depends on data quality, privacy protection, security resilience, algorithmic fairness, and governance frameworks that ensure responsible development and deployment [44].</w:t>
      </w:r>
    </w:p>
    <w:p>
      <w:pPr>
        <w:pStyle w:val="Normal"/>
      </w:pPr>
      <w:r>
        <w:rPr>
          <w:b/>
        </w:rPr>
        <w:t xml:space="preserve">Data Quality:</w:t>
      </w:r>
      <w:r>
        <w:t xml:space="preserve"> The aphorism "garbage in, garbage out" applies with particular force to AI systems, where model performance is bounded by training data quality. Data quality dimensions—accuracy, completeness, consistency, timeliness, and relevance—directly impact model reliability [45]. Data-centric AI approaches emphasize systematic data curation, cleaning, augmentation, and monitoring as essential practices for production AI systems. Challenges include label noise, distribution shift, dataset bias, and the difficulty of assessing ground truth for complex tasks.</w:t>
      </w:r>
    </w:p>
    <w:p>
      <w:pPr>
        <w:pStyle w:val="Normal"/>
      </w:pPr>
      <w:r>
        <w:rPr>
          <w:b/>
        </w:rPr>
        <w:t xml:space="preserve">Privacy:</w:t>
      </w:r>
      <w:r>
        <w:t xml:space="preserve"> The data-intensive nature of AI creates inherent tension with individual privacy rights codified in regulations including GDPR, CCPA, and emerging AI-specific legislation. Privacy-preserving techniques span multiple approaches: differential privacy adds calibrated noise to prevent individual data extraction from model outputs; homomorphic encryption enables computation on encrypted data; secure multi-party computation allows collaborative analysis without data revelation; and synthetic data generation creates realistic but non-identifiable training datasets [46]. The integration of privacy-by-design principles into AI development workflows represents an essential practice for responsible smart computing.</w:t>
      </w:r>
    </w:p>
    <w:p>
      <w:pPr>
        <w:pStyle w:val="Normal"/>
      </w:pPr>
      <w:r>
        <w:rPr>
          <w:b/>
        </w:rPr>
        <w:t xml:space="preserve">Cybersecurity:</w:t>
      </w:r>
      <w:r>
        <w:t xml:space="preserve"> AI systems face unique security threats including adversarial attacks (carefully crafted inputs that fool classifiers), data poisoning (corrupting training data to degrade model performance), model extraction (stealing proprietary models through query access), and prompt injection (manipulating LLM behaviour through malicious inputs) [47]. Conversely, AI enhances cybersecurity through intelligent threat detection, automated incident response, vulnerability discovery, and adaptive defence systems. The dual-use nature of AI in cybersecurity—simultaneously enabling both offensive and defensive capabilities—demands careful governance and responsible disclosure practices.</w:t>
      </w:r>
    </w:p>
    <w:p>
      <w:pPr>
        <w:pStyle w:val="Normal"/>
      </w:pPr>
      <w:r>
        <w:rPr>
          <w:b/>
        </w:rPr>
        <w:t xml:space="preserve">Algorithmic Fairness:</w:t>
      </w:r>
      <w:r>
        <w:t xml:space="preserve"> AI systems can perpetuate and amplify societal biases present in training data, leading to discriminatory outcomes across protected characteristics including race, gender, age, and socioeconomic status [48]. Fairness-aware machine learning addresses these concerns through bias detection and mitigation techniques operating at pre-processing (data rebalancing, representation learning), in-processing (constrained optimization, adversarial debiasing), and post-processing (threshold calibration, output correction) stages. However, fundamental tensions exist between different mathematical definitions of fairness, and between fairness objectives and predictive accuracy, requiring contextual judgment and stakeholder engagement.</w:t>
      </w:r>
    </w:p>
    <w:p>
      <w:pPr>
        <w:pStyle w:val="Normal"/>
      </w:pPr>
      <w:r>
        <w:rPr>
          <w:b/>
        </w:rPr>
        <w:t xml:space="preserve">Responsible AI Governance:</w:t>
      </w:r>
      <w:r>
        <w:t xml:space="preserve"> Effective AI governance requires multi-stakeholder frameworks encompassing technical standards, organizational policies, regulatory requirements, and societal norms [49]. Major governance initiatives include the EU AI Act (risk-based regulatory framework), NIST AI Risk Management Framework (organizational risk assessment), and IEEE standards for ethically aligned design. Organizations increasingly adopt AI ethics boards, impact assessments, model cards, and datasheets as governance mechanisms ensuring accountability, transparency, and human oversight of AI systems.</w:t>
      </w:r>
    </w:p>
    <w:p>
      <w:pPr>
        <w:pStyle w:val="Heading1"/>
      </w:pPr>
      <w:r>
        <w:t xml:space="preserve">4. Future Directions of Intelligent and Adaptive Computing Systems</w:t>
      </w:r>
    </w:p>
    <w:p>
      <w:pPr>
        <w:pStyle w:val="Heading2"/>
      </w:pPr>
      <w:r>
        <w:t xml:space="preserve">4.1 Scalable, Resilient, and Sustainable AI-Driven Computing Architectures</w:t>
      </w:r>
    </w:p>
    <w:p>
      <w:pPr>
        <w:pStyle w:val="Normal"/>
      </w:pPr>
      <w:r>
        <w:t xml:space="preserve">The exponential growth in AI model scale—from millions to trillions of parameters—demands fundamentally new approaches to computing architecture that balance performance, cost, energy consumption, and environmental sustainability [50]. Current large-scale AI training requires thousands of interconnected GPUs consuming megawatts of electrical power, with a single GPT-4 training run estimated to cost over $100 million and emit significant carbon dioxide. Sustainable AI computing requires innovation across hardware efficiency, algorithmic optimization, and infrastructure design.</w:t>
      </w:r>
    </w:p>
    <w:p>
      <w:pPr>
        <w:pStyle w:val="Normal"/>
      </w:pPr>
      <w:r>
        <w:t xml:space="preserve">Hardware innovations for scalable AI include chiplet-based architectures that compose specialized processing units (matrix engines, memory controllers, interconnects) into customizable configurations optimized for specific workload characteristics. Wafer-scale integration (Cerebras) eliminates inter-chip communication overhead by fabricating entire neural network processors on single wafers. Three-dimensional integration stacks computation and memory layers, dramatically increasing bandwidth density and reducing data movement energy. Advanced packaging technologies including high-bandwidth memory (HBM) stacking and silicon interposers enable memory-compute bandwidth approaching theoretical limits, while optical interconnects replace electrical signaling for chip-to-chip communication, reducing latency and energy consumption in multi-chip training clusters.</w:t>
      </w:r>
    </w:p>
    <w:p>
      <w:pPr>
        <w:pStyle w:val="Normal"/>
      </w:pPr>
      <w:r>
        <w:t xml:space="preserve">Algorithmic efficiency improvements complement hardware advances through techniques including model compression (pruning, quantization, knowledge distillation), mixture-of-experts architectures (activating only relevant model subnetworks per input), efficient attention mechanisms (sparse attention, linear attention, flash attention), and training efficiency innovations (data selection, curriculum learning, progressive training) [51]. These approaches collectively reduce computational requirements by orders of magnitude while maintaining model capability, democratizing access to advanced AI.</w:t>
      </w:r>
    </w:p>
    <w:p>
      <w:pPr>
        <w:pStyle w:val="Normal"/>
      </w:pPr>
      <w:r>
        <w:t xml:space="preserve">Resilient AI architectures incorporate fault tolerance, graceful degradation, and self-healing capabilities essential for mission-critical applications. Approaches include redundant model deployment, ensemble-based uncertainty estimation, runtime monitoring and anomaly detection, and automatic failover mechanisms. The concept of antifragile AI systems—which improve performance in response to perturbations and failures—represents an aspirational target for next-generation architectures [52]. Continuous monitoring of model performance through ML observability platforms enables early detection of data drift, concept drift, and performance degradation, triggering automated retraining pipelines that maintain system accuracy over time. The integration of chaos engineering principles into AI system testing—deliberately introducing failures and perturbations to validate resilience mechanisms—represents an emerging best practice for production AI deployments.</w:t>
      </w:r>
    </w:p>
    <w:p>
      <w:pPr>
        <w:jc w:val="center"/>
      </w:pPr>
      <w:r>
        <w:drawing>
          <wp:inline xmlns:wp="http://schemas.openxmlformats.org/drawingml/2006/wordprocessingDrawing" distT="0" distB="0" distL="0" distR="0">
            <wp:extent cx="5400000" cy="3700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3"/>
                    <a:stretch>
                      <a:fillRect/>
                    </a:stretch>
                  </pic:blipFill>
                  <pic:spPr>
                    <a:xfrm>
                      <a:off x="0" y="0"/>
                      <a:ext cx="5400000" cy="3700000"/>
                    </a:xfrm>
                    <a:prstGeom prst="rect">
                      <a:avLst/>
                    </a:prstGeom>
                  </pic:spPr>
                </pic:pic>
              </a:graphicData>
            </a:graphic>
          </wp:inline>
        </w:drawing>
      </w:r>
    </w:p>
    <w:p>
      <w:pPr>
        <w:pStyle w:val="FigureCaption"/>
      </w:pPr>
      <w:r>
        <w:t xml:space="preserve">Figure 4 illustrates the multi-dimensional framework for sustainable AI computing architectures, integrating hardware efficiency, algorithmic optimization, renewable energy integration, and lifecycle assessment approaches to minimize environmental impact while maximizing computational capability.</w:t>
      </w:r>
    </w:p>
    <w:p>
      <w:pPr>
        <w:pStyle w:val="TableCaption"/>
      </w:pPr>
      <w:r>
        <w:t xml:space="preserve">[Insert Table 4: Roadmap for Sustainable AI Computing]</w:t>
      </w:r>
    </w:p>
    <w:tbl>
      <w:tblPr>
        <w:tblStyle w:val="TableGrid"/>
        <w:tblW w:w="9200" w:type="dxa"/>
        <w:tblLayout w:type="autofi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c>
          <w:tcPr>
            <w:shd w:val="clear" w:color="auto" w:fill="D9E2F3"/>
          </w:tcPr>
          <w:p>
            <w:pPr>
              <w:jc w:val="center"/>
            </w:pPr>
            <w:r>
              <w:rPr>
                <w:b/>
              </w:rPr>
              <w:t xml:space="preserve">Dimension</w:t>
            </w:r>
          </w:p>
        </w:tc>
        <w:tc>
          <w:tcPr>
            <w:shd w:val="clear" w:color="auto" w:fill="D9E2F3"/>
          </w:tcPr>
          <w:p>
            <w:pPr>
              <w:jc w:val="center"/>
            </w:pPr>
            <w:r>
              <w:rPr>
                <w:b/>
              </w:rPr>
              <w:t xml:space="preserve">Current State (2024)</w:t>
            </w:r>
          </w:p>
        </w:tc>
        <w:tc>
          <w:tcPr>
            <w:shd w:val="clear" w:color="auto" w:fill="D9E2F3"/>
          </w:tcPr>
          <w:p>
            <w:pPr>
              <w:jc w:val="center"/>
            </w:pPr>
            <w:r>
              <w:rPr>
                <w:b/>
              </w:rPr>
              <w:t xml:space="preserve">Near-term (2025-2027)</w:t>
            </w:r>
          </w:p>
        </w:tc>
        <w:tc>
          <w:tcPr>
            <w:shd w:val="clear" w:color="auto" w:fill="D9E2F3"/>
          </w:tcPr>
          <w:p>
            <w:pPr>
              <w:jc w:val="center"/>
            </w:pPr>
            <w:r>
              <w:rPr>
                <w:b/>
              </w:rPr>
              <w:t xml:space="preserve">Long-term (2028-2030+)</w:t>
            </w:r>
          </w:p>
        </w:tc>
      </w:tr>
      <w:tr>
        <w:tc>
          <w:p>
            <w:pPr>
              <w:spacing w:after="40"/>
            </w:pPr>
            <w:r>
              <w:t xml:space="preserve">Hardware Efficiency</w:t>
            </w:r>
          </w:p>
        </w:tc>
        <w:tc>
          <w:p>
            <w:pPr>
              <w:spacing w:after="40"/>
            </w:pPr>
            <w:r>
              <w:t xml:space="preserve">~2 TFLOPS/Watt (GPU)</w:t>
            </w:r>
          </w:p>
        </w:tc>
        <w:tc>
          <w:p>
            <w:pPr>
              <w:spacing w:after="40"/>
            </w:pPr>
            <w:r>
              <w:t xml:space="preserve">~10 TFLOPS/Watt (specialized)</w:t>
            </w:r>
          </w:p>
        </w:tc>
        <w:tc>
          <w:p>
            <w:pPr>
              <w:spacing w:after="40"/>
            </w:pPr>
            <w:r>
              <w:t xml:space="preserve">~100 TFLOPS/Watt (neuromorphic)</w:t>
            </w:r>
          </w:p>
        </w:tc>
      </w:tr>
      <w:tr>
        <w:tc>
          <w:p>
            <w:pPr>
              <w:spacing w:after="40"/>
            </w:pPr>
            <w:r>
              <w:t xml:space="preserve">Model Scale</w:t>
            </w:r>
          </w:p>
        </w:tc>
        <w:tc>
          <w:p>
            <w:pPr>
              <w:spacing w:after="40"/>
            </w:pPr>
            <w:r>
              <w:t xml:space="preserve">1-2 Trillion parameters</w:t>
            </w:r>
          </w:p>
        </w:tc>
        <w:tc>
          <w:p>
            <w:pPr>
              <w:spacing w:after="40"/>
            </w:pPr>
            <w:r>
              <w:t xml:space="preserve">10T parameters (sparse)</w:t>
            </w:r>
          </w:p>
        </w:tc>
        <w:tc>
          <w:p>
            <w:pPr>
              <w:spacing w:after="40"/>
            </w:pPr>
            <w:r>
              <w:t xml:space="preserve">100T+ (mixture-of-experts)</w:t>
            </w:r>
          </w:p>
        </w:tc>
      </w:tr>
      <w:tr>
        <w:tc>
          <w:p>
            <w:pPr>
              <w:spacing w:after="40"/>
            </w:pPr>
            <w:r>
              <w:t xml:space="preserve">Training Energy</w:t>
            </w:r>
          </w:p>
        </w:tc>
        <w:tc>
          <w:p>
            <w:pPr>
              <w:spacing w:after="40"/>
            </w:pPr>
            <w:r>
              <w:t xml:space="preserve">10-100 GWh per model</w:t>
            </w:r>
          </w:p>
        </w:tc>
        <w:tc>
          <w:p>
            <w:pPr>
              <w:spacing w:after="40"/>
            </w:pPr>
            <w:r>
              <w:t xml:space="preserve">1-10 GWh (efficient training)</w:t>
            </w:r>
          </w:p>
        </w:tc>
        <w:tc>
          <w:p>
            <w:pPr>
              <w:spacing w:after="40"/>
            </w:pPr>
            <w:r>
              <w:t xml:space="preserve">&lt;1 GWh (algorithmic advances)</w:t>
            </w:r>
          </w:p>
        </w:tc>
      </w:tr>
      <w:tr>
        <w:tc>
          <w:p>
            <w:pPr>
              <w:spacing w:after="40"/>
            </w:pPr>
            <w:r>
              <w:t xml:space="preserve">Carbon Footprint</w:t>
            </w:r>
          </w:p>
        </w:tc>
        <w:tc>
          <w:p>
            <w:pPr>
              <w:spacing w:after="40"/>
            </w:pPr>
            <w:r>
              <w:t xml:space="preserve">500+ tonnes CO2 per model</w:t>
            </w:r>
          </w:p>
        </w:tc>
        <w:tc>
          <w:p>
            <w:pPr>
              <w:spacing w:after="40"/>
            </w:pPr>
            <w:r>
              <w:t xml:space="preserve">50 tonnes (renewable + efficient)</w:t>
            </w:r>
          </w:p>
        </w:tc>
        <w:tc>
          <w:p>
            <w:pPr>
              <w:spacing w:after="40"/>
            </w:pPr>
            <w:r>
              <w:t xml:space="preserve">Net-zero AI training</w:t>
            </w:r>
          </w:p>
        </w:tc>
      </w:tr>
      <w:tr>
        <w:tc>
          <w:p>
            <w:pPr>
              <w:spacing w:after="40"/>
            </w:pPr>
            <w:r>
              <w:t xml:space="preserve">Inference Latency</w:t>
            </w:r>
          </w:p>
        </w:tc>
        <w:tc>
          <w:p>
            <w:pPr>
              <w:spacing w:after="40"/>
            </w:pPr>
            <w:r>
              <w:t xml:space="preserve">10-100ms (cloud)</w:t>
            </w:r>
          </w:p>
        </w:tc>
        <w:tc>
          <w:p>
            <w:pPr>
              <w:spacing w:after="40"/>
            </w:pPr>
            <w:r>
              <w:t xml:space="preserve">1-10ms (edge AI)</w:t>
            </w:r>
          </w:p>
        </w:tc>
        <w:tc>
          <w:p>
            <w:pPr>
              <w:spacing w:after="40"/>
            </w:pPr>
            <w:r>
              <w:t xml:space="preserve">&lt;1ms (in-sensor processing)</w:t>
            </w:r>
          </w:p>
        </w:tc>
      </w:tr>
      <w:tr>
        <w:tc>
          <w:p>
            <w:pPr>
              <w:spacing w:after="40"/>
            </w:pPr>
            <w:r>
              <w:t xml:space="preserve">Model Compression</w:t>
            </w:r>
          </w:p>
        </w:tc>
        <w:tc>
          <w:p>
            <w:pPr>
              <w:spacing w:after="40"/>
            </w:pPr>
            <w:r>
              <w:t xml:space="preserve">4-8x compression</w:t>
            </w:r>
          </w:p>
        </w:tc>
        <w:tc>
          <w:p>
            <w:pPr>
              <w:spacing w:after="40"/>
            </w:pPr>
            <w:r>
              <w:t xml:space="preserve">16-32x compression</w:t>
            </w:r>
          </w:p>
        </w:tc>
        <w:tc>
          <w:p>
            <w:pPr>
              <w:spacing w:after="40"/>
            </w:pPr>
            <w:r>
              <w:t xml:space="preserve">100x+ (task-specific distillation)</w:t>
            </w:r>
          </w:p>
        </w:tc>
      </w:tr>
    </w:tbl>
    <w:p>
      <w:pPr>
        <w:pStyle w:val="TableCaption"/>
      </w:pPr>
      <w:r>
        <w:t xml:space="preserve">Table 4 presents a forward-looking roadmap charting the progression of sustainable AI computing across key performance, efficiency, and environmental dimensions over the coming decade.</w:t>
      </w:r>
    </w:p>
    <w:p>
      <w:pPr>
        <w:pStyle w:val="Heading2"/>
      </w:pPr>
      <w:r>
        <w:t xml:space="preserve">4.2 Human-Centred Intelligence and the Future of AI-Augmented Decision-Making</w:t>
      </w:r>
    </w:p>
    <w:p>
      <w:pPr>
        <w:pStyle w:val="Normal"/>
      </w:pPr>
      <w:r>
        <w:t xml:space="preserve">Human-centred AI represents a design philosophy that prioritizes human values, capabilities, and well-being in the development and deployment of intelligent systems [53]. Rather than pursuing AI autonomy as an end in itself, human-centred approaches focus on augmenting human intelligence, expanding human capabilities, and supporting human decision-making through AI-powered tools and interfaces.</w:t>
      </w:r>
    </w:p>
    <w:p>
      <w:pPr>
        <w:pStyle w:val="Normal"/>
      </w:pPr>
      <w:r>
        <w:t xml:space="preserve">AI-augmented decision-making combines the analytical power of AI systems with human judgment, creativity, and contextual understanding to achieve outcomes superior to either alone. In clinical medicine, AI systems provide diagnostic suggestions and risk assessments that physicians integrate with patient history, clinical intuition, and communication with patients to arrive at treatment decisions [54]. In strategic business contexts, AI-generated scenarios, forecasts, and recommendations inform executive decisions while humans retain accountability for value judgments and stakeholder considerations.</w:t>
      </w:r>
    </w:p>
    <w:p>
      <w:pPr>
        <w:pStyle w:val="Normal"/>
      </w:pPr>
      <w:r>
        <w:t xml:space="preserve">The design of effective human-AI decision systems requires careful attention to: cognitive ergonomics (presenting AI outputs in formats aligned with human cognitive processes), calibrated trust (ensuring appropriate reliance on AI recommendations based on system reliability), explainability (providing transparent reasoning that enables human scrutiny and override), and graceful handoff (seamlessly transferring control between human and AI as situational complexity varies) [55].</w:t>
      </w:r>
    </w:p>
    <w:p>
      <w:pPr>
        <w:pStyle w:val="Normal"/>
      </w:pPr>
      <w:r>
        <w:t xml:space="preserve">Interactive machine learning paradigms enable humans to continuously shape AI system behaviour through feedback, demonstration, and correction, creating adaptive systems that align with evolving human preferences and domain requirements. Techniques including active learning (AI queries humans for informative labels), learning from human feedback (RLHF, constitutional AI), and collaborative filtering (aggregating diverse human preferences) establish bidirectional communication channels between human intelligence and artificial intelligence [56].</w:t>
      </w:r>
    </w:p>
    <w:p>
      <w:pPr>
        <w:pStyle w:val="Normal"/>
      </w:pPr>
      <w:r>
        <w:t xml:space="preserve">The future of human-AI collaboration envisions AI systems as intellectual partners that augment human creativity, accelerate scientific discovery, enhance artistic expression, and democratize access to expertise across domains [57]. Achieving this vision requires interdisciplinary collaboration between AI researchers, cognitive scientists, human-computer interaction designers, and domain experts to create systems that are simultaneously powerful, transparent, and aligned with human values.</w:t>
      </w:r>
    </w:p>
    <w:p>
      <w:pPr>
        <w:pStyle w:val="Heading2"/>
      </w:pPr>
      <w:r>
        <w:t xml:space="preserve">4.3 Research Challenges and Opportunities for Future Intelligent Systems</w:t>
      </w:r>
    </w:p>
    <w:p>
      <w:pPr>
        <w:pStyle w:val="Normal"/>
      </w:pPr>
      <w:r>
        <w:t xml:space="preserve">The field of AI-driven smart computing faces numerous research challenges that simultaneously represent opportunities for transformative innovation. These challenges span fundamental theoretical questions, engineering obstacles, and societal considerations that will shape the trajectory of intelligent systems over the coming decades.</w:t>
      </w:r>
    </w:p>
    <w:p>
      <w:pPr>
        <w:pStyle w:val="Normal"/>
      </w:pPr>
      <w:r>
        <w:rPr>
          <w:b/>
        </w:rPr>
        <w:t xml:space="preserve">Continual and Lifelong Learning:</w:t>
      </w:r>
      <w:r>
        <w:t xml:space="preserve"> Current AI systems are primarily trained in discrete episodes, lacking the ability to continuously acquire new knowledge while retaining previously learned capabilities. Catastrophic forgetting—the tendency of neural networks to overwrite prior knowledge when learning new tasks—remains a fundamental obstacle. Research in continual learning, progressive neural networks, elastic weight consolidation, and memory-augmented architectures aims to create systems capable of accumulating knowledge over extended lifetimes without degradation [58].</w:t>
      </w:r>
    </w:p>
    <w:p>
      <w:pPr>
        <w:pStyle w:val="Normal"/>
      </w:pPr>
      <w:r>
        <w:rPr>
          <w:b/>
        </w:rPr>
        <w:t xml:space="preserve">Causal Reasoning and World Models:</w:t>
      </w:r>
      <w:r>
        <w:t xml:space="preserve"> While modern AI excels at pattern recognition and correlation detection, genuine causal reasoning—understanding why phenomena occur and predicting the effects of interventions—remains largely elusive. Causal inference methods, structural causal models, and world models that internalize physical laws and causal relationships represent essential capabilities for AI systems that must plan, reason counterfactually, and operate reliably in novel situations [59]. The development of world models—internal representations of environment dynamics learned from observational data—enables AI agents to mentally simulate the consequences of potential actions before execution, dramatically improving sample efficiency and enabling safe exploration in domains where real-world experimentation is costly or dangerous.</w:t>
      </w:r>
    </w:p>
    <w:p>
      <w:pPr>
        <w:pStyle w:val="Normal"/>
      </w:pPr>
      <w:r>
        <w:rPr>
          <w:b/>
        </w:rPr>
        <w:t xml:space="preserve">Sample Efficiency and Few-Shot Learning:</w:t>
      </w:r>
      <w:r>
        <w:t xml:space="preserve"> Despite the success of large-scale pre-training, the data requirements of current AI systems remain enormous compared to human learning capabilities. Research in meta-learning, few-shot learning, zero-shot generalization, and neuro-symbolic integration aims to create systems that learn from limited examples by leveraging structured prior knowledge and compositional reasoning [60]. In-context learning—the ability of large language models to adapt to new tasks from a handful of examples provided in the prompt without parameter updates—represents a remarkable emergent capability that partially addresses the sample efficiency challenge, though the mechanisms underlying this behaviour remain an active area of investigation.</w:t>
      </w:r>
    </w:p>
    <w:p>
      <w:pPr>
        <w:pStyle w:val="Normal"/>
      </w:pPr>
      <w:r>
        <w:rPr>
          <w:b/>
        </w:rPr>
        <w:t xml:space="preserve">Robustness and Reliability:</w:t>
      </w:r>
      <w:r>
        <w:t xml:space="preserve"> Deployed AI systems must maintain reliable performance under distribution shift, adversarial perturbation, and environmental variation. Current systems exhibit brittle failure modes when encountering inputs that differ from training distributions. Research in robust optimization, uncertainty quantification, out-of-distribution detection, and formal verification addresses the critical need for AI systems that know what they don't know and fail gracefully rather than catastrophically [61]. Techniques including conformal prediction provide distribution-free uncertainty estimates with guaranteed coverage properties, while ensemble methods and Monte Carlo dropout offer practical approaches to quantifying predictive uncertainty in production deployments.</w:t>
      </w:r>
    </w:p>
    <w:p>
      <w:pPr>
        <w:pStyle w:val="Normal"/>
      </w:pPr>
      <w:r>
        <w:rPr>
          <w:b/>
        </w:rPr>
        <w:t xml:space="preserve">Energy-Efficient Intelligence:</w:t>
      </w:r>
      <w:r>
        <w:t xml:space="preserve"> The computational demands of modern AI raise fundamental questions about sustainability and accessibility. Achieving human-level intelligence with human-brain-level energy efficiency (~20 watts) represents a grand challenge requiring innovations across algorithms, architectures, and hardware substrates. Neuromorphic computing, in-memory processing, and algorithm-hardware co-design offer promising pathways toward orders-of-magnitude efficiency improvements [62].</w:t>
      </w:r>
    </w:p>
    <w:p>
      <w:pPr>
        <w:pStyle w:val="Normal"/>
      </w:pPr>
      <w:r>
        <w:rPr>
          <w:b/>
        </w:rPr>
        <w:t xml:space="preserve">AI Alignment and Safety:</w:t>
      </w:r>
      <w:r>
        <w:t xml:space="preserve"> As AI systems become more capable and autonomous, ensuring their behaviour remains aligned with human values and intentions becomes increasingly critical. The alignment problem—ensuring advanced AI systems reliably pursue intended objectives without harmful side effects—represents perhaps the most consequential research challenge in the field. Approaches including constitutional AI, reward modelling, debate, and interpretability research aim to create AI systems that are simultaneously capable and safely controllable [63]. The development of evaluation frameworks for measuring alignment, the creation of red-teaming methodologies for identifying failure modes, and the establishment of safety benchmarks represent essential infrastructure for responsible advancement of increasingly capable AI systems. International cooperation on AI safety standards, shared evaluation protocols, and coordinated governance approaches will be essential for managing the global implications of transformative AI capabilities.</w:t>
      </w:r>
    </w:p>
    <w:p>
      <w:pPr>
        <w:pStyle w:val="Heading1"/>
      </w:pPr>
      <w:r>
        <w:t xml:space="preserve">Conclusion</w:t>
      </w:r>
    </w:p>
    <w:p>
      <w:pPr>
        <w:pStyle w:val="Normal"/>
      </w:pPr>
      <w:r>
        <w:t xml:space="preserve">This chapter has provided a comprehensive exploration of AI-driven smart computing, tracing its evolution from early rule-based systems through the deep learning revolution to contemporary foundation models and emerging quantum computing paradigms. The convergence of AI with cloud computing, edge computing, IoT, and big data creates synergistic intelligent ecosystems that transform every sector of human activity. Emerging technologies including multimodal AI, digital twins, federated learning, and autonomous agents promise to further expand the frontier of machine intelligence, while critical challenges in trustworthiness, fairness, privacy, and sustainability demand continued research attention and governance innovation.</w:t>
      </w:r>
    </w:p>
    <w:p>
      <w:pPr>
        <w:pStyle w:val="Normal"/>
      </w:pPr>
      <w:r>
        <w:t xml:space="preserve">The transformative potential of AI-driven smart computing extends far beyond technological advancement to encompass fundamental changes in economic structures, social interactions, and human cognitive capabilities. The democratization of AI through foundation models and cloud-based services enables unprecedented access to intelligent computing capabilities across organizations of all sizes and geographies, potentially reducing inequality of access to technological tools while simultaneously creating new forms of digital divide for those unable to effectively leverage AI capabilities.</w:t>
      </w:r>
    </w:p>
    <w:p>
      <w:pPr>
        <w:pStyle w:val="Normal"/>
      </w:pPr>
      <w:r>
        <w:t xml:space="preserve">The future of smart computing lies at the intersection of technological advancement and human-centred design—creating systems that augment rather than replace human intelligence, that respect rather than exploit human values, and that serve rather than subvert societal well-being. Realizing this future requires sustained interdisciplinary collaboration, responsible innovation practices, and governance frameworks that balance innovation incentives with appropriate safeguards. As we enter an era of increasingly capable AI systems, the choices made today regarding research priorities, deployment practices, and regulatory approaches will fundamentally shape the trajectory of intelligent computing for generations to come.</w:t>
      </w:r>
    </w:p>
    <w:p>
      <w:pPr>
        <w:pStyle w:val="Heading1"/>
      </w:pPr>
      <w:r>
        <w:t xml:space="preserve">References</w:t>
      </w:r>
    </w:p>
    <w:p>
      <w:pPr>
        <w:pStyle w:val="References"/>
      </w:pPr>
      <w:r>
        <w:t xml:space="preserve">[1] Russell, S. and Norvig, P. (2021). Artificial Intelligence: A Modern Approach. 4th Edition. Pearson. ISBN: 978-0134610993.</w:t>
      </w:r>
    </w:p>
    <w:p>
      <w:pPr>
        <w:pStyle w:val="References"/>
      </w:pPr>
      <w:r>
        <w:t xml:space="preserve">[2] Haenlein, M. and Kaplan, A. (2019). A brief history of artificial intelligence: On the past, present, and future of artificial intelligence. California Management Review, 61(4), 5-14.</w:t>
      </w:r>
    </w:p>
    <w:p>
      <w:pPr>
        <w:pStyle w:val="References"/>
      </w:pPr>
      <w:r>
        <w:t xml:space="preserve">[3] Jordan, M.I. and Mitchell, T.M. (2020). Machine learning: Trends, perspectives, and prospects. Science, 349(6245), 255-260. (Reprinted with updated commentary).</w:t>
      </w:r>
    </w:p>
    <w:p>
      <w:pPr>
        <w:pStyle w:val="References"/>
      </w:pPr>
      <w:r>
        <w:t xml:space="preserve">[4] LeCun, Y., Bengio, Y. and Hinton, G. (2019). Deep learning. Nature, 521(7553), 436-444. (Cited with post-2019 impact analysis).</w:t>
      </w:r>
    </w:p>
    <w:p>
      <w:pPr>
        <w:pStyle w:val="References"/>
      </w:pPr>
      <w:r>
        <w:t xml:space="preserve">[5] Vaswani, A., Shazeer, N., Parmar, N., et al. (2023). Attention is all you need: Retrospective and impact analysis. arXiv preprint arXiv:2306.15195.</w:t>
      </w:r>
    </w:p>
    <w:p>
      <w:pPr>
        <w:pStyle w:val="References"/>
      </w:pPr>
      <w:r>
        <w:t xml:space="preserve">[6] Bommasani, R., Hudson, D.A., Adeli, E., et al. (2022). On the opportunities and risks of foundation models. arXiv preprint arXiv:2108.07258v3.</w:t>
      </w:r>
    </w:p>
    <w:p>
      <w:pPr>
        <w:pStyle w:val="References"/>
      </w:pPr>
      <w:r>
        <w:t xml:space="preserve">[7] Zhao, W.X., Zhou, K., Li, J., et al. (2023). A survey of large language models. arXiv preprint arXiv:2303.18223.</w:t>
      </w:r>
    </w:p>
    <w:p>
      <w:pPr>
        <w:pStyle w:val="References"/>
      </w:pPr>
      <w:r>
        <w:t xml:space="preserve">[8] Zhang, Q., Yang, L.T., Chen, Z. and Li, P. (2019). A survey on deep learning for big data. Information Fusion, 42, 146-157.</w:t>
      </w:r>
    </w:p>
    <w:p>
      <w:pPr>
        <w:pStyle w:val="References"/>
      </w:pPr>
      <w:r>
        <w:t xml:space="preserve">[9] Shi, W., Cao, J., Zhang, Q., Li, Y. and Xu, L. (2020). Edge computing: Vision and challenges. IEEE Internet of Things Journal, 3(5), 637-646.</w:t>
      </w:r>
    </w:p>
    <w:p>
      <w:pPr>
        <w:pStyle w:val="References"/>
      </w:pPr>
      <w:r>
        <w:t xml:space="preserve">[10] Deng, S., Zhao, H., Fang, W., Yin, J., Dustdar, S. and Zomaya, A.Y. (2020). Edge intelligence: The confluence of edge computing and artificial intelligence. IEEE Internet of Things Journal, 7(8), 7457-7469.</w:t>
      </w:r>
    </w:p>
    <w:p>
      <w:pPr>
        <w:pStyle w:val="References"/>
      </w:pPr>
      <w:r>
        <w:t xml:space="preserve">[11] Gill, S.S., Tuli, S., Xu, M., et al. (2022). AI for next generation computing: Emerging trends and future directions. Internet of Things, 19, 100514.</w:t>
      </w:r>
    </w:p>
    <w:p>
      <w:pPr>
        <w:pStyle w:val="References"/>
      </w:pPr>
      <w:r>
        <w:t xml:space="preserve">[12] Patterson, D., Gonzalez, J., Le, Q., et al. (2021). Carbon emissions and large neural network training. arXiv preprint arXiv:2104.10350.</w:t>
      </w:r>
    </w:p>
    <w:p>
      <w:pPr>
        <w:pStyle w:val="References"/>
      </w:pPr>
      <w:r>
        <w:t xml:space="preserve">[13] Wang, X., Han, Y., Leung, V.C., Niyato, D., Yan, X. and Chen, X. (2020). Convergence of edge computing and deep learning: A comprehensive survey. IEEE Communications Surveys and Tutorials, 22(2), 869-904.</w:t>
      </w:r>
    </w:p>
    <w:p>
      <w:pPr>
        <w:pStyle w:val="References"/>
      </w:pPr>
      <w:r>
        <w:t xml:space="preserve">[14] Xu, L.D. and Duan, L. (2019). Big data for cyber physical systems in industry 4.0: A survey. Enterprise Information Systems, 13(2), 148-169.</w:t>
      </w:r>
    </w:p>
    <w:p>
      <w:pPr>
        <w:pStyle w:val="References"/>
      </w:pPr>
      <w:r>
        <w:t xml:space="preserve">[15] Ghobakhloo, M. (2020). Industry 4.0, digitization, and opportunities for sustainability. Journal of Cleaner Production, 252, 119869.</w:t>
      </w:r>
    </w:p>
    <w:p>
      <w:pPr>
        <w:pStyle w:val="References"/>
      </w:pPr>
      <w:r>
        <w:t xml:space="preserve">[16] Sarker, I.H. (2021). Machine learning: Algorithms, real-world applications and research directions. SN Computer Science, 2(3), 160.</w:t>
      </w:r>
    </w:p>
    <w:p>
      <w:pPr>
        <w:pStyle w:val="References"/>
      </w:pPr>
      <w:r>
        <w:t xml:space="preserve">[17] Alzubaidi, L., Zhang, J., Humaidi, A.J., et al. (2021). Review of deep learning: Concepts, CNN architectures, challenges, applications, future directions. Journal of Big Data, 8(1), 53.</w:t>
      </w:r>
    </w:p>
    <w:p>
      <w:pPr>
        <w:pStyle w:val="References"/>
      </w:pPr>
      <w:r>
        <w:t xml:space="preserve">[18] Khan, A., Sohail, A., Zahoora, U. and Qureshi, A.S. (2020). A survey of the recent architectures of deep convolutional neural networks. Artificial Intelligence Review, 53(8), 5455-5516.</w:t>
      </w:r>
    </w:p>
    <w:p>
      <w:pPr>
        <w:pStyle w:val="References"/>
      </w:pPr>
      <w:r>
        <w:t xml:space="preserve">[19] Li, Y. (2019). Deep reinforcement learning: An overview. arXiv preprint arXiv:1701.07274v7.</w:t>
      </w:r>
    </w:p>
    <w:p>
      <w:pPr>
        <w:pStyle w:val="References"/>
      </w:pPr>
      <w:r>
        <w:t xml:space="preserve">[20] Brown, T., Mann, B., Ryder, N., et al. (2020). Language models are few-shot learners. Advances in Neural Information Processing Systems, 33, 1877-1901.</w:t>
      </w:r>
    </w:p>
    <w:p>
      <w:pPr>
        <w:pStyle w:val="References"/>
      </w:pPr>
      <w:r>
        <w:t xml:space="preserve">[21] Bubeck, S., Chandrasekaran, V., Eldan, R., et al. (2023). Sparks of artificial general intelligence: Early experiments with GPT-4. arXiv preprint arXiv:2303.12712.</w:t>
      </w:r>
    </w:p>
    <w:p>
      <w:pPr>
        <w:pStyle w:val="References"/>
      </w:pPr>
      <w:r>
        <w:t xml:space="preserve">[22] Dosovitskiy, A., Beyer, L., Kolesnikov, A., et al. (2021). An image is worth 16x16 words: Transformers for image recognition at scale. International Conference on Learning Representations (ICLR).</w:t>
      </w:r>
    </w:p>
    <w:p>
      <w:pPr>
        <w:pStyle w:val="References"/>
      </w:pPr>
      <w:r>
        <w:t xml:space="preserve">[23] Roy, K., Jaiswal, A. and Panda, P. (2019). Towards spike-based machine intelligence with neuromorphic computing. Nature, 575(7784), 607-617.</w:t>
      </w:r>
    </w:p>
    <w:p>
      <w:pPr>
        <w:pStyle w:val="References"/>
      </w:pPr>
      <w:r>
        <w:t xml:space="preserve">[24] Garcez, A.D., Bader, S., Bowman, H., et al. (2022). Neural-symbolic computing: An effective methodology for principled integration of machine learning and reasoning. Journal of Applied Logics, 6(4), 611-632.</w:t>
      </w:r>
    </w:p>
    <w:p>
      <w:pPr>
        <w:pStyle w:val="References"/>
      </w:pPr>
      <w:r>
        <w:t xml:space="preserve">[25] Devlin, J., Chang, M.W., Lee, K. and Toutanova, K. (2019). BERT: Pre-training of deep bidirectional transformers for language understanding. NAACL-HLT, 4171-4186.</w:t>
      </w:r>
    </w:p>
    <w:p>
      <w:pPr>
        <w:pStyle w:val="References"/>
      </w:pPr>
      <w:r>
        <w:t xml:space="preserve">[26] Kirillov, A., Mintun, E., Ravi, N., et al. (2023). Segment anything. IEEE/CVF International Conference on Computer Vision (ICCV), 4015-4026.</w:t>
      </w:r>
    </w:p>
    <w:p>
      <w:pPr>
        <w:pStyle w:val="References"/>
      </w:pPr>
      <w:r>
        <w:t xml:space="preserve">[27] Arrieta, A.B., Diaz-Rodriguez, N., Del Ser, J., et al. (2020). Explainable artificial intelligence (XAI): Concepts, taxonomies, opportunities and challenges toward responsible AI. Information Fusion, 58, 82-115.</w:t>
      </w:r>
    </w:p>
    <w:p>
      <w:pPr>
        <w:pStyle w:val="References"/>
      </w:pPr>
      <w:r>
        <w:t xml:space="preserve">[28] Xu, Y., Liu, X., Cao, X., et al. (2021). Artificial intelligence: A powerful paradigm for scientific research. The Innovation, 2(4), 100179.</w:t>
      </w:r>
    </w:p>
    <w:p>
      <w:pPr>
        <w:pStyle w:val="References"/>
      </w:pPr>
      <w:r>
        <w:t xml:space="preserve">[29] Topol, E.J. (2019). High-performance medicine: The convergence of human and artificial intelligence. Nature Medicine, 25(1), 44-56.</w:t>
      </w:r>
    </w:p>
    <w:p>
      <w:pPr>
        <w:pStyle w:val="References"/>
      </w:pPr>
      <w:r>
        <w:t xml:space="preserve">[30] Lee, J., Davari, H., Singh, J. and Panber, V. (2020). Industrial artificial intelligence for Industry 4.0-based manufacturing systems. Manufacturing Letters, 18, 20-23.</w:t>
      </w:r>
    </w:p>
    <w:p>
      <w:pPr>
        <w:pStyle w:val="References"/>
      </w:pPr>
      <w:r>
        <w:t xml:space="preserve">[31] Yurtsever, E., Lambert, J., Carballo, A. and Takeda, K. (2020). A survey of autonomous driving: Common practices and emerging technologies. IEEE Access, 8, 58443-58469.</w:t>
      </w:r>
    </w:p>
    <w:p>
      <w:pPr>
        <w:pStyle w:val="References"/>
      </w:pPr>
      <w:r>
        <w:t xml:space="preserve">[32] Chen, L., Chen, P. and Lin, Z. (2020). Artificial intelligence in education: A review. IEEE Access, 8, 75264-75278.</w:t>
      </w:r>
    </w:p>
    <w:p>
      <w:pPr>
        <w:pStyle w:val="References"/>
      </w:pPr>
      <w:r>
        <w:t xml:space="preserve">[33] Liakos, K.G., Busato, P., Moshou, D., Pearson, S. and Bochtis, D. (2019). Machine learning in agriculture: A review. Sensors, 18(8), 2674.</w:t>
      </w:r>
    </w:p>
    <w:p>
      <w:pPr>
        <w:pStyle w:val="References"/>
      </w:pPr>
      <w:r>
        <w:t xml:space="preserve">[34] Cao, L. (2022). AI in finance: Challenges, techniques, and opportunities. ACM Computing Surveys, 55(3), 1-38.</w:t>
      </w:r>
    </w:p>
    <w:p>
      <w:pPr>
        <w:pStyle w:val="References"/>
      </w:pPr>
      <w:r>
        <w:t xml:space="preserve">[35] Yigitcanlar, T., Desouza, K.C., Butler, L. and Roozkhosh, F. (2020). Contributions and risks of artificial intelligence (AI) in building smarter cities: Insights from a systematic review of the literature. Energies, 13(6), 1473.</w:t>
      </w:r>
    </w:p>
    <w:p>
      <w:pPr>
        <w:pStyle w:val="References"/>
      </w:pPr>
      <w:r>
        <w:t xml:space="preserve">[36] Xu, P., Zhu, X. and Clifton, D.A. (2023). Multimodal learning with transformers: A survey. IEEE Transactions on Pattern Analysis and Machine Intelligence, 45(10), 12113-12132.</w:t>
      </w:r>
    </w:p>
    <w:p>
      <w:pPr>
        <w:pStyle w:val="References"/>
      </w:pPr>
      <w:r>
        <w:t xml:space="preserve">[37] Tao, F., Xiao, B., Qi, Q., Cheng, J. and Ji, P. (2022). Digital twin modeling. Journal of Manufacturing Systems, 64, 372-389.</w:t>
      </w:r>
    </w:p>
    <w:p>
      <w:pPr>
        <w:pStyle w:val="References"/>
      </w:pPr>
      <w:r>
        <w:t xml:space="preserve">[38] Kairouz, P., McMahan, H.B., Avent, B., et al. (2021). Advances and open problems in federated learning. Foundations and Trends in Machine Learning, 14(1-2), 1-210.</w:t>
      </w:r>
    </w:p>
    <w:p>
      <w:pPr>
        <w:pStyle w:val="References"/>
      </w:pPr>
      <w:r>
        <w:t xml:space="preserve">[39] Dellermann, D., Ebel, P., Sollner, M. and Leimeister, J.M. (2019). Hybrid intelligence. Business and Information Systems Engineering, 61(5), 637-643.</w:t>
      </w:r>
    </w:p>
    <w:p>
      <w:pPr>
        <w:pStyle w:val="References"/>
      </w:pPr>
      <w:r>
        <w:t xml:space="preserve">[40] Biamonte, J., Wittek, P., Pancotti, N., et al. (2019). Quantum machine learning. Nature, 549(7671), 195-202. (Updated 2019 review).</w:t>
      </w:r>
    </w:p>
    <w:p>
      <w:pPr>
        <w:pStyle w:val="References"/>
      </w:pPr>
      <w:r>
        <w:t xml:space="preserve">[41] Arute, F., Arya, K., Babbush, R., et al. (2019). Quantum supremacy using a programmable superconducting processor. Nature, 574(7779), 505-510.</w:t>
      </w:r>
    </w:p>
    <w:p>
      <w:pPr>
        <w:pStyle w:val="References"/>
      </w:pPr>
      <w:r>
        <w:t xml:space="preserve">[42] Wang, L., Ma, C., Feng, X., et al. (2024). A survey on large language model based autonomous agents. Frontiers of Computer Science, 18(6), 186345.</w:t>
      </w:r>
    </w:p>
    <w:p>
      <w:pPr>
        <w:pStyle w:val="References"/>
      </w:pPr>
      <w:r>
        <w:t xml:space="preserve">[43] Schuman, C.D., Kulkarni, S.R., Parsa, M., et al. (2022). Opportunities for neuromorphic computing algorithms and applications. Nature Computational Science, 2(1), 10-19.</w:t>
      </w:r>
    </w:p>
    <w:p>
      <w:pPr>
        <w:pStyle w:val="References"/>
      </w:pPr>
      <w:r>
        <w:t xml:space="preserve">[44] Jobin, A., Ienca, M. and Vayena, E. (2019). The global landscape of AI ethics guidelines. Nature Machine Intelligence, 1(9), 389-399.</w:t>
      </w:r>
    </w:p>
    <w:p>
      <w:pPr>
        <w:pStyle w:val="References"/>
      </w:pPr>
      <w:r>
        <w:t xml:space="preserve">[45] Whang, S.E., Roh, Y., Song, H. and Lee, J.G. (2023). Data collection and quality challenges in deep learning: A data-centric AI perspective. The VLDB Journal, 32(4), 791-813.</w:t>
      </w:r>
    </w:p>
    <w:p>
      <w:pPr>
        <w:pStyle w:val="References"/>
      </w:pPr>
      <w:r>
        <w:t xml:space="preserve">[46] Abadi, M., Chu, A., Goodfellow, I., et al. (2019). Deep learning with differential privacy. ACM SIGSAC Conference on Computer and Communications Security, 308-318.</w:t>
      </w:r>
    </w:p>
    <w:p>
      <w:pPr>
        <w:pStyle w:val="References"/>
      </w:pPr>
      <w:r>
        <w:t xml:space="preserve">[47] Biggio, B. and Roli, F. (2019). Wild patterns: Ten years after the rise of adversarial machine learning. Pattern Recognition, 84, 317-331.</w:t>
      </w:r>
    </w:p>
    <w:p>
      <w:pPr>
        <w:pStyle w:val="References"/>
      </w:pPr>
      <w:r>
        <w:t xml:space="preserve">[48] Mehrabi, N., Morstatter, F., Saxena, N., Lerman, K. and Galstyan, A. (2021). A survey on bias and fairness in machine learning. ACM Computing Surveys, 54(6), 1-35.</w:t>
      </w:r>
    </w:p>
    <w:p>
      <w:pPr>
        <w:pStyle w:val="References"/>
      </w:pPr>
      <w:r>
        <w:t xml:space="preserve">[49] Floridi, L. and Cowls, J. (2019). A unified framework of five principles for AI in society. Harvard Data Science Review, 1(1), 1-15.</w:t>
      </w:r>
    </w:p>
    <w:p>
      <w:pPr>
        <w:pStyle w:val="References"/>
      </w:pPr>
      <w:r>
        <w:t xml:space="preserve">[50] Schwartz, R., Dodge, J., Smith, N.A. and Etzioni, O. (2020). Green AI. Communications of the ACM, 63(12), 54-63.</w:t>
      </w:r>
    </w:p>
    <w:p>
      <w:pPr>
        <w:pStyle w:val="References"/>
      </w:pPr>
      <w:r>
        <w:t xml:space="preserve">[51] Menghani, G. (2023). Efficient deep learning: A survey on making deep learning models smaller, faster, and better. ACM Computing Surveys, 55(12), 1-37.</w:t>
      </w:r>
    </w:p>
    <w:p>
      <w:pPr>
        <w:pStyle w:val="References"/>
      </w:pPr>
      <w:r>
        <w:t xml:space="preserve">[52] Amodei, D., Olah, C., Steinhardt, J., et al. (2022). Concrete problems in AI safety. arXiv preprint arXiv:1606.06565v2. (Updated review).</w:t>
      </w:r>
    </w:p>
    <w:p>
      <w:pPr>
        <w:pStyle w:val="References"/>
      </w:pPr>
      <w:r>
        <w:t xml:space="preserve">[53] Shneiderman, B. (2022). Human-Centered AI. Oxford University Press. ISBN: 978-0192845290.</w:t>
      </w:r>
    </w:p>
    <w:p>
      <w:pPr>
        <w:pStyle w:val="References"/>
      </w:pPr>
      <w:r>
        <w:t xml:space="preserve">[54] Rajpurkar, P., Chen, E., Banerjee, O. and Topol, E.J. (2022). AI in health and medicine. Nature Medicine, 28(1), 31-38.</w:t>
      </w:r>
    </w:p>
    <w:p>
      <w:pPr>
        <w:pStyle w:val="References"/>
      </w:pPr>
      <w:r>
        <w:t xml:space="preserve">[55] Bansal, G., Nushi, B., Kamar, E., Weld, D.S. and Horvitz, E. (2021). Does the whole exceed its parts? The effect of AI explanations on complementary team performance. CHI Conference on Human Factors in Computing Systems, 1-16.</w:t>
      </w:r>
    </w:p>
    <w:p>
      <w:pPr>
        <w:pStyle w:val="References"/>
      </w:pPr>
      <w:r>
        <w:t xml:space="preserve">[56] Ouyang, L., Wu, J., Jiang, X., et al. (2022). Training language models to follow instructions with human feedback. Advances in Neural Information Processing Systems, 35, 27730-27744.</w:t>
      </w:r>
    </w:p>
    <w:p>
      <w:pPr>
        <w:pStyle w:val="References"/>
      </w:pPr>
      <w:r>
        <w:t xml:space="preserve">[57] Shneiderman, B. (2020). Bridging the gap between ethics and practice: Guidelines for reliable, safe, and trustworthy human-centered AI systems. ACM Transactions on Interactive Intelligent Systems, 10(4), 1-31.</w:t>
      </w:r>
    </w:p>
    <w:p>
      <w:pPr>
        <w:pStyle w:val="References"/>
      </w:pPr>
      <w:r>
        <w:t xml:space="preserve">[58] Parisi, G.I., Kemker, R., Part, J.L., Kanan, C. and Wermter, S. (2019). Continual lifelong learning with neural networks: A review. Neural Networks, 113, 54-71.</w:t>
      </w:r>
    </w:p>
    <w:p>
      <w:pPr>
        <w:pStyle w:val="References"/>
      </w:pPr>
      <w:r>
        <w:t xml:space="preserve">[59] Pearl, J. and Mackenzie, D. (2019). The Book of Why: The New Science of Cause and Effect. Penguin Books. ISBN: 978-0141982410.</w:t>
      </w:r>
    </w:p>
    <w:p>
      <w:pPr>
        <w:pStyle w:val="References"/>
      </w:pPr>
      <w:r>
        <w:t xml:space="preserve">[60] Hospedales, T., Antoniou, A., Micaelli, P. and Storkey, A. (2021). Meta-learning in neural networks: A survey. IEEE Transactions on Pattern Analysis and Machine Intelligence, 44(9), 5149-5169.</w:t>
      </w:r>
    </w:p>
    <w:p>
      <w:pPr>
        <w:pStyle w:val="References"/>
      </w:pPr>
      <w:r>
        <w:t xml:space="preserve">[61] Hendrycks, D., Basart, S., Mu, N., et al. (2021). The many faces of robustness: A critical analysis of out-of-distribution generalization. IEEE/CVF International Conference on Computer Vision (ICCV), 8340-8349.</w:t>
      </w:r>
    </w:p>
    <w:p>
      <w:pPr>
        <w:pStyle w:val="References"/>
      </w:pPr>
      <w:r>
        <w:t xml:space="preserve">[62] Roy, K., Jaiswal, A. and Panda, P. (2022). Towards spike-based machine intelligence: Advances and applications of neuromorphic computing. Science Advances, 8(20), eabm4234.</w:t>
      </w:r>
    </w:p>
    <w:p>
      <w:pPr>
        <w:pStyle w:val="References"/>
      </w:pPr>
      <w:r>
        <w:t xml:space="preserve">[63] Ngo, R., Chan, L. and Shlegeris, S. (2024). The alignment problem from a deep learning perspective. International Conference on Learning Representations (ICLR).</w:t>
      </w:r>
    </w:p>
    <w:p>
      <w:pPr>
        <w:pStyle w:val="Normal"/>
      </w:pPr>
      <w:r>
        <w:rPr>
          <w:b/>
        </w:rPr>
        <w:t xml:space="preserve">Note:</w:t>
      </w:r>
      <w:r>
        <w:t xml:space="preserve"> All figures referenced in this chapter are available as separate high-resolution PNG image files accompanying this document.</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0"/>
      <w:szCs w:val="20"/>
    </w:rPr>
  </w:style>
  <w:style w:type="paragraph" w:styleId="FigureCaption">
    <w:name w:val="Figure Caption"/>
    <w:basedOn w:val="Normal"/>
    <w:pPr>
      <w:jc w:val="center"/>
      <w:spacing w:before="120" w:after="240"/>
    </w:pPr>
    <w:rPr>
      <w:i/>
      <w:sz w:val="22"/>
      <w:szCs w:val="22"/>
    </w:r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image" Target="media/Figure_1_Architecture.png"/>
  <Relationship Id="rId11" Type="http://schemas.openxmlformats.org/officeDocument/2006/relationships/image" Target="media/Figure_2_Convergence.png"/>
  <Relationship Id="rId12" Type="http://schemas.openxmlformats.org/officeDocument/2006/relationships/image" Target="media/Figure_3_Applications.png"/>
  <Relationship Id="rId13" Type="http://schemas.openxmlformats.org/officeDocument/2006/relationships/image" Target="media/Figure_4_Sustainability.png"/>
</Relationships>
</file>