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Chapter 19. Ethics, Regulation, and Clinical Translation of AI</w:t>
      </w:r>
    </w:p>
    <w:p>
      <w:pPr>
        <w:pStyle w:val="Heading1"/>
      </w:pPr>
      <w:r>
        <w:t xml:space="preserve">Abstract</w:t>
      </w:r>
    </w:p>
    <w:p>
      <w:pPr>
        <w:pStyle w:val="Abstract"/>
      </w:pPr>
      <w:r>
        <w:t xml:space="preserve">Artificial intelligence (AI) has moved from the laboratory to the clinic, promising earlier diagnoses, more precise therapeutics, and more efficient health systems. Yet the same statistical machinery that enables these gains introduces a distinctive set of ethical, regulatory, and translational challenges that do not arise with conventional medical technologies. Algorithms learn from historical data that encode inequitable patterns of care; their internal reasoning is frequently opaque; they consume unprecedented volumes of sensitive personal information; and they can fail silently when deployed in populations or settings that differ from those on which they were trained. This chapter offers an integrated account of how these challenges arise and how they can be managed across the full arc of clinical translation. The first section examines four intertwined problems—algorithmic bias, explainability, privacy, and patient safety—arguing that they are not independent risks but facets of a single question about whether an AI system deserves the trust placed in it. The second section surveys the evolving regulatory and ethical frameworks that govern AI-based therapeutics and diagnostics, comparing risk-based device regulation, principles for adaptive and continuously learning systems, and the ethical commitments articulated by international bodies and professional societies. The third section turns to the practical work of clinical validation, implementation, and human oversight, describing the study designs, monitoring practices, and sociotechnical arrangements that determine whether an algorithm improves outcomes at the bedside or merely performs well on a benchmark. Throughout, the chapter emphasizes that responsible AI in medicine is achieved not through a single technical fix but through a lifecycle discipline that binds developers, clinicians, regulators, and patients into a shared system of accountability. We conclude that the central task is to align statistical performance with clinical benefit, procedural fairness, and human dignity, so that the promise of medical AI is realized without eroding the values on which medicine depends.</w:t>
      </w:r>
    </w:p>
    <w:p>
      <w:pPr>
        <w:pStyle w:val="Heading1"/>
      </w:pPr>
      <w:r>
        <w:t xml:space="preserve">19.1 Bias, Explainability, Privacy, and Patient Safety</w:t>
      </w:r>
    </w:p>
    <w:p>
      <w:pPr>
        <w:pStyle w:val="Heading2"/>
      </w:pPr>
      <w:r>
        <w:t xml:space="preserve">The Anatomy of Algorithmic Bias in Medicine</w:t>
      </w:r>
    </w:p>
    <w:p>
      <w:pPr>
        <w:pStyle w:val="Normal"/>
      </w:pPr>
      <w:r>
        <w:t xml:space="preserve">The defining feature of modern medical AI is that it learns its behavior from data rather than from explicit rules. This is the source of its power and also of its most insidious failure mode. When a model is trained on records that reflect decades of unequal access to care, differential diagnosis rates, and the under-representation of particular groups, it does not merely reproduce those patterns—it can amplify and entrench them under a veneer of mathematical objectivity [1]. The appearance of neutrality is precisely what makes algorithmic bias dangerous: a number produced by a computer carries an authority that a human clinician's hunch does not, and the quantitative form of an AI recommendation can discourage the scrutiny that a more obviously subjective judgment would invite. Bias in this sense is not primarily a moral failing of individual developers; it is a structural property of learning systems that optimize for aggregate performance on the data they are given, and it will arise by default unless deliberate steps are taken to prevent it [2]. A now-canonical example involved a widely deployed algorithm used to identify patients for high-risk care-management programs, which used historical health-care spending as a proxy for medical need. Because less money had historically been spent on Black patients at equivalent levels of illness, the algorithm systematically underestimated their need, so that at any given risk score Black patients were considerably sicker than white patients [2]. The mathematics were flawless; the choice of a spending proxy for the unobserved quantity of interest was not. Correcting the label to reflect active chronic conditions rather than cost dramatically reduced the disparity, demonstrating that seemingly technical modeling decisions carry profound ethical weight.</w:t>
      </w:r>
    </w:p>
    <w:p>
      <w:pPr>
        <w:pStyle w:val="Normal"/>
      </w:pPr>
      <w:r>
        <w:t xml:space="preserve">Bias enters the machine-learning pipeline at multiple points, and it is useful to distinguish them because each demands a different remedy. Historical bias arises when the world that generated the data is itself unjust, so that even a perfectly measured and perfectly representative dataset encodes inequity that the model will faithfully learn [3]. Representation bias arises when certain populations are sampled too sparsely, as when dermatology models trained overwhelmingly on lighter skin tones perform poorly on darker skin because the model simply has not seen enough examples to learn the relevant patterns [3]. Measurement bias arises when the features or labels are systematically distorted for some groups, as with pulse oximeters that overestimate arterial oxygen saturation in patients with darker skin, feeding erroneous inputs to any downstream model that relies on those readings [4]. Aggregation bias arises when a single model is applied to heterogeneous subpopulations whose underlying relationships between features and outcomes genuinely differ, so that a model optimized for the majority performs poorly for minorities even when they are well represented in the data. Finally, deployment bias arises when a tool validated for one purpose is repurposed for another in ways its performance never supported, such as when a model trained to describe a population is used to allocate scarce resources among individuals [4]. Table 1 summarizes these sources and their corresponding mitigation strategies, and provides a practical vocabulary that recurs throughout this chapter.</w:t>
      </w:r>
    </w:p>
    <w:p>
      <w:pPr>
        <w:pStyle w:val="TableCaption"/>
      </w:pPr>
      <w:r>
        <w:t xml:space="preserve">Table 1. Sources of bias across the medical AI lifecycle and corresponding mitigation strategies</w:t>
      </w:r>
    </w:p>
    <w:tbl>
      <w:tblPr>
        <w:tblStyle w:val="TableGrid"/>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c>
          <w:tcPr>
            <w:shd w:val="clear" w:color="auto" w:fill="D9E2F3"/>
          </w:tcPr>
          <w:p>
            <w:pPr>
              <w:jc w:val="center"/>
              <w:spacing w:after="20"/>
            </w:pPr>
            <w:r>
              <w:rPr>
                <w:b/>
              </w:rPr>
              <w:t xml:space="preserve">Bias Source</w:t>
            </w:r>
          </w:p>
        </w:tc>
        <w:tc>
          <w:tcPr>
            <w:shd w:val="clear" w:color="auto" w:fill="D9E2F3"/>
          </w:tcPr>
          <w:p>
            <w:pPr>
              <w:jc w:val="center"/>
              <w:spacing w:after="20"/>
            </w:pPr>
            <w:r>
              <w:rPr>
                <w:b/>
              </w:rPr>
              <w:t xml:space="preserve">Where It Arises</w:t>
            </w:r>
          </w:p>
        </w:tc>
        <w:tc>
          <w:tcPr>
            <w:shd w:val="clear" w:color="auto" w:fill="D9E2F3"/>
          </w:tcPr>
          <w:p>
            <w:pPr>
              <w:jc w:val="center"/>
              <w:spacing w:after="20"/>
            </w:pPr>
            <w:r>
              <w:rPr>
                <w:b/>
              </w:rPr>
              <w:t xml:space="preserve">Clinical Example</w:t>
            </w:r>
          </w:p>
        </w:tc>
        <w:tc>
          <w:tcPr>
            <w:shd w:val="clear" w:color="auto" w:fill="D9E2F3"/>
          </w:tcPr>
          <w:p>
            <w:pPr>
              <w:jc w:val="center"/>
              <w:spacing w:after="20"/>
            </w:pPr>
            <w:r>
              <w:rPr>
                <w:b/>
              </w:rPr>
              <w:t xml:space="preserve">Mitigation Strategy</w:t>
            </w:r>
          </w:p>
        </w:tc>
      </w:tr>
      <w:tr>
        <w:tc>
          <w:p>
            <w:pPr>
              <w:spacing w:after="20"/>
            </w:pPr>
            <w:r>
              <w:t xml:space="preserve">Historical bias</w:t>
            </w:r>
          </w:p>
        </w:tc>
        <w:tc>
          <w:p>
            <w:pPr>
              <w:spacing w:after="20"/>
            </w:pPr>
            <w:r>
              <w:t xml:space="preserve">The world generating the data is itself inequitable</w:t>
            </w:r>
          </w:p>
        </w:tc>
        <w:tc>
          <w:p>
            <w:pPr>
              <w:spacing w:after="20"/>
            </w:pPr>
            <w:r>
              <w:t xml:space="preserve">Cost proxy underestimates need in under-served groups</w:t>
            </w:r>
          </w:p>
        </w:tc>
        <w:tc>
          <w:p>
            <w:pPr>
              <w:spacing w:after="20"/>
            </w:pPr>
            <w:r>
              <w:t xml:space="preserve">Choose outcome labels that reflect true clinical need</w:t>
            </w:r>
          </w:p>
        </w:tc>
      </w:tr>
      <w:tr>
        <w:tc>
          <w:p>
            <w:pPr>
              <w:spacing w:after="20"/>
            </w:pPr>
            <w:r>
              <w:t xml:space="preserve">Representation bias</w:t>
            </w:r>
          </w:p>
        </w:tc>
        <w:tc>
          <w:p>
            <w:pPr>
              <w:spacing w:after="20"/>
            </w:pPr>
            <w:r>
              <w:t xml:space="preserve">Under-sampling of specific populations</w:t>
            </w:r>
          </w:p>
        </w:tc>
        <w:tc>
          <w:p>
            <w:pPr>
              <w:spacing w:after="20"/>
            </w:pPr>
            <w:r>
              <w:t xml:space="preserve">Dermatology models trained mostly on lighter skin</w:t>
            </w:r>
          </w:p>
        </w:tc>
        <w:tc>
          <w:p>
            <w:pPr>
              <w:spacing w:after="20"/>
            </w:pPr>
            <w:r>
              <w:t xml:space="preserve">Targeted data collection, augmentation, reweighting</w:t>
            </w:r>
          </w:p>
        </w:tc>
      </w:tr>
      <w:tr>
        <w:tc>
          <w:p>
            <w:pPr>
              <w:spacing w:after="20"/>
            </w:pPr>
            <w:r>
              <w:t xml:space="preserve">Measurement bias</w:t>
            </w:r>
          </w:p>
        </w:tc>
        <w:tc>
          <w:p>
            <w:pPr>
              <w:spacing w:after="20"/>
            </w:pPr>
            <w:r>
              <w:t xml:space="preserve">Features or labels distorted for some groups</w:t>
            </w:r>
          </w:p>
        </w:tc>
        <w:tc>
          <w:p>
            <w:pPr>
              <w:spacing w:after="20"/>
            </w:pPr>
            <w:r>
              <w:t xml:space="preserve">Pulse oximeter error in darker-skinned patients</w:t>
            </w:r>
          </w:p>
        </w:tc>
        <w:tc>
          <w:p>
            <w:pPr>
              <w:spacing w:after="20"/>
            </w:pPr>
            <w:r>
              <w:t xml:space="preserve">Correct instruments; audit label quality by subgroup</w:t>
            </w:r>
          </w:p>
        </w:tc>
      </w:tr>
      <w:tr>
        <w:tc>
          <w:p>
            <w:pPr>
              <w:spacing w:after="20"/>
            </w:pPr>
            <w:r>
              <w:t xml:space="preserve">Aggregation bias</w:t>
            </w:r>
          </w:p>
        </w:tc>
        <w:tc>
          <w:p>
            <w:pPr>
              <w:spacing w:after="20"/>
            </w:pPr>
            <w:r>
              <w:t xml:space="preserve">One model applied to heterogeneous groups</w:t>
            </w:r>
          </w:p>
        </w:tc>
        <w:tc>
          <w:p>
            <w:pPr>
              <w:spacing w:after="20"/>
            </w:pPr>
            <w:r>
              <w:t xml:space="preserve">Single risk score across distinct subpopulations</w:t>
            </w:r>
          </w:p>
        </w:tc>
        <w:tc>
          <w:p>
            <w:pPr>
              <w:spacing w:after="20"/>
            </w:pPr>
            <w:r>
              <w:t xml:space="preserve">Subgroup-specific models or calibration</w:t>
            </w:r>
          </w:p>
        </w:tc>
      </w:tr>
      <w:tr>
        <w:tc>
          <w:p>
            <w:pPr>
              <w:spacing w:after="20"/>
            </w:pPr>
            <w:r>
              <w:t xml:space="preserve">Deployment bias</w:t>
            </w:r>
          </w:p>
        </w:tc>
        <w:tc>
          <w:p>
            <w:pPr>
              <w:spacing w:after="20"/>
            </w:pPr>
            <w:r>
              <w:t xml:space="preserve">Tool used beyond its validated purpose</w:t>
            </w:r>
          </w:p>
        </w:tc>
        <w:tc>
          <w:p>
            <w:pPr>
              <w:spacing w:after="20"/>
            </w:pPr>
            <w:r>
              <w:t xml:space="preserve">Triage model repurposed for resource allocation</w:t>
            </w:r>
          </w:p>
        </w:tc>
        <w:tc>
          <w:p>
            <w:pPr>
              <w:spacing w:after="20"/>
            </w:pPr>
            <w:r>
              <w:t xml:space="preserve">Enforce intended-use limits; local revalidation</w:t>
            </w:r>
          </w:p>
        </w:tc>
      </w:tr>
    </w:tbl>
    <w:p/>
    <w:p>
      <w:pPr>
        <w:pStyle w:val="Normal"/>
      </w:pPr>
      <w:r>
        <w:t xml:space="preserve">Detecting bias requires far more than a single headline accuracy figure, which can conceal severe disparities beneath an impressive average. Fairness must be assessed across clinically meaningful subgroups defined by race, ethnicity, sex, age, socioeconomic status, and their intersections, using metrics that make explicit which notion of fairness is being pursued [5]. This is not a merely technical exercise, because the major statistical definitions of fairness are mutually incompatible in general: statistical parity, equalized odds, calibration within groups, and equal opportunity cannot all be satisfied simultaneously except in degenerate cases [6]. Developers must therefore choose, and openly justify, the fairness criterion appropriate to the clinical task rather than assuming that a single universal standard exists to be met. A screening tool intended to ensure that no group is systematically under-referred may prioritize equal sensitivity, whereas a tool that allocates a scarce and risky intervention may prioritize calibration so that a predicted risk means the same thing for every patient. Crucially, mitigation is possible at each stage of the pipeline: reweighting or augmenting training data addresses representation gaps before learning begins; constrained optimization and adversarial debiasing operate during model fitting; and threshold adjustment or group-specific calibration can be applied after training [6]. None of these techniques is a panacea, and each can trade one form of inequity for another—improving parity at the cost of calibration, for instance—which is why bias management is best understood as an ongoing governance activity rather than a one-time certification stamped at the moment of release [7].</w:t>
      </w:r>
    </w:p>
    <w:p>
      <w:pPr>
        <w:pStyle w:val="Normal"/>
      </w:pPr>
      <w:r>
        <w:t xml:space="preserve">It is worth dwelling on why the incompatibility of fairness definitions is not a technicality that clever engineering can eventually resolve but a genuine expression of competing values. Equalizing false-negative rates across groups may be the right choice for a cancer-screening tool, because a missed cancer is catastrophic and no group should bear a disproportionate share of missed diagnoses. Equalizing calibration, by contrast, may be the right choice for a risk score that guides the allocation of a scarce and hazardous therapy, because clinicians and patients need a predicted probability to carry the same meaning regardless of group membership. These two goals cannot in general be achieved at once whenever the underlying prevalence of the condition differs across groups, which in medicine it almost always does. The resolution is therefore not mathematical but deliberative: the choice of fairness criterion must be made openly, with the participation of the communities affected, and documented as a value judgment rather than smuggled in as a hidden default of whatever software library the developers happened to use. Treating fairness as a governance decision rather than a solved technical problem is one of the most important shifts of perspective that responsible development requires.</w:t>
      </w:r>
    </w:p>
    <w:p>
      <w:pPr>
        <w:pStyle w:val="Heading2"/>
      </w:pPr>
      <w:r>
        <w:t xml:space="preserve">Explainability and the Problem of Opacity</w:t>
      </w:r>
    </w:p>
    <w:p>
      <w:pPr>
        <w:pStyle w:val="Normal"/>
      </w:pPr>
      <w:r>
        <w:t xml:space="preserve">Closely related to bias is the problem of opacity. Many of the most accurate medical models—deep neural networks with millions or billions of parameters—are effectively black boxes whose predictions cannot be traced to human-legible reasoning [7]. This matters for several distinct reasons that are often conflated. Clinicians are professionally and frequently legally accountable for the decisions they make, and it is difficult to accept accountability for a recommendation one cannot interrogate or explain to a patient [8]. Patients have a legitimate interest in understanding why a machine has judged them to be at high risk, particularly when that judgment carries consequences for their treatment or insurance. Regulators and auditors need to verify that a model relies on clinically valid signals rather than spurious correlations—the notorious cases in which pneumonia-detection models keyed on the type or portability of the imaging equipment rather than on lung pathology are a standing warning that high accuracy on a test set can rest on entirely the wrong features [9]. Explainability, in short, is a precondition for trust, contestability, and error detection, and each of these purposes may call for a different kind of explanation.</w:t>
      </w:r>
    </w:p>
    <w:p>
      <w:pPr>
        <w:pStyle w:val="Normal"/>
      </w:pPr>
      <w:r>
        <w:t xml:space="preserve">The field distinguishes between models that are intrinsically interpretable and post-hoc methods that attempt to explain opaque models after the fact. Intrinsically interpretable models—linear models, decision trees, generalized additive models, and rule lists—expose their logic directly, and a substantial and growing body of evidence suggests that for many structured clinical prediction tasks they can match the accuracy of black-box alternatives while remaining fully auditable [9]. This finding challenges the widespread assumption of an unavoidable trade-off between accuracy and interpretability; for tabular clinical data with meaningful features, the trade-off is often small or absent. Post-hoc techniques, applied when a complex model genuinely outperforms simpler ones, include feature-attribution methods such as SHAP and LIME, saliency maps for imaging, counterfactual explanations that describe the smallest change that would flip a prediction, and example-based explanations that surface similar prior cases [10]. Each has real limitations that clinicians must understand: attribution methods can be unstable and are sometimes manipulable, saliency maps can appear visually plausible while bearing little relation to the model's true computation, and different methods applied to the same model can yield contradictory explanations of the same prediction [10]. Figure 1 illustrates the taxonomy of explainability approaches and maps them onto the clinical questions they are best suited to answer.</w:t>
      </w:r>
    </w:p>
    <w:p>
      <w:pPr>
        <w:pStyle w:val="FigureImage"/>
      </w:pPr>
      <w:r>
        <w:drawing>
          <wp:inline xmlns:wp="http://schemas.openxmlformats.org/drawingml/2006/wordprocessingDrawing" distT="0" distB="0" distL="0" distR="0">
            <wp:extent cx="5760000" cy="3789473"/>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xmlns:r="http://schemas.openxmlformats.org/officeDocument/2006/relationships" r:embed="rIdImg1"/>
                    <a:stretch>
                      <a:fillRect/>
                    </a:stretch>
                  </pic:blipFill>
                  <pic:spPr>
                    <a:xfrm>
                      <a:off x="0" y="0"/>
                      <a:ext cx="5760000" cy="3789473"/>
                    </a:xfrm>
                    <a:prstGeom prst="rect">
                      <a:avLst/>
                    </a:prstGeom>
                  </pic:spPr>
                </pic:pic>
              </a:graphicData>
            </a:graphic>
          </wp:inline>
        </w:drawing>
      </w:r>
    </w:p>
    <w:p>
      <w:pPr>
        <w:pStyle w:val="FigureCaption"/>
      </w:pPr>
      <w:r>
        <w:t xml:space="preserve">Figure 1. Taxonomy of explainability approaches for medical AI, distinguishing intrinsically interpretable models from post-hoc methods and mapping each to the audiences and clinical questions it serves.</w:t>
      </w:r>
    </w:p>
    <w:p>
      <w:pPr>
        <w:pStyle w:val="Normal"/>
      </w:pPr>
      <w:r>
        <w:t xml:space="preserve">A subtle but important point, easily lost in enthusiasm for explanation tools, is that explanation and trustworthiness are not the same thing. A convincing explanation can create unwarranted confidence in a prediction that is simply wrong, and there is empirical evidence that clinicians over-rely on automated advice when it is accompanied by a plausible-sounding rationale, deferring to the machine even when their own judgment should prevail [11]. Explainability should therefore be treated as one component of a broader transparency strategy that also includes rigorous validation, clear documentation of the intended use and known limitations, disclosure of training-data provenance, and honest communication of uncertainty [11]. The goal is not to render every parameter interpretable, which is neither feasible nor necessary, but to give each stakeholder the specific information they need to exercise appropriate judgment—what has been called providing the right level of explanation to the right audience for the right purpose [12]. For a regulator this may mean evidence about how the model behaves across subgroups; for a clinician it may mean an indication of confidence and the factors driving a particular recommendation; for a patient it may mean a clear account of what role the system played in their care.</w:t>
      </w:r>
    </w:p>
    <w:p>
      <w:pPr>
        <w:pStyle w:val="Heading2"/>
      </w:pPr>
      <w:r>
        <w:t xml:space="preserve">Privacy and the Governance of Health Data</w:t>
      </w:r>
    </w:p>
    <w:p>
      <w:pPr>
        <w:pStyle w:val="Normal"/>
      </w:pPr>
      <w:r>
        <w:t xml:space="preserve">Medical AI is data-hungry, and the data it consumes are among the most sensitive that exist. This creates an enduring tension between the aggregation of the large, diverse datasets needed to build robust and generalizable models and the individual's right to control information about their own body and health [13]. The tension cannot be dissolved simply by removing names from records. Traditional de-identification, in which direct identifiers are stripped away, offers considerably weaker protection than is often assumed, because high-dimensional health data can frequently be re-identified by linking apparently anonymous records to external datasets that share a few common attributes [13]. Genomic data represent the extreme case of this problem: a genome is simultaneously the most personal of identifiers, effectively impossible to truly anonymize, and information that implicates the biological relatives of the data subject, who never consented and may not even know that their kin's genome has been shared [14]. As AI systems increasingly integrate genomic, imaging, and longitudinal record data, the re-identification surface grows accordingly. Table 2 compares the principal privacy-preserving techniques available to developers, along with their protections and residual risks.</w:t>
      </w:r>
    </w:p>
    <w:p>
      <w:pPr>
        <w:pStyle w:val="TableCaption"/>
      </w:pPr>
      <w:r>
        <w:t xml:space="preserve">Table 2. Privacy-preserving techniques for medical AI: protections, costs, and residual risks</w:t>
      </w:r>
    </w:p>
    <w:tbl>
      <w:tblPr>
        <w:tblStyle w:val="TableGrid"/>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c>
          <w:tcPr>
            <w:shd w:val="clear" w:color="auto" w:fill="D9E2F3"/>
          </w:tcPr>
          <w:p>
            <w:pPr>
              <w:jc w:val="center"/>
              <w:spacing w:after="20"/>
            </w:pPr>
            <w:r>
              <w:rPr>
                <w:b/>
              </w:rPr>
              <w:t xml:space="preserve">Technique</w:t>
            </w:r>
          </w:p>
        </w:tc>
        <w:tc>
          <w:tcPr>
            <w:shd w:val="clear" w:color="auto" w:fill="D9E2F3"/>
          </w:tcPr>
          <w:p>
            <w:pPr>
              <w:jc w:val="center"/>
              <w:spacing w:after="20"/>
            </w:pPr>
            <w:r>
              <w:rPr>
                <w:b/>
              </w:rPr>
              <w:t xml:space="preserve">How It Works</w:t>
            </w:r>
          </w:p>
        </w:tc>
        <w:tc>
          <w:tcPr>
            <w:shd w:val="clear" w:color="auto" w:fill="D9E2F3"/>
          </w:tcPr>
          <w:p>
            <w:pPr>
              <w:jc w:val="center"/>
              <w:spacing w:after="20"/>
            </w:pPr>
            <w:r>
              <w:rPr>
                <w:b/>
              </w:rPr>
              <w:t xml:space="preserve">Protection Offered</w:t>
            </w:r>
          </w:p>
        </w:tc>
        <w:tc>
          <w:tcPr>
            <w:shd w:val="clear" w:color="auto" w:fill="D9E2F3"/>
          </w:tcPr>
          <w:p>
            <w:pPr>
              <w:jc w:val="center"/>
              <w:spacing w:after="20"/>
            </w:pPr>
            <w:r>
              <w:rPr>
                <w:b/>
              </w:rPr>
              <w:t xml:space="preserve">Residual Risk or Cost</w:t>
            </w:r>
          </w:p>
        </w:tc>
      </w:tr>
      <w:tr>
        <w:tc>
          <w:p>
            <w:pPr>
              <w:spacing w:after="20"/>
            </w:pPr>
            <w:r>
              <w:t xml:space="preserve">De-identification</w:t>
            </w:r>
          </w:p>
        </w:tc>
        <w:tc>
          <w:p>
            <w:pPr>
              <w:spacing w:after="20"/>
            </w:pPr>
            <w:r>
              <w:t xml:space="preserve">Remove direct identifiers from records</w:t>
            </w:r>
          </w:p>
        </w:tc>
        <w:tc>
          <w:p>
            <w:pPr>
              <w:spacing w:after="20"/>
            </w:pPr>
            <w:r>
              <w:t xml:space="preserve">Basic; widely required</w:t>
            </w:r>
          </w:p>
        </w:tc>
        <w:tc>
          <w:p>
            <w:pPr>
              <w:spacing w:after="20"/>
            </w:pPr>
            <w:r>
              <w:t xml:space="preserve">Re-identification via linkage</w:t>
            </w:r>
          </w:p>
        </w:tc>
      </w:tr>
      <w:tr>
        <w:tc>
          <w:p>
            <w:pPr>
              <w:spacing w:after="20"/>
            </w:pPr>
            <w:r>
              <w:t xml:space="preserve">Federated learning</w:t>
            </w:r>
          </w:p>
        </w:tc>
        <w:tc>
          <w:p>
            <w:pPr>
              <w:spacing w:after="20"/>
            </w:pPr>
            <w:r>
              <w:t xml:space="preserve">Train across sites; share updates not data</w:t>
            </w:r>
          </w:p>
        </w:tc>
        <w:tc>
          <w:p>
            <w:pPr>
              <w:spacing w:after="20"/>
            </w:pPr>
            <w:r>
              <w:t xml:space="preserve">Raw data never centralized</w:t>
            </w:r>
          </w:p>
        </w:tc>
        <w:tc>
          <w:p>
            <w:pPr>
              <w:spacing w:after="20"/>
            </w:pPr>
            <w:r>
              <w:t xml:space="preserve">Leakage through model updates</w:t>
            </w:r>
          </w:p>
        </w:tc>
      </w:tr>
      <w:tr>
        <w:tc>
          <w:p>
            <w:pPr>
              <w:spacing w:after="20"/>
            </w:pPr>
            <w:r>
              <w:t xml:space="preserve">Differential privacy</w:t>
            </w:r>
          </w:p>
        </w:tc>
        <w:tc>
          <w:p>
            <w:pPr>
              <w:spacing w:after="20"/>
            </w:pPr>
            <w:r>
              <w:t xml:space="preserve">Add calibrated noise to computations</w:t>
            </w:r>
          </w:p>
        </w:tc>
        <w:tc>
          <w:p>
            <w:pPr>
              <w:spacing w:after="20"/>
            </w:pPr>
            <w:r>
              <w:t xml:space="preserve">Formal individual-level guarantee</w:t>
            </w:r>
          </w:p>
        </w:tc>
        <w:tc>
          <w:p>
            <w:pPr>
              <w:spacing w:after="20"/>
            </w:pPr>
            <w:r>
              <w:t xml:space="preserve">Reduced accuracy</w:t>
            </w:r>
          </w:p>
        </w:tc>
      </w:tr>
      <w:tr>
        <w:tc>
          <w:p>
            <w:pPr>
              <w:spacing w:after="20"/>
            </w:pPr>
            <w:r>
              <w:t xml:space="preserve">Secure computation</w:t>
            </w:r>
          </w:p>
        </w:tc>
        <w:tc>
          <w:p>
            <w:pPr>
              <w:spacing w:after="20"/>
            </w:pPr>
            <w:r>
              <w:t xml:space="preserve">Compute on encrypted data</w:t>
            </w:r>
          </w:p>
        </w:tc>
        <w:tc>
          <w:p>
            <w:pPr>
              <w:spacing w:after="20"/>
            </w:pPr>
            <w:r>
              <w:t xml:space="preserve">Strong cryptographic guarantee</w:t>
            </w:r>
          </w:p>
        </w:tc>
        <w:tc>
          <w:p>
            <w:pPr>
              <w:spacing w:after="20"/>
            </w:pPr>
            <w:r>
              <w:t xml:space="preserve">High computational cost</w:t>
            </w:r>
          </w:p>
        </w:tc>
      </w:tr>
      <w:tr>
        <w:tc>
          <w:p>
            <w:pPr>
              <w:spacing w:after="20"/>
            </w:pPr>
            <w:r>
              <w:t xml:space="preserve">Synthetic data</w:t>
            </w:r>
          </w:p>
        </w:tc>
        <w:tc>
          <w:p>
            <w:pPr>
              <w:spacing w:after="20"/>
            </w:pPr>
            <w:r>
              <w:t xml:space="preserve">Generate artificial records</w:t>
            </w:r>
          </w:p>
        </w:tc>
        <w:tc>
          <w:p>
            <w:pPr>
              <w:spacing w:after="20"/>
            </w:pPr>
            <w:r>
              <w:t xml:space="preserve">No direct patient records shared</w:t>
            </w:r>
          </w:p>
        </w:tc>
        <w:tc>
          <w:p>
            <w:pPr>
              <w:spacing w:after="20"/>
            </w:pPr>
            <w:r>
              <w:t xml:space="preserve">Possible leakage if poorly generated</w:t>
            </w:r>
          </w:p>
        </w:tc>
      </w:tr>
    </w:tbl>
    <w:p/>
    <w:p>
      <w:pPr>
        <w:pStyle w:val="Normal"/>
      </w:pPr>
      <w:r>
        <w:t xml:space="preserve">Several technical approaches have matured to the point of practical use, and understanding their complementary strengths is essential for responsible development. Federated learning allows a model to be trained across multiple institutions without ever centralizing raw data, sending model updates rather than patient records to a coordinating server; this keeps sensitive data within each institution's firewall but does not by itself prevent sensitive information from leaking through the shared updates [14]. Differential privacy addresses precisely that residual leakage by adding carefully calibrated statistical noise to computations, providing a mathematical guarantee that the presence or absence of any single individual in the dataset cannot be reliably inferred, at some measurable cost to model accuracy [15]. Secure multiparty computation and homomorphic encryption enable computation to be performed directly on encrypted data, offering strong cryptographic guarantees but at substantial computational expense that has limited their use to specific high-value applications [16]. Synthetic data generation creates artificial records that aim to preserve the statistical structure of real data while nominally protecting the individuals within it, although poorly generated synthetic data can inadvertently memorize and leak real records, and generating synthetic data that is both useful and safe remains difficult [16]. These techniques are complementary rather than substitutes, and mature deployments increasingly combine them—for example, federated learning augmented with differentially private updates to close the leakage gap that federation alone leaves open [17]. As Table 2 makes clear, each of these methods carries its own residual risk or cost, so the appropriate combination depends on the sensitivity of the data and the tolerance of the clinical task for reduced accuracy or added computational burden.</w:t>
      </w:r>
    </w:p>
    <w:p>
      <w:pPr>
        <w:pStyle w:val="Normal"/>
      </w:pPr>
      <w:r>
        <w:t xml:space="preserve">Technical measures alone, however sophisticated, are insufficient to secure the ethical use of health data. Meaningful data governance additionally requires a clear and lawful basis for processing, transparent consent or an appropriate and well-justified waiver, explicit restrictions on secondary uses beyond those the patient anticipated, and genuine accountability when breaches occur [17]. The growing commercialization of health data raises particular concerns when models trained on patients' records generate substantial commercial value that patients themselves never share in and may never have knowingly authorized, straining the trust on which the entire enterprise of clinical data collection depends [18]. In response, emerging frameworks emphasize data stewardship and collective governance, treating health data less as a commodity to be extracted from individuals and more as a shared resource to be managed in the public interest through accountable institutions. This stewardship perspective has the attractive feature of aligning privacy protection with the equitable distribution of AI's benefits, since a resource governed for the public good is more likely to be developed in ways that serve, rather than exploit, the populations from which it is drawn [18].</w:t>
      </w:r>
    </w:p>
    <w:p>
      <w:pPr>
        <w:pStyle w:val="Normal"/>
      </w:pPr>
      <w:r>
        <w:t xml:space="preserve">A further governance question, distinct from the technical mechanics of protection, concerns who decides how health data may be used and on what terms. Even where processing is lawful and technically secure, patients may reasonably object to particular uses of their data—for instance, to the training of a commercial model whose benefits accrue largely to a private firm—and a governance regime that ignores such objections risks eroding the social license on which large-scale data collection ultimately depends. Practices such as transparent public communication about data use, meaningful patient representation on data-access committees, and clear tiers of consent for different categories of use are increasingly regarded not as optional courtesies but as necessary conditions for maintaining that license over the long term. Privacy, on this broader reading, is not merely the prevention of re-identification but the preservation of a relationship of trust between the health system and the population it serves, and that relationship is far easier to destroy than to rebuild once betrayed.</w:t>
      </w:r>
    </w:p>
    <w:p>
      <w:pPr>
        <w:pStyle w:val="Heading2"/>
      </w:pPr>
      <w:r>
        <w:t xml:space="preserve">Patient Safety as the Integrating Concern</w:t>
      </w:r>
    </w:p>
    <w:p>
      <w:pPr>
        <w:pStyle w:val="Normal"/>
      </w:pPr>
      <w:r>
        <w:t xml:space="preserve">Bias, opacity, and privacy failures ultimately matter because they can harm patients, and patient safety therefore provides the frame that integrates the preceding concerns into a single mission. An AI system in active clinical use is a safety-critical component of the care process, and it should be engineered, tested, and monitored with the same discipline that is applied to other safety-critical technologies in medicine and beyond [19]. The distinctive safety hazards of AI differ in character from those of conventional devices and deserve explicit enumeration. Silent failure occurs when a model degrades without producing any overt error signal, so that clinicians continue to rely on outputs that have quietly become unreliable. Distributional shift occurs when the population, the practice patterns, or the measurement instruments drift away from the training distribution over time, so that a model validated at launch slowly becomes miscalibrated. Automation bias occurs when clinicians defer inappropriately to the machine, suppressing their own judgment in the face of a confident recommendation. Feedback loops occur when a model's own recommendations alter the future data on which it or its successors will be trained, in ways that can undermine its validity [20]. A model that triages patients, for instance, changes which patients receive rapid assessment and treatment, thereby altering the very outcomes it was originally trained to predict and potentially eroding its own accuracy over time [20].</w:t>
      </w:r>
    </w:p>
    <w:p>
      <w:pPr>
        <w:pStyle w:val="Normal"/>
      </w:pPr>
      <w:r>
        <w:t xml:space="preserve">Managing these hazards requires a lifecycle perspective rather than a single pre-launch check. Before deployment, systems should undergo structured hazard analysis that anticipates plausible failure modes and traces their clinical consequences, drawing on established techniques from medical-device and systems-safety engineering rather than treating the model as a purely statistical object [21]. During deployment, continuous performance monitoring should track calibration and subgroup accuracy in something close to real time, with predefined thresholds that automatically trigger review, recalibration, or withdrawal when performance drifts beyond acceptable bounds [21]. Human oversight must be designed deliberately into the system so that clinicians retain both the capacity and the information necessary to override the machine when their judgment differs, a requirement examined in detail in the final section of this chapter [22]. Figure 1 is referenced again here because the choice of explanation method directly conditions whether a clinician can detect and act upon a dangerous error: a system that surfaces the basis for its recommendation and flags inputs outside its validated range equips the clinician to catch mistakes, whereas an opaque and overconfident system disarms the very oversight on which safety depends. When these elements are combined, bias, explainability, and privacy cease to be isolated technical problems and become dimensions of a single, unifying question: can this system be trusted to help patients without harming them, and, just as importantly, how would we know if that trust turned out to be misplaced [23]?</w:t>
      </w:r>
    </w:p>
    <w:p>
      <w:pPr>
        <w:pStyle w:val="Heading1"/>
      </w:pPr>
      <w:r>
        <w:t xml:space="preserve">19.2 Regulatory and Ethical Frameworks for AI-Based Therapeutics</w:t>
      </w:r>
    </w:p>
    <w:p>
      <w:pPr>
        <w:pStyle w:val="Heading2"/>
      </w:pPr>
      <w:r>
        <w:t xml:space="preserve">From Device Regulation to Software as a Medical Device</w:t>
      </w:r>
    </w:p>
    <w:p>
      <w:pPr>
        <w:pStyle w:val="Normal"/>
      </w:pPr>
      <w:r>
        <w:t xml:space="preserve">The regulation of medical AI has developed largely by extending existing frameworks for physical medical devices to a new class of product: software whose intended purpose is the diagnosis, prevention, monitoring, prediction, or treatment of disease. Under this paradigm, software that informs or drives clinical decisions is regulated as Software as a Medical Device (SaMD), and the intensity of regulatory scrutiny is scaled to the risk that the software poses to patients [23]. Low-risk tools, such as those that merely inform clinical management without directing it, face comparatively light requirements, whereas high-risk tools that direct the treatment of serious or life-threatening conditions must clear stringent premarket review before they may be marketed. This risk-based logic is sound and proportionate, but it was designed for products that are essentially fixed at the moment of approval and do not change thereafter, and AI systems that continue to learn and update strain its foundational assumptions in ways that regulators around the world have worked hard to accommodate [24]. The core difficulty is that the traditional regulatory bargain—validate once, then market a stable product—does not map cleanly onto software that is intended to improve continuously in response to new data.</w:t>
      </w:r>
    </w:p>
    <w:p>
      <w:pPr>
        <w:pStyle w:val="Normal"/>
      </w:pPr>
      <w:r>
        <w:t xml:space="preserve">The jurisdictions that most shape global practice have converged on broadly similar principles while differing in their specific mechanisms. In the United States, the Food and Drug Administration reviews SaMD through its established device pathways and has now authorized hundreds of AI-enabled devices, concentrated heavily in radiology and cardiology, while developing dedicated guidance to address the features of machine learning that its older frameworks did not anticipate [24]. In the European Union, the Medical Device Regulation governs any AI that meets the definition of a medical device, and the horizontal Artificial Intelligence Act adds a further and distinct layer of obligation by classifying most medical AI as high-risk and imposing cross-cutting requirements for data quality, transparency, human oversight, record-keeping, and post-market monitoring [25]. Other jurisdictions have adopted their own variations on these themes, and international harmonization efforts seek to reduce the resulting fragmentation so that a single, well-constructed evidentiary package can, in principle, support authorization across multiple markets rather than forcing developers to duplicate evidence generation [25]. Table 3 compares the principal regulatory regimes across the dimensions of scope, risk classification, evidence requirements, and treatment of adaptive systems.</w:t>
      </w:r>
    </w:p>
    <w:p>
      <w:pPr>
        <w:pStyle w:val="TableCaption"/>
      </w:pPr>
      <w:r>
        <w:t xml:space="preserve">Table 3. Comparison of major regulatory regimes for AI-based medical software</w:t>
      </w:r>
    </w:p>
    <w:tbl>
      <w:tblPr>
        <w:tblStyle w:val="TableGrid"/>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c>
          <w:tcPr>
            <w:shd w:val="clear" w:color="auto" w:fill="D9E2F3"/>
          </w:tcPr>
          <w:p>
            <w:pPr>
              <w:jc w:val="center"/>
              <w:spacing w:after="20"/>
            </w:pPr>
            <w:r>
              <w:rPr>
                <w:b/>
              </w:rPr>
              <w:t xml:space="preserve">Dimension</w:t>
            </w:r>
          </w:p>
        </w:tc>
        <w:tc>
          <w:tcPr>
            <w:shd w:val="clear" w:color="auto" w:fill="D9E2F3"/>
          </w:tcPr>
          <w:p>
            <w:pPr>
              <w:jc w:val="center"/>
              <w:spacing w:after="20"/>
            </w:pPr>
            <w:r>
              <w:rPr>
                <w:b/>
              </w:rPr>
              <w:t xml:space="preserve">United States (FDA)</w:t>
            </w:r>
          </w:p>
        </w:tc>
        <w:tc>
          <w:tcPr>
            <w:shd w:val="clear" w:color="auto" w:fill="D9E2F3"/>
          </w:tcPr>
          <w:p>
            <w:pPr>
              <w:jc w:val="center"/>
              <w:spacing w:after="20"/>
            </w:pPr>
            <w:r>
              <w:rPr>
                <w:b/>
              </w:rPr>
              <w:t xml:space="preserve">European Union (MDR + AI Act)</w:t>
            </w:r>
          </w:p>
        </w:tc>
        <w:tc>
          <w:tcPr>
            <w:shd w:val="clear" w:color="auto" w:fill="D9E2F3"/>
          </w:tcPr>
          <w:p>
            <w:pPr>
              <w:jc w:val="center"/>
              <w:spacing w:after="20"/>
            </w:pPr>
            <w:r>
              <w:rPr>
                <w:b/>
              </w:rPr>
              <w:t xml:space="preserve">International Harmonization</w:t>
            </w:r>
          </w:p>
        </w:tc>
      </w:tr>
      <w:tr>
        <w:tc>
          <w:p>
            <w:pPr>
              <w:spacing w:after="20"/>
            </w:pPr>
            <w:r>
              <w:t xml:space="preserve">Regulatory object</w:t>
            </w:r>
          </w:p>
        </w:tc>
        <w:tc>
          <w:p>
            <w:pPr>
              <w:spacing w:after="20"/>
            </w:pPr>
            <w:r>
              <w:t xml:space="preserve">Software as a Medical Device</w:t>
            </w:r>
          </w:p>
        </w:tc>
        <w:tc>
          <w:p>
            <w:pPr>
              <w:spacing w:after="20"/>
            </w:pPr>
            <w:r>
              <w:t xml:space="preserve">Medical device plus high-risk AI system</w:t>
            </w:r>
          </w:p>
        </w:tc>
        <w:tc>
          <w:p>
            <w:pPr>
              <w:spacing w:after="20"/>
            </w:pPr>
            <w:r>
              <w:t xml:space="preserve">Common SaMD definitions</w:t>
            </w:r>
          </w:p>
        </w:tc>
      </w:tr>
      <w:tr>
        <w:tc>
          <w:p>
            <w:pPr>
              <w:spacing w:after="20"/>
            </w:pPr>
            <w:r>
              <w:t xml:space="preserve">Risk classification</w:t>
            </w:r>
          </w:p>
        </w:tc>
        <w:tc>
          <w:p>
            <w:pPr>
              <w:spacing w:after="20"/>
            </w:pPr>
            <w:r>
              <w:t xml:space="preserve">Risk-based device classes</w:t>
            </w:r>
          </w:p>
        </w:tc>
        <w:tc>
          <w:p>
            <w:pPr>
              <w:spacing w:after="20"/>
            </w:pPr>
            <w:r>
              <w:t xml:space="preserve">Device class plus AI-Act risk tier</w:t>
            </w:r>
          </w:p>
        </w:tc>
        <w:tc>
          <w:p>
            <w:pPr>
              <w:spacing w:after="20"/>
            </w:pPr>
            <w:r>
              <w:t xml:space="preserve">Risk-based framework</w:t>
            </w:r>
          </w:p>
        </w:tc>
      </w:tr>
      <w:tr>
        <w:tc>
          <w:p>
            <w:pPr>
              <w:spacing w:after="20"/>
            </w:pPr>
            <w:r>
              <w:t xml:space="preserve">Evidence emphasis</w:t>
            </w:r>
          </w:p>
        </w:tc>
        <w:tc>
          <w:p>
            <w:pPr>
              <w:spacing w:after="20"/>
            </w:pPr>
            <w:r>
              <w:t xml:space="preserve">Analytical and clinical validation</w:t>
            </w:r>
          </w:p>
        </w:tc>
        <w:tc>
          <w:p>
            <w:pPr>
              <w:spacing w:after="20"/>
            </w:pPr>
            <w:r>
              <w:t xml:space="preserve">Data quality, transparency, oversight</w:t>
            </w:r>
          </w:p>
        </w:tc>
        <w:tc>
          <w:p>
            <w:pPr>
              <w:spacing w:after="20"/>
            </w:pPr>
            <w:r>
              <w:t xml:space="preserve">Aligned evidentiary packages</w:t>
            </w:r>
          </w:p>
        </w:tc>
      </w:tr>
      <w:tr>
        <w:tc>
          <w:p>
            <w:pPr>
              <w:spacing w:after="20"/>
            </w:pPr>
            <w:r>
              <w:t xml:space="preserve">Adaptive systems</w:t>
            </w:r>
          </w:p>
        </w:tc>
        <w:tc>
          <w:p>
            <w:pPr>
              <w:spacing w:after="20"/>
            </w:pPr>
            <w:r>
              <w:t xml:space="preserve">Predetermined Change Control Plan</w:t>
            </w:r>
          </w:p>
        </w:tc>
        <w:tc>
          <w:p>
            <w:pPr>
              <w:spacing w:after="20"/>
            </w:pPr>
            <w:r>
              <w:t xml:space="preserve">Post-market monitoring obligations</w:t>
            </w:r>
          </w:p>
        </w:tc>
        <w:tc>
          <w:p>
            <w:pPr>
              <w:spacing w:after="20"/>
            </w:pPr>
            <w:r>
              <w:t xml:space="preserve">Emerging guidance</w:t>
            </w:r>
          </w:p>
        </w:tc>
      </w:tr>
      <w:tr>
        <w:tc>
          <w:p>
            <w:pPr>
              <w:spacing w:after="20"/>
            </w:pPr>
            <w:r>
              <w:t xml:space="preserve">Post-market duties</w:t>
            </w:r>
          </w:p>
        </w:tc>
        <w:tc>
          <w:p>
            <w:pPr>
              <w:spacing w:after="20"/>
            </w:pPr>
            <w:r>
              <w:t xml:space="preserve">Real-world performance monitoring</w:t>
            </w:r>
          </w:p>
        </w:tc>
        <w:tc>
          <w:p>
            <w:pPr>
              <w:spacing w:after="20"/>
            </w:pPr>
            <w:r>
              <w:t xml:space="preserve">Continuous surveillance and logging</w:t>
            </w:r>
          </w:p>
        </w:tc>
        <w:tc>
          <w:p>
            <w:pPr>
              <w:spacing w:after="20"/>
            </w:pPr>
            <w:r>
              <w:t xml:space="preserve">Convergence in progress</w:t>
            </w:r>
          </w:p>
        </w:tc>
      </w:tr>
    </w:tbl>
    <w:p/>
    <w:p>
      <w:pPr>
        <w:pStyle w:val="Normal"/>
      </w:pPr>
      <w:r>
        <w:t xml:space="preserve">It is instructive to note where the analogy between AI software and physical devices holds and where it breaks down, because much regulatory confusion stems from applying the analogy past its limits. Like a physical device, an AI diagnostic has a defined intended use, a set of performance claims, and foreseeable failure modes, all of which can be specified and tested before marketing. Unlike a physical device, its performance is intimately dependent on the statistical characteristics of the data it encounters, so that a model that is entirely safe in the population on which it was validated may become unsafe simply because the population downstream has a different case mix, without any physical component having failed or degraded. A pacemaker does not become less effective because the hospital across town treats sicker patients; a risk model very well might. This dependence of safety on context, rather than solely on the integrity of the artifact itself, is the feature that most distinguishes AI regulation from traditional device regulation and that most strongly motivates the shift toward lifecycle oversight and local, ongoing validation rather than a single national approval.</w:t>
      </w:r>
    </w:p>
    <w:p>
      <w:pPr>
        <w:pStyle w:val="Heading2"/>
      </w:pPr>
      <w:r>
        <w:t xml:space="preserve">Regulating Systems That Learn</w:t>
      </w:r>
    </w:p>
    <w:p>
      <w:pPr>
        <w:pStyle w:val="Normal"/>
      </w:pPr>
      <w:r>
        <w:t xml:space="preserve">The deepest and most genuinely novel regulatory challenge is posed by systems designed to change their behavior after deployment. A locked model behaves identically every time it is given the same input and can therefore be validated once and marketed as a stable product, exactly like a conventional device. An adaptive or continuously learning model, by contrast, updates its parameters as new data arrive, so that the product a regulator approved is demonstrably not the same product a patient encounters months or years later [26]. This creates a dilemma with no comfortable resolution under traditional rules. Regulating each individual update as though it were an entirely new device would be so slow and costly as to defeat the purpose of continuous learning, while ignoring updates altogether would abandon regulatory oversight at precisely the point where a model's behavior is most likely to drift into danger. The response that has gained the widest traction is the Predetermined Change Control Plan, an instrument in which a developer specifies in advance the types of modifications a system may undergo, the methods and criteria by which each modification will be validated, and the boundaries beyond which any change requires fresh authorization [27]. This approach shifts the object of regulation from a static artifact to a governed process, permitting beneficial improvement to proceed within pre-agreed guardrails while preserving accountability for the system's evolution. Figure 2 depicts the lifecycle regulatory model for adaptive AI, showing how premarket authorization, change control, and post-market surveillance interlock into a continuous loop.</w:t>
      </w:r>
    </w:p>
    <w:p>
      <w:pPr>
        <w:pStyle w:val="FigureImage"/>
      </w:pPr>
      <w:r>
        <w:drawing>
          <wp:inline xmlns:wp="http://schemas.openxmlformats.org/drawingml/2006/wordprocessingDrawing" distT="0" distB="0" distL="0" distR="0">
            <wp:extent cx="5760000" cy="3789473"/>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pic:nvPicPr>
                  <pic:blipFill>
                    <a:blip xmlns:r="http://schemas.openxmlformats.org/officeDocument/2006/relationships" r:embed="rIdImg2"/>
                    <a:stretch>
                      <a:fillRect/>
                    </a:stretch>
                  </pic:blipFill>
                  <pic:spPr>
                    <a:xfrm>
                      <a:off x="0" y="0"/>
                      <a:ext cx="5760000" cy="3789473"/>
                    </a:xfrm>
                    <a:prstGeom prst="rect">
                      <a:avLst/>
                    </a:prstGeom>
                  </pic:spPr>
                </pic:pic>
              </a:graphicData>
            </a:graphic>
          </wp:inline>
        </w:drawing>
      </w:r>
    </w:p>
    <w:p>
      <w:pPr>
        <w:pStyle w:val="FigureCaption"/>
      </w:pPr>
      <w:r>
        <w:t xml:space="preserve">Figure 2. Lifecycle regulatory model for adaptive AI, in which premarket authorization, a predetermined change control plan, and post-market surveillance form a continuous governance loop rather than a one-time approval.</w:t>
      </w:r>
    </w:p>
    <w:p>
      <w:pPr>
        <w:pStyle w:val="Normal"/>
      </w:pPr>
      <w:r>
        <w:t xml:space="preserve">Alongside change control, regulators increasingly emphasize what has come to be called good machine learning practice—a set of engineering principles that span the entire AI lifecycle, from representative and well-managed data through robust and honest validation to clear labeling and diligent post-market monitoring [27]. These principles function as a bridge between the high-level ethical aspirations discussed below and the concrete engineering obligations that developers can actually be held to, translating values such as fairness, transparency, and safety into auditable and inspectable practices. They also reflect a hard-won lesson from other safety-critical industries: that quality cannot be inspected into a product at the end of development but must instead be built in from the outset through disciplined process. A model whose training data were poorly documented, whose validation was optimistic, and whose limitations were never characterized cannot be rescued by a favorable review at the finish line, and good machine learning practice exists precisely to prevent such products from reaching that point [28].</w:t>
      </w:r>
    </w:p>
    <w:p>
      <w:pPr>
        <w:pStyle w:val="Heading2"/>
      </w:pPr>
      <w:r>
        <w:t xml:space="preserve">Ethical Frameworks and Principles</w:t>
      </w:r>
    </w:p>
    <w:p>
      <w:pPr>
        <w:pStyle w:val="Normal"/>
      </w:pPr>
      <w:r>
        <w:t xml:space="preserve">Regulation establishes the minimum that developers must do in order to place a product lawfully on the market, but it does not exhaust what they ought to do as a matter of professional and ethical responsibility. A parallel and rapidly growing body of ethical guidance has emerged from international organizations, professional societies, and multistakeholder initiatives, and while these documents differ in their emphases and their detail, they converge on a recognizable core of shared principles [28]. The World Health Organization, for example, has articulated a set of guiding principles for the use of AI in health that includes protecting human autonomy; promoting human well-being, safety, and the public interest; ensuring transparency, explainability, and intelligibility; fostering responsibility and accountability; ensuring inclusiveness and equity; and promoting AI that is responsive and sustainable over time [29]. These map recognizably onto the long-established four principles of biomedical ethics—respect for autonomy, beneficence, non-maleficence, and justice—while adding an explicit emphasis on transparency and accountability that the peculiar opacity of AI systems makes newly and urgently necessary [30]. The value of such frameworks lies less in the novelty of any single principle than in their capacity to structure deliberation and to hold systems to account against commitments that have been made explicit and public. There is, moreover, a distinctive ethical dimension to medical AI that general-purpose AI ethics frameworks tend to underweight: the fiduciary character of the clinician-patient relationship. Medicine is not merely a service transaction but a relationship in which the vulnerable party is owed loyalty and is entitled to expect that decisions are made in their interest rather than in the interest of an institution or a vendor. An AI system introduced into that relationship inherits its obligations. A recommendation engine tuned to reduce costs, to maximize throughput, or to favor a particular product line may serve interests other than the patient's while wearing the neutral guise of a clinical tool, and the fiduciary framing makes clear why such misalignment is not simply a design flaw but an ethical breach. Naming this dimension explicitly helps to guard against the quiet substitution of institutional or commercial objectives for the patient's welfare that the opacity of AI can so easily conceal.</w:t>
      </w:r>
    </w:p>
    <w:p>
      <w:pPr>
        <w:pStyle w:val="Normal"/>
      </w:pPr>
      <w:r>
        <w:t xml:space="preserve">A persistent and well-founded criticism, however, is that high-level principles are often too abstract to guide concrete action and can degenerate into ethics-washing, in which organizations proclaim virtues they never actually operationalize in their engineering or their governance [30]. Closing the gap between principle and practice requires deliberate translation: fairness must become specific subgroup performance requirements that are measured and reported; transparency must become documentation standards such as model cards and dataset datasheets that travel with the product; accountability must become named roles, audit trails, and standing governance committees with real authority; and respect for autonomy must become genuinely informed consent about the use of AI in a patient's care rather than a buried disclosure [31]. Table 4 maps core ethical principles onto concrete implementation mechanisms and the lifecycle stage at which each applies, providing a practical bridge from aspiration to accountable practice and illustrating that ethics in medical AI is ultimately a matter of engineering and organizational discipline as much as of moral reasoning.</w:t>
      </w:r>
    </w:p>
    <w:p>
      <w:pPr>
        <w:pStyle w:val="TableCaption"/>
      </w:pPr>
      <w:r>
        <w:t xml:space="preserve">Table 4. Mapping ethical principles to concrete implementation mechanisms</w:t>
      </w:r>
    </w:p>
    <w:tbl>
      <w:tblPr>
        <w:tblStyle w:val="TableGrid"/>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66"/>
        <w:gridCol w:w="3066"/>
        <w:gridCol w:w="3066"/>
      </w:tblGrid>
      <w:tr>
        <w:tc>
          <w:tcPr>
            <w:shd w:val="clear" w:color="auto" w:fill="D9E2F3"/>
          </w:tcPr>
          <w:p>
            <w:pPr>
              <w:jc w:val="center"/>
              <w:spacing w:after="20"/>
            </w:pPr>
            <w:r>
              <w:rPr>
                <w:b/>
              </w:rPr>
              <w:t xml:space="preserve">Ethical Principle</w:t>
            </w:r>
          </w:p>
        </w:tc>
        <w:tc>
          <w:tcPr>
            <w:shd w:val="clear" w:color="auto" w:fill="D9E2F3"/>
          </w:tcPr>
          <w:p>
            <w:pPr>
              <w:jc w:val="center"/>
              <w:spacing w:after="20"/>
            </w:pPr>
            <w:r>
              <w:rPr>
                <w:b/>
              </w:rPr>
              <w:t xml:space="preserve">Implementation Mechanism</w:t>
            </w:r>
          </w:p>
        </w:tc>
        <w:tc>
          <w:tcPr>
            <w:shd w:val="clear" w:color="auto" w:fill="D9E2F3"/>
          </w:tcPr>
          <w:p>
            <w:pPr>
              <w:jc w:val="center"/>
              <w:spacing w:after="20"/>
            </w:pPr>
            <w:r>
              <w:rPr>
                <w:b/>
              </w:rPr>
              <w:t xml:space="preserve">Lifecycle Stage</w:t>
            </w:r>
          </w:p>
        </w:tc>
      </w:tr>
      <w:tr>
        <w:tc>
          <w:p>
            <w:pPr>
              <w:spacing w:after="20"/>
            </w:pPr>
            <w:r>
              <w:t xml:space="preserve">Respect for autonomy</w:t>
            </w:r>
          </w:p>
        </w:tc>
        <w:tc>
          <w:p>
            <w:pPr>
              <w:spacing w:after="20"/>
            </w:pPr>
            <w:r>
              <w:t xml:space="preserve">Informed consent about AI involvement</w:t>
            </w:r>
          </w:p>
        </w:tc>
        <w:tc>
          <w:p>
            <w:pPr>
              <w:spacing w:after="20"/>
            </w:pPr>
            <w:r>
              <w:t xml:space="preserve">Deployment and care delivery</w:t>
            </w:r>
          </w:p>
        </w:tc>
      </w:tr>
      <w:tr>
        <w:tc>
          <w:p>
            <w:pPr>
              <w:spacing w:after="20"/>
            </w:pPr>
            <w:r>
              <w:t xml:space="preserve">Beneficence and non-maleficence</w:t>
            </w:r>
          </w:p>
        </w:tc>
        <w:tc>
          <w:p>
            <w:pPr>
              <w:spacing w:after="20"/>
            </w:pPr>
            <w:r>
              <w:t xml:space="preserve">Clinical utility trials; hazard analysis</w:t>
            </w:r>
          </w:p>
        </w:tc>
        <w:tc>
          <w:p>
            <w:pPr>
              <w:spacing w:after="20"/>
            </w:pPr>
            <w:r>
              <w:t xml:space="preserve">Validation and monitoring</w:t>
            </w:r>
          </w:p>
        </w:tc>
      </w:tr>
      <w:tr>
        <w:tc>
          <w:p>
            <w:pPr>
              <w:spacing w:after="20"/>
            </w:pPr>
            <w:r>
              <w:t xml:space="preserve">Justice and equity</w:t>
            </w:r>
          </w:p>
        </w:tc>
        <w:tc>
          <w:p>
            <w:pPr>
              <w:spacing w:after="20"/>
            </w:pPr>
            <w:r>
              <w:t xml:space="preserve">Subgroup performance requirements; fairness audits</w:t>
            </w:r>
          </w:p>
        </w:tc>
        <w:tc>
          <w:p>
            <w:pPr>
              <w:spacing w:after="20"/>
            </w:pPr>
            <w:r>
              <w:t xml:space="preserve">Development and monitoring</w:t>
            </w:r>
          </w:p>
        </w:tc>
      </w:tr>
      <w:tr>
        <w:tc>
          <w:p>
            <w:pPr>
              <w:spacing w:after="20"/>
            </w:pPr>
            <w:r>
              <w:t xml:space="preserve">Transparency</w:t>
            </w:r>
          </w:p>
        </w:tc>
        <w:tc>
          <w:p>
            <w:pPr>
              <w:spacing w:after="20"/>
            </w:pPr>
            <w:r>
              <w:t xml:space="preserve">Model cards; dataset datasheets; intended-use labels</w:t>
            </w:r>
          </w:p>
        </w:tc>
        <w:tc>
          <w:p>
            <w:pPr>
              <w:spacing w:after="20"/>
            </w:pPr>
            <w:r>
              <w:t xml:space="preserve">Development and release</w:t>
            </w:r>
          </w:p>
        </w:tc>
      </w:tr>
      <w:tr>
        <w:tc>
          <w:p>
            <w:pPr>
              <w:spacing w:after="20"/>
            </w:pPr>
            <w:r>
              <w:t xml:space="preserve">Accountability</w:t>
            </w:r>
          </w:p>
        </w:tc>
        <w:tc>
          <w:p>
            <w:pPr>
              <w:spacing w:after="20"/>
            </w:pPr>
            <w:r>
              <w:t xml:space="preserve">Named roles; audit trails; governance committees</w:t>
            </w:r>
          </w:p>
        </w:tc>
        <w:tc>
          <w:p>
            <w:pPr>
              <w:spacing w:after="20"/>
            </w:pPr>
            <w:r>
              <w:t xml:space="preserve">Whole lifecycle</w:t>
            </w:r>
          </w:p>
        </w:tc>
      </w:tr>
    </w:tbl>
    <w:p/>
    <w:p>
      <w:pPr>
        <w:pStyle w:val="Heading2"/>
      </w:pPr>
      <w:r>
        <w:t xml:space="preserve">Liability, Consent, and Professional Responsibility</w:t>
      </w:r>
    </w:p>
    <w:p>
      <w:pPr>
        <w:pStyle w:val="Normal"/>
      </w:pPr>
      <w:r>
        <w:t xml:space="preserve">Ethical and regulatory frameworks intersect with older bodies of law and professional norms in ways that remain genuinely unsettled and that practitioners cannot afford to ignore. When an AI system contributes to a decision that harms a patient, the allocation of responsibility among the developer who built the tool, the institution that deployed it, and the clinician who acted on its output is far from clear, and existing doctrines of product liability and medical malpractice map awkwardly onto learning systems whose behavior emerges from data rather than from a designer's explicit choices [31]. Clinicians may find themselves in an uncomfortable bind: potentially liable if they follow an erroneous recommendation and equally exposed if they disregard a recommendation that later proves to have been correct, all with very little settled guidance on what the standard of care actually is in an AI-augmented practice [32]. Figure 2 is invoked again at this juncture because the same lifecycle governance that satisfies regulators also generates precisely the documentation—of intended use, of validation evidence, and of ongoing monitoring—on which courts and institutions will ultimately rely when they attempt to apportion responsibility after an adverse event. The accountability mechanisms summarized in Table 4—named roles, audit trails, and standing governance committees—are precisely the artifacts that make such apportionment tractable, transforming a vague question of blame into a documented record of who was responsible for what at each stage of the lifecycle. Meanwhile, the doctrine of informed consent must itself evolve to address whether, when, and how patients should be told that AI is involved in their diagnosis or treatment, a question on which current practice is strikingly inconsistent and on which patient expectations are still actively forming [32]. These unresolved questions underscore the central lesson of this section: that regulation and ethics are not fixed endpoints but ongoing negotiations that must be continually renewed to keep pace with a technology that is itself in constant motion.</w:t>
      </w:r>
    </w:p>
    <w:p>
      <w:pPr>
        <w:pStyle w:val="Heading1"/>
      </w:pPr>
      <w:r>
        <w:t xml:space="preserve">19.3 Clinical Validation, Implementation, and Human Oversight</w:t>
      </w:r>
    </w:p>
    <w:p>
      <w:pPr>
        <w:pStyle w:val="Heading2"/>
      </w:pPr>
      <w:r>
        <w:t xml:space="preserve">The Evidentiary Ladder of Clinical Validation</w:t>
      </w:r>
    </w:p>
    <w:p>
      <w:pPr>
        <w:pStyle w:val="Normal"/>
      </w:pPr>
      <w:r>
        <w:t xml:space="preserve">A model that performs impressively on a held-out test set has demonstrated technical validity, not clinical value, and the distance between those two things is precisely where most medical AI succeeds or fails in practice [33]. Clinical validation is best understood as an evidentiary ladder, each rung of which answers a more demanding question than the one below it. The first and lowest rung is analytical or technical validation, which asks the narrow question of whether the model produces accurate and reliable outputs on data that resemble its training distribution [34]. The second rung is clinical or external validation, which asks the far more searching question of whether that performance holds up in populations, sites, and time periods that are genuinely distinct from those used during development—a test that a sobering proportion of published models simply fail, revealing performance that does not generalize beyond the narrow conditions of their creation [34]. The third and highest rung is clinical utility, which asks the question that ultimately matters most: whether deploying the model actually improves outcomes that patients care about, such as mortality, morbidity, quality of life, or cost, relative to the current standard of care [35]. A model can pass the first rung handsomely and still fail the second and third, which is why claims resting on internal performance alone should be treated with skepticism.</w:t>
      </w:r>
    </w:p>
    <w:p>
      <w:pPr>
        <w:pStyle w:val="Normal"/>
      </w:pPr>
      <w:r>
        <w:t xml:space="preserve">External validation deserves particular emphasis precisely because it is so frequently skipped in the rush to publication or deployment. A model trained at a single hospital may quietly exploit local idiosyncrasies—documentation habits, particular device manufacturers, referral and coding patterns, even the layout of an electronic record—that do not transfer to other settings, so that internal metrics that looked excellent evaporate the moment the model is deployed elsewhere [35]. Temporal validation, in which a model is deliberately tested on data drawn from a later period than its training data, similarly exposes the model's vulnerability to the drift that afflicts every deployed system as clinical practice, coding conventions, and patient populations evolve over time [36]. Rigorous external and, ideally, temporal validation across multiple independent sites is therefore a reasonable minimum expectation before a model is entrusted with real patient care, and dedicated reporting standards now exist to ensure that such validation studies are described completely and transparently enough for others to appraise their quality [37]. Figure 3 depicts this validation-to-deployment pipeline, showing the sequence of evidentiary gates a model should clear before and after it reaches patients.</w:t>
      </w:r>
    </w:p>
    <w:p>
      <w:pPr>
        <w:pStyle w:val="FigureImage"/>
      </w:pPr>
      <w:r>
        <w:drawing>
          <wp:inline xmlns:wp="http://schemas.openxmlformats.org/drawingml/2006/wordprocessingDrawing" distT="0" distB="0" distL="0" distR="0">
            <wp:extent cx="5760000" cy="3789473"/>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pic:nvPicPr>
                  <pic:blipFill>
                    <a:blip xmlns:r="http://schemas.openxmlformats.org/officeDocument/2006/relationships" r:embed="rIdImg3"/>
                    <a:stretch>
                      <a:fillRect/>
                    </a:stretch>
                  </pic:blipFill>
                  <pic:spPr>
                    <a:xfrm>
                      <a:off x="0" y="0"/>
                      <a:ext cx="5760000" cy="3789473"/>
                    </a:xfrm>
                    <a:prstGeom prst="rect">
                      <a:avLst/>
                    </a:prstGeom>
                  </pic:spPr>
                </pic:pic>
              </a:graphicData>
            </a:graphic>
          </wp:inline>
        </w:drawing>
      </w:r>
    </w:p>
    <w:p>
      <w:pPr>
        <w:pStyle w:val="FigureCaption"/>
      </w:pPr>
      <w:r>
        <w:t xml:space="preserve">Figure 3. The clinical validation-to-deployment pipeline, showing the evidentiary ladder from analytical validation through external and temporal validation to prospective demonstration of clinical utility and post-market monitoring.</w:t>
      </w:r>
    </w:p>
    <w:p>
      <w:pPr>
        <w:pStyle w:val="Normal"/>
      </w:pPr>
      <w:r>
        <w:t xml:space="preserve">The distinction between these three rungs is not merely academic, because failures at each level have different causes and demand different responses. A failure of analytical validity points to a problem in the model itself—inadequate data, an inappropriate architecture, or overfitting—and is remedied by better engineering. A failure of external validity points to a mismatch between the development setting and the deployment setting and is remedied by broader and more representative data or by local recalibration. A failure of clinical utility, in which a model that is both accurate and generalizable nonetheless fails to improve outcomes, points to something more subtle: perhaps the information the model provides was already available to clinicians, perhaps it arrives too late to change management, or perhaps clinicians cannot or do not act on it in a way that alters the patient's trajectory. This last category of failure is the most humbling, because it reveals that technical excellence and clinical benefit are genuinely separate achievements, and that a model can be right about the world and still useless, or even harmful, at the bedside. Recognizing which rung a given tool has actually reached is therefore essential to interpreting the claims made on its behalf.</w:t>
      </w:r>
    </w:p>
    <w:p>
      <w:pPr>
        <w:pStyle w:val="Heading2"/>
      </w:pPr>
      <w:r>
        <w:t xml:space="preserve">Prospective Evaluation and Clinical Trials</w:t>
      </w:r>
    </w:p>
    <w:p>
      <w:pPr>
        <w:pStyle w:val="Normal"/>
      </w:pPr>
      <w:r>
        <w:t xml:space="preserve">The gold standard for establishing genuine clinical utility is prospective evaluation, and increasingly the randomized controlled trial adapted for AI interventions [37]. Retrospective studies, however elegant and however large, cannot fully rule out the possibility that a model's apparent benefit reflects confounding rather than genuine causation, and they cannot capture the crucial matter of how clinicians actually interact with a tool in the real flow of care rather than in a controlled analysis [38]. Prospective trials, by contrast, expose the full sociotechnical reality of a tool: whether its alerts are heeded or ignored, whether it speeds or slows clinical workflow, and whether it shifts clinician attention in beneficial or harmful directions that no retrospective analysis could reveal [38]. The development of dedicated reporting and trial-design guidance specifically for AI interventions reflects a maturing recognition that such trials raise distinctive methodological issues, including the need to specify precisely which version of the algorithm was tested, to characterize the human-AI interaction under study, and to account for any continuous learning that occurred during the trial [39]. Table 3 is relevant once again at this juncture, because the nature of the evidence a given regulator will accept for authorization directly shapes the kinds of trials that developers choose to design and fund, illustrating how regulatory design and scientific practice are tightly and reciprocally coupled.</w:t>
      </w:r>
    </w:p>
    <w:p>
      <w:pPr>
        <w:pStyle w:val="Normal"/>
      </w:pPr>
      <w:r>
        <w:t xml:space="preserve">Prospective evaluation also surfaces categories of harm that retrospective analysis is structurally incapable of detecting. A decision-support tool that improves average diagnostic accuracy across a population may nonetheless cause net harm if it systematically misleads clinicians on a particular minority of cases, or if the sheer cognitive burden of engaging with it displaces clinician attention from other important tasks [39]. Trials should therefore be powered and explicitly designed to detect not only benefit but also the automation bias, the alert fatigue, and the workflow disruption that so often determine whether a technically sound model actually helps in practice [40]. The essential conceptual shift is that the true unit of evaluation is not the algorithm considered in isolation but the combined human-AI system as a whole, and it is the safety and efficacy of that integrated system, operating under realistic conditions, that must be demonstrated before widespread adoption can be justified [41].</w:t>
      </w:r>
    </w:p>
    <w:p>
      <w:pPr>
        <w:pStyle w:val="Normal"/>
      </w:pPr>
      <w:r>
        <w:t xml:space="preserve">A recurring theme in the literature on AI trials is the danger of what might be called the demonstration gap: the distance between a tool's performance in the carefully curated conditions of a study and its performance in the uncontrolled conditions of routine care. Studies are typically conducted at academic centers, with motivated clinicians, on populations enriched for the condition of interest, and with technical support close at hand. Routine deployment occurs across a far wider range of settings, with clinicians who received little training, on populations whose case mix was never anticipated, and with no one available to notice when something goes wrong. A tool that shines in a trial may therefore disappoint in practice not because the trial was flawed but because the trial could never fully represent the conditions of real use. This is one reason that prospective, pragmatic trials conducted in ordinary settings, and staged rollouts that expand only as real-world performance is confirmed, are increasingly favored over pristine demonstrations at flagship institutions. The aim is to close the demonstration gap before a tool is trusted at scale, rather than discovering its existence after patients have been affected.</w:t>
      </w:r>
    </w:p>
    <w:p>
      <w:pPr>
        <w:pStyle w:val="Heading2"/>
      </w:pPr>
      <w:r>
        <w:t xml:space="preserve">Implementation as a Sociotechnical Undertaking</w:t>
      </w:r>
    </w:p>
    <w:p>
      <w:pPr>
        <w:pStyle w:val="Normal"/>
      </w:pPr>
      <w:r>
        <w:t xml:space="preserve">Even a rigorously validated model delivers no benefit whatsoever until it is embedded successfully in the messy, constrained, and often chaotic reality of clinical work, and it is at this implementation stage that a great many otherwise promising tools quietly and expensively fail [41]. The discipline of implementation science teaches that introducing a new technology into a clinical setting is an organizational intervention rather than a mere technical installation, and that its success depends on careful workflow integration, adequate clinician training, deliberate trust-building, and honest alignment with the existing incentives and information systems that already shape how work gets done [42]. A prediction that arrives too late in the process to act upon, that is buried within an already overloaded interface, or that generates so many low-value alerts that clinicians rapidly learn to dismiss them wholesale will fail to improve care regardless of how statistically excellent the underlying model may be. Table 1 becomes relevant once more at this implementation stage, because the very biases catalogued there can be introduced or amplified by the manner in which a tool is deployed—as when a model validated in one setting is applied to a population it never adequately represented, thereby converting a latent representation bias into concrete and avoidable clinical harm.</w:t>
      </w:r>
    </w:p>
    <w:p>
      <w:pPr>
        <w:pStyle w:val="Normal"/>
      </w:pPr>
      <w:r>
        <w:t xml:space="preserve">Successful implementation also depends on attending to the people whose work the tool will change, not merely to the technology itself. Clinicians who feel that a system has been imposed on them, that it distrusts their judgment, or that it exists chiefly to surveil their productivity will resist it, work around it, or comply with it only grudgingly, and any of these responses can defeat the intended benefit. Involving frontline clinicians and, where appropriate, patients in the design and rollout of a tool—soliciting their concerns, incorporating their feedback, and being candid about the tool's limitations—builds the trust and sense of ownership on which sustained use depends. Equally, the introduction of a tool should be accompanied by a clear account of what will change in the division of labor and responsibility, so that no one is left uncertain about whether they are expected to defer to the system, to double-check it, or to exercise independent judgment. Implementation, in short, is as much an exercise in change management and professional culture as it is in software deployment, and treating it as a purely technical rollout is among the most common and most costly mistakes made in the field.</w:t>
      </w:r>
    </w:p>
    <w:p>
      <w:pPr>
        <w:pStyle w:val="Normal"/>
      </w:pPr>
      <w:r>
        <w:t xml:space="preserve">The human factors of implementation are frequently decisive and are too often neglected. The design of the interface through which predictions are presented profoundly shapes whether clinicians calibrate their trust appropriately, neither over-relying on a system that is sometimes wrong nor dismissing out of hand a system that is usually right [42]. Presenting uncertainty honestly rather than projecting false confidence, clearly indicating when an input falls outside the range on which the model was actually validated, and making it genuinely easy to access the basis for any given recommendation all support the appropriate reliance that safe deployment requires [43]. Organizational readiness matters just as much as interface design: institutions need governance structures that assign clear responsibility for approving, monitoring, and, when necessary, withdrawing AI tools, together with the technical and human infrastructure to actually support those functions over the long term [44]. Figure 4 presents a human oversight and monitoring framework that ties these organizational elements together, showing the flow of information and authority among the model, the clinician, and the institutional governance body.</w:t>
      </w:r>
    </w:p>
    <w:p>
      <w:pPr>
        <w:pStyle w:val="FigureImage"/>
      </w:pPr>
      <w:r>
        <w:drawing>
          <wp:inline xmlns:wp="http://schemas.openxmlformats.org/drawingml/2006/wordprocessingDrawing" distT="0" distB="0" distL="0" distR="0">
            <wp:extent cx="5760000" cy="3789473"/>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pic:nvPicPr>
                  <pic:blipFill>
                    <a:blip xmlns:r="http://schemas.openxmlformats.org/officeDocument/2006/relationships" r:embed="rIdImg4"/>
                    <a:stretch>
                      <a:fillRect/>
                    </a:stretch>
                  </pic:blipFill>
                  <pic:spPr>
                    <a:xfrm>
                      <a:off x="0" y="0"/>
                      <a:ext cx="5760000" cy="3789473"/>
                    </a:xfrm>
                    <a:prstGeom prst="rect">
                      <a:avLst/>
                    </a:prstGeom>
                  </pic:spPr>
                </pic:pic>
              </a:graphicData>
            </a:graphic>
          </wp:inline>
        </w:drawing>
      </w:r>
    </w:p>
    <w:p>
      <w:pPr>
        <w:pStyle w:val="FigureCaption"/>
      </w:pPr>
      <w:r>
        <w:t xml:space="preserve">Figure 4. Human oversight and continuous monitoring framework, depicting the flow of predictions, uncertainty signals, clinician overrides, and performance data among the AI model, the clinician at the point of care, and the institutional governance body.</w:t>
      </w:r>
    </w:p>
    <w:p>
      <w:pPr>
        <w:pStyle w:val="Heading2"/>
      </w:pPr>
      <w:r>
        <w:t xml:space="preserve">Human Oversight and Continuous Monitoring</w:t>
      </w:r>
    </w:p>
    <w:p>
      <w:pPr>
        <w:pStyle w:val="Normal"/>
      </w:pPr>
      <w:r>
        <w:t xml:space="preserve">Human oversight is very frequently invoked as the essential safeguard that makes medical AI acceptable, but the reassuring phrase conceals substantial practical difficulty. Oversight is meaningful only if the human being retains the information, the time, and the genuine authority necessary to intervene, and only if the surrounding system has been deliberately designed so that intervention is actually feasible rather than merely nominal [44]. A clinician who is nominally in the loop but who is confronted with a confident recommendation, under severe time pressure, with no visibility whatsoever into the model's reasoning, exercises oversight in name only and provides none of the protection that the concept is supposed to guarantee. Effective oversight therefore demands a set of deliberate design choices: presenting both confidence and uncertainty in an interpretable form, flagging out-of-distribution inputs that fall outside the model's validated envelope, preserving the clinician's ability to inspect the underlying data, and, no less important, cultivating an institutional culture in which overriding the machine is expected and supported rather than second-guessed or penalized [45]. Figure 4 is referenced again here to underscore that meaningful oversight is not a single checkpoint at the moment of a decision but a continuous relationship in which real-world monitoring feeds back into clinical practice, professional education, and institutional governance decisions over the entire operating life of the system.</w:t>
      </w:r>
    </w:p>
    <w:p>
      <w:pPr>
        <w:pStyle w:val="Normal"/>
      </w:pPr>
      <w:r>
        <w:t xml:space="preserve">Continuous monitoring after deployment is the natural counterpart to human oversight and the final indispensable element of responsible clinical translation. Because models inevitably degrade as populations, practice patterns, and measurement instruments drift away from the conditions under which they were built, performance must be tracked prospectively and continuously, with calibration and subgroup accuracy monitored against predefined thresholds and with concrete mechanisms established in advance to update, recalibrate, or gracefully retire a model when it falls short of those thresholds [45]. Indeed, a growing view holds that periodic external validation should be supplemented or even supplanted by recurring local validation, in which each deploying institution continually confirms that the model still performs adequately in its own specific and evolving context rather than relying on a validation performed elsewhere and long ago [46]. This ongoing post-market surveillance closes the lifecycle loop, returning hard evidence from real-world use back to developers and regulators alike and thereby connecting the clinical mission of this final section directly to the regulatory frameworks examined in the previous one [46]. Responsible AI in medicine, on this integrated view, is not a static property that a system simply possesses at the moment of its approval but rather a discipline that must be actively sustained across the system's entire operational life—a continuous and deliberate alignment of statistical performance with clinical benefit, procedural fairness, and genuine respect for the patients whom the technology exists to serve.</w:t>
      </w:r>
    </w:p>
    <w:p>
      <w:pPr>
        <w:pStyle w:val="Normal"/>
      </w:pPr>
      <w:r>
        <w:t xml:space="preserve">It is worth being explicit about why continuous monitoring cannot be treated as an optional extra to be funded if resources permit. The very features that make machine learning powerful—its sensitivity to subtle patterns in data—are the features that make it fragile in the face of change, and change in health care is constant rather than exceptional. New diagnostic codes are introduced, laboratory assays are reformulated, referral pathways are reorganized, electronic record systems are replaced, and the demographic and clinical profile of a hospital's population shifts year by year. Each of these ordinary events can silently alter the relationship between a model's inputs and the outcome it predicts, and none of them announces itself as a fault. A model that is not being monitored is therefore not a model that is safely stable; it is a model whose deterioration is simply going unobserved. Building the infrastructure and assigning the responsibility for ongoing monitoring is consequently not a matter of prudence alone but a precondition for claiming, honestly, that a deployed system remains fit for its purpose. The institutions that succeed with medical AI over the coming decade will be distinguished less by the sophistication of the models they adopt than by the seriousness of the monitoring and governance they build around them.</w:t>
      </w:r>
    </w:p>
    <w:p>
      <w:pPr>
        <w:pStyle w:val="Heading2"/>
      </w:pPr>
      <w:r>
        <w:t xml:space="preserve">Synthesis</w:t>
      </w:r>
    </w:p>
    <w:p>
      <w:pPr>
        <w:pStyle w:val="Normal"/>
      </w:pPr>
      <w:r>
        <w:t xml:space="preserve">The three concerns that organize this chapter—the ethical hazards of bias, opacity, and privacy; the regulatory and ethical frameworks that govern therapeutic and diagnostic AI; and the practical work of validation, implementation, and oversight—are ultimately a single concern viewed from three complementary angles. Each is at bottom an attempt to ensure that an AI system deployed in medicine is genuinely worthy of the trust placed in it, and, crucially, that this trustworthiness can be verified through evidence rather than merely assumed on the strength of a benchmark or a marketing claim. The technical, regulatory, and organizational measures described throughout this chapter reinforce one another in a coherent system: fairness auditing supports patient safety, rigorous validation supports regulatory approval, continuous monitoring supports both liability management and ongoing clinical improvement, and well-designed human oversight ties the entire apparatus back to accountable human judgment at the point of care [47]. No single one of these measures is sufficient on its own, and none can be safely delegated in its entirety to any of the others. The responsible translation of AI into clinical care is therefore best understood as a shared and continuing project, distributed across developers, clinicians, institutions, regulators, and patients alike, whose ultimate success is measured not by accuracy on a held-out test set but by care that is demonstrably better, fairer, and safer for the people it is meant to serve.</w:t>
      </w:r>
    </w:p>
    <w:p>
      <w:pPr>
        <w:pStyle w:val="Heading1"/>
      </w:pPr>
      <w:r>
        <w:t xml:space="preserve">References</w:t>
      </w:r>
    </w:p>
    <w:p>
      <w:pPr>
        <w:pStyle w:val="References"/>
      </w:pPr>
      <w:r>
        <w:t xml:space="preserve">[1] Obermeyer Z, Emanuel EJ. Predicting the future — big data, machine learning, and clinical medicine. New England Journal of Medicine. 2016;375(13):1216-1219.</w:t>
      </w:r>
    </w:p>
    <w:p>
      <w:pPr>
        <w:pStyle w:val="References"/>
      </w:pPr>
      <w:r>
        <w:t xml:space="preserve">[2] Char DS, Shah NH, Magnus D. Implementing machine learning in health care — addressing ethical challenges. New England Journal of Medicine. 2018;378(11):981-983.</w:t>
      </w:r>
    </w:p>
    <w:p>
      <w:pPr>
        <w:pStyle w:val="References"/>
      </w:pPr>
      <w:r>
        <w:t xml:space="preserve">[3] Obermeyer Z, Powers B, Vogeli C, Mullainathan S. Dissecting racial bias in an algorithm used to manage the health of populations. Science. 2019;366(6464):447-453.</w:t>
      </w:r>
    </w:p>
    <w:p>
      <w:pPr>
        <w:pStyle w:val="References"/>
      </w:pPr>
      <w:r>
        <w:t xml:space="preserve">[4] Mehrabi N, Morstatter F, Saxena N, Lerman K, Galstyan A. A survey on bias and fairness in machine learning. ACM Computing Surveys. 2021;54(6):1-35.</w:t>
      </w:r>
    </w:p>
    <w:p>
      <w:pPr>
        <w:pStyle w:val="References"/>
      </w:pPr>
      <w:r>
        <w:t xml:space="preserve">[5] Adamson AS, Smith A. Machine learning and health care disparities in dermatology. JAMA Dermatology. 2018;154(11):1247-1248.</w:t>
      </w:r>
    </w:p>
    <w:p>
      <w:pPr>
        <w:pStyle w:val="References"/>
      </w:pPr>
      <w:r>
        <w:t xml:space="preserve">[6] Sjoding MW, Dickson RP, Iwashyna TJ, Gay SE, Valley TS. Racial bias in pulse oximetry measurement. New England Journal of Medicine. 2020;383(25):2477-2478.</w:t>
      </w:r>
    </w:p>
    <w:p>
      <w:pPr>
        <w:pStyle w:val="References"/>
      </w:pPr>
      <w:r>
        <w:t xml:space="preserve">[7] Suresh H, Guttag J. A framework for understanding sources of harm throughout the machine learning life cycle. Proceedings of the Conference on Equity and Access in Algorithms, Mechanisms, and Optimization. 2021;1-9.</w:t>
      </w:r>
    </w:p>
    <w:p>
      <w:pPr>
        <w:pStyle w:val="References"/>
      </w:pPr>
      <w:r>
        <w:t xml:space="preserve">[8] Rajkomar A, Hardt M, Howell MD, Corrado G, Chin MH. Ensuring fairness in machine learning to advance health equity. Annals of Internal Medicine. 2018;169(12):866-872.</w:t>
      </w:r>
    </w:p>
    <w:p>
      <w:pPr>
        <w:pStyle w:val="References"/>
      </w:pPr>
      <w:r>
        <w:t xml:space="preserve">[9] Chouldechova A. Fair prediction with disparate impact: a study of bias in recidivism prediction instruments. Big Data. 2017;5(2):153-163.</w:t>
      </w:r>
    </w:p>
    <w:p>
      <w:pPr>
        <w:pStyle w:val="References"/>
      </w:pPr>
      <w:r>
        <w:t xml:space="preserve">[10] Bellamy RKE, Dey K, Hind M, et al. AI Fairness 360: an extensible toolkit for detecting and mitigating algorithmic bias. IBM Journal of Research and Development. 2019;63(4/5):1-15.</w:t>
      </w:r>
    </w:p>
    <w:p>
      <w:pPr>
        <w:pStyle w:val="References"/>
      </w:pPr>
      <w:r>
        <w:t xml:space="preserve">[11] Chen IY, Pierson E, Rose S, Joshi S, Ferryman K, Ghassemi M. Ethical machine learning in healthcare. Annual Review of Biomedical Data Science. 2021;4:123-144.</w:t>
      </w:r>
    </w:p>
    <w:p>
      <w:pPr>
        <w:pStyle w:val="References"/>
      </w:pPr>
      <w:r>
        <w:t xml:space="preserve">[12] Rudin C. Stop explaining black box machine learning models for high-stakes decisions and use interpretable models instead. Nature Machine Intelligence. 2019;1(5):206-215.</w:t>
      </w:r>
    </w:p>
    <w:p>
      <w:pPr>
        <w:pStyle w:val="References"/>
      </w:pPr>
      <w:r>
        <w:t xml:space="preserve">[13] London AJ. Artificial intelligence and black-box medical decisions: accuracy versus explainability. Hastings Center Report. 2019;49(1):15-21.</w:t>
      </w:r>
    </w:p>
    <w:p>
      <w:pPr>
        <w:pStyle w:val="References"/>
      </w:pPr>
      <w:r>
        <w:t xml:space="preserve">[14] Zech JR, Badgeley MA, Liu M, Costa AB, Titano JJ, Oermann EK. Variable generalization performance of a deep learning model to detect pneumonia in chest radiographs. PLOS Medicine. 2018;15(11):e1002683.</w:t>
      </w:r>
    </w:p>
    <w:p>
      <w:pPr>
        <w:pStyle w:val="References"/>
      </w:pPr>
      <w:r>
        <w:t xml:space="preserve">[15] Caruana R, Lou Y, Gehrke J, Koch P, Sturm M, Elhadad N. Intelligible models for healthcare: predicting pneumonia risk and hospital 30-day readmission. Proceedings of the ACM SIGKDD International Conference on Knowledge Discovery and Data Mining. 2015;1721-1730.</w:t>
      </w:r>
    </w:p>
    <w:p>
      <w:pPr>
        <w:pStyle w:val="References"/>
      </w:pPr>
      <w:r>
        <w:t xml:space="preserve">[16] Lundberg SM, Lee SI. A unified approach to interpreting model predictions. Advances in Neural Information Processing Systems. 2017;30:4765-4774.</w:t>
      </w:r>
    </w:p>
    <w:p>
      <w:pPr>
        <w:pStyle w:val="References"/>
      </w:pPr>
      <w:r>
        <w:t xml:space="preserve">[17] Ghassemi M, Oakden-Rayner L, Beam AL. The false hope of current approaches to explainable artificial intelligence in health care. Lancet Digital Health. 2021;3(11):e745-e750.</w:t>
      </w:r>
    </w:p>
    <w:p>
      <w:pPr>
        <w:pStyle w:val="References"/>
      </w:pPr>
      <w:r>
        <w:t xml:space="preserve">[18] Gaube S, Suresh H, Raue M, et al. Do as AI say: susceptibility in deployment of clinical decision-aids. NPJ Digital Medicine. 2021;4(1):31.</w:t>
      </w:r>
    </w:p>
    <w:p>
      <w:pPr>
        <w:pStyle w:val="References"/>
      </w:pPr>
      <w:r>
        <w:t xml:space="preserve">[19] Amann J, Blasimme A, Vayena E, Frey D, Madai VI. Explainability for artificial intelligence in healthcare: a multidisciplinary perspective. BMC Medical Informatics and Decision Making. 2020;20(1):310.</w:t>
      </w:r>
    </w:p>
    <w:p>
      <w:pPr>
        <w:pStyle w:val="References"/>
      </w:pPr>
      <w:r>
        <w:t xml:space="preserve">[20] Tonekaboni S, Joshi S, McCradden MD, Goldenberg A. What clinicians want: contextualizing explainable machine learning for clinical end use. Proceedings of Machine Learning for Healthcare. 2019;106:359-380.</w:t>
      </w:r>
    </w:p>
    <w:p>
      <w:pPr>
        <w:pStyle w:val="References"/>
      </w:pPr>
      <w:r>
        <w:t xml:space="preserve">[21] Price WN, Cohen IG. Privacy in the age of medical big data. Nature Medicine. 2019;25(1):37-43.</w:t>
      </w:r>
    </w:p>
    <w:p>
      <w:pPr>
        <w:pStyle w:val="References"/>
      </w:pPr>
      <w:r>
        <w:t xml:space="preserve">[22] Rocher L, Hendrickx JM, de Montjoye YA. Estimating the success of re-identifications in incomplete datasets using generative models. Nature Communications. 2019;10(1):3069.</w:t>
      </w:r>
    </w:p>
    <w:p>
      <w:pPr>
        <w:pStyle w:val="References"/>
      </w:pPr>
      <w:r>
        <w:t xml:space="preserve">[23] Gymrek M, McGuire AL, Golan D, Halperin E, Erlich Y. Identifying personal genomes by surname inference. Science. 2013;339(6117):321-324.</w:t>
      </w:r>
    </w:p>
    <w:p>
      <w:pPr>
        <w:pStyle w:val="References"/>
      </w:pPr>
      <w:r>
        <w:t xml:space="preserve">[24] Rieke N, Hancox J, Li W, et al. The future of digital health with federated learning. NPJ Digital Medicine. 2020;3(1):119.</w:t>
      </w:r>
    </w:p>
    <w:p>
      <w:pPr>
        <w:pStyle w:val="References"/>
      </w:pPr>
      <w:r>
        <w:t xml:space="preserve">[25] Dwork C, Roth A. The algorithmic foundations of differential privacy. Foundations and Trends in Theoretical Computer Science. 2014;9(3-4):211-407.</w:t>
      </w:r>
    </w:p>
    <w:p>
      <w:pPr>
        <w:pStyle w:val="References"/>
      </w:pPr>
      <w:r>
        <w:t xml:space="preserve">[26] Kaissis GA, Makowski MR, Rückert D, Braren RF. Secure, privacy-preserving and federated machine learning in medical imaging. Nature Machine Intelligence. 2020;2(6):305-311.</w:t>
      </w:r>
    </w:p>
    <w:p>
      <w:pPr>
        <w:pStyle w:val="References"/>
      </w:pPr>
      <w:r>
        <w:t xml:space="preserve">[27] Chen RJ, Lu MY, Chen TY, Williamson DFK, Mahmood F. Synthetic data in machine learning for medicine and healthcare. Nature Biomedical Engineering. 2021;5(6):493-497.</w:t>
      </w:r>
    </w:p>
    <w:p>
      <w:pPr>
        <w:pStyle w:val="References"/>
      </w:pPr>
      <w:r>
        <w:t xml:space="preserve">[28] Sheller MJ, Edwards B, Reina GA, et al. Federated learning in medicine: facilitating multi-institutional collaborations without sharing patient data. Scientific Reports. 2020;10(1):12598.</w:t>
      </w:r>
    </w:p>
    <w:p>
      <w:pPr>
        <w:pStyle w:val="References"/>
      </w:pPr>
      <w:r>
        <w:t xml:space="preserve">[29] Vayena E, Blasimme A, Cohen IG. Machine learning in medicine: addressing ethical challenges. PLOS Medicine. 2018;15(11):e1002689.</w:t>
      </w:r>
    </w:p>
    <w:p>
      <w:pPr>
        <w:pStyle w:val="References"/>
      </w:pPr>
      <w:r>
        <w:t xml:space="preserve">[30] Cohen IG, Mello MM. Big data, big tech, and protecting patient privacy. JAMA. 2019;322(12):1141-1142.</w:t>
      </w:r>
    </w:p>
    <w:p>
      <w:pPr>
        <w:pStyle w:val="References"/>
      </w:pPr>
      <w:r>
        <w:t xml:space="preserve">[31] Ballantyne A. How should we think about clinical data ownership? Journal of Medical Ethics. 2020;46(5):289-294.</w:t>
      </w:r>
    </w:p>
    <w:p>
      <w:pPr>
        <w:pStyle w:val="References"/>
      </w:pPr>
      <w:r>
        <w:t xml:space="preserve">[32] Macrae C. Governing the safety of artificial intelligence in healthcare. BMJ Quality and Safety. 2019;28(6):495-498.</w:t>
      </w:r>
    </w:p>
    <w:p>
      <w:pPr>
        <w:pStyle w:val="References"/>
      </w:pPr>
      <w:r>
        <w:t xml:space="preserve">[33] Finlayson SG, Subbaswamy A, Singh K, et al. The clinician and dataset shift in artificial intelligence. New England Journal of Medicine. 2021;385(3):283-286.</w:t>
      </w:r>
    </w:p>
    <w:p>
      <w:pPr>
        <w:pStyle w:val="References"/>
      </w:pPr>
      <w:r>
        <w:t xml:space="preserve">[34] Lenert MC, Matheny ME, Walsh CG. Prognostic models will be victims of their own success, unless. Journal of the American Medical Informatics Association. 2019;26(12):1645-1650.</w:t>
      </w:r>
    </w:p>
    <w:p>
      <w:pPr>
        <w:pStyle w:val="References"/>
      </w:pPr>
      <w:r>
        <w:t xml:space="preserve">[35] Habli I, Lawton T, Porter Z. Artificial intelligence in health care: accountability and safety. Bulletin of the World Health Organization. 2020;98(4):251-256.</w:t>
      </w:r>
    </w:p>
    <w:p>
      <w:pPr>
        <w:pStyle w:val="References"/>
      </w:pPr>
      <w:r>
        <w:t xml:space="preserve">[36] Feng J, Phillips RV, Malenica I, et al. Clinical artificial intelligence quality improvement: towards continual monitoring and updating of AI algorithms. NPJ Digital Medicine. 2022;5(1):66.</w:t>
      </w:r>
    </w:p>
    <w:p>
      <w:pPr>
        <w:pStyle w:val="References"/>
      </w:pPr>
      <w:r>
        <w:t xml:space="preserve">[37] Sujan M, Furniss D, Grundy K, et al. Human factors challenges for the safe use of artificial intelligence in patient care. BMJ Health and Care Informatics. 2019;26(1):e100081.</w:t>
      </w:r>
    </w:p>
    <w:p>
      <w:pPr>
        <w:pStyle w:val="References"/>
      </w:pPr>
      <w:r>
        <w:t xml:space="preserve">[38] McCradden MD, Joshi S, Anderson JA, Mazwi M, Goldenberg A, Zlotnik Shaul R. Patient safety and quality improvement: ethical principles for a regulatory approach to bias in healthcare machine learning. Journal of the American Medical Informatics Association. 2020;27(12):2024-2027.</w:t>
      </w:r>
    </w:p>
    <w:p>
      <w:pPr>
        <w:pStyle w:val="References"/>
      </w:pPr>
      <w:r>
        <w:t xml:space="preserve">[39] Gerke S, Minssen T, Cohen G. Ethical and legal challenges of artificial intelligence-driven healthcare. In: Artificial Intelligence in Healthcare. Academic Press; 2020:295-336.</w:t>
      </w:r>
    </w:p>
    <w:p>
      <w:pPr>
        <w:pStyle w:val="References"/>
      </w:pPr>
      <w:r>
        <w:t xml:space="preserve">[40] Harvey HB, Gowda V. How the FDA regulates AI. Academic Radiology. 2020;27(1):58-61.</w:t>
      </w:r>
    </w:p>
    <w:p>
      <w:pPr>
        <w:pStyle w:val="References"/>
      </w:pPr>
      <w:r>
        <w:t xml:space="preserve">[41] Benjamens S, Dhunnoo P, Meskó B. The state of artificial intelligence-based FDA-approved medical devices and algorithms: an online database. NPJ Digital Medicine. 2020;3(1):118.</w:t>
      </w:r>
    </w:p>
    <w:p>
      <w:pPr>
        <w:pStyle w:val="References"/>
      </w:pPr>
      <w:r>
        <w:t xml:space="preserve">[42] Muehlematter UJ, Daniore P, Vokinger KN. Approval of artificial intelligence and machine learning-based medical devices in the USA and Europe (2015-20): a comparative analysis. Lancet Digital Health. 2021;3(3):e195-e203.</w:t>
      </w:r>
    </w:p>
    <w:p>
      <w:pPr>
        <w:pStyle w:val="References"/>
      </w:pPr>
      <w:r>
        <w:t xml:space="preserve">[43] Vokinger KN, Feuerriegel S, Kesselheim AS. Continual learning in medical devices: FDA's action plan and beyond. Lancet Digital Health. 2021;3(6):e337-e338.</w:t>
      </w:r>
    </w:p>
    <w:p>
      <w:pPr>
        <w:pStyle w:val="References"/>
      </w:pPr>
      <w:r>
        <w:t xml:space="preserve">[44] Larson DB, Harvey H, Rubin DL, Irani N, Tse JR, Langlotz CP. Regulatory frameworks for development and evaluation of artificial intelligence-based diagnostic imaging algorithms. Journal of the American College of Radiology. 2021;18(3):413-424.</w:t>
      </w:r>
    </w:p>
    <w:p>
      <w:pPr>
        <w:pStyle w:val="References"/>
      </w:pPr>
      <w:r>
        <w:t xml:space="preserve">[45] Kelly CJ, Karthikesalingam A, Suleyman M, Corrado G, King D. Key challenges for delivering clinical impact with artificial intelligence. BMC Medicine. 2019;17(1):195.</w:t>
      </w:r>
    </w:p>
    <w:p>
      <w:pPr>
        <w:pStyle w:val="References"/>
      </w:pPr>
      <w:r>
        <w:t xml:space="preserve">[46] Jobin A, Ienca M, Vayena E. The global landscape of AI ethics guidelines. Nature Machine Intelligence. 2019;1(9):389-399.</w:t>
      </w:r>
    </w:p>
    <w:p>
      <w:pPr>
        <w:pStyle w:val="References"/>
      </w:pPr>
      <w:r>
        <w:t xml:space="preserve">[47] World Health Organization. Ethics and governance of artificial intelligence for health: WHO guidance. Geneva: World Health Organization; 2021.</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Image">
    <w:name w:val="Figure Image"/>
    <w:basedOn w:val="Normal"/>
    <w:pPr>
      <w:jc w:val="center"/>
      <w:spacing w:before="180" w:after="40"/>
    </w:pPr>
  </w:style>
  <w:style w:type="paragraph" w:styleId="FigureCaption">
    <w:name w:val="Figure Caption"/>
    <w:basedOn w:val="Normal"/>
    <w:pPr>
      <w:jc w:val="center"/>
      <w:spacing w:before="40" w:after="240"/>
    </w:pPr>
    <w:rPr>
      <w:i/>
      <w:sz w:val="22"/>
      <w:szCs w:val="22"/>
    </w:rPr>
  </w:style>
  <w:style w:type="paragraph" w:styleId="TableCaption">
    <w:name w:val="Table Caption"/>
    <w:basedOn w:val="Normal"/>
    <w:pPr>
      <w:spacing w:before="180" w:after="60"/>
      <w:jc w:val="left"/>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png"/>
<Relationship Id="rIdImg2" Type="http://schemas.openxmlformats.org/officeDocument/2006/relationships/image" Target="media/Figure_2.png"/>
<Relationship Id="rIdImg3" Type="http://schemas.openxmlformats.org/officeDocument/2006/relationships/image" Target="media/Figure_3.png"/>
<Relationship Id="rIdImg4" Type="http://schemas.openxmlformats.org/officeDocument/2006/relationships/image" Target="media/Figure_4.png"/>
</Relationships>
</file>