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pPr>
      <w:r>
        <w:rPr>
          <w:b/>
          <w:sz w:val="32"/>
          <w:szCs w:val="32"/>
        </w:rPr>
        <w:t xml:space="preserve">AI-Driven Resource Allocation in Vehicular Networks</w:t>
      </w:r>
    </w:p>
    <w:p>
      <w:r>
        <w:rPr>
          <w:sz w:val="22"/>
          <w:szCs w:val="22"/>
        </w:rPr>
        <w:t xml:space="preserve"/>
      </w:r>
    </w:p>
    <w:p>
      <w:pPr>
        <w:pStyle w:val="Heading2"/>
      </w:pPr>
      <w:r>
        <w:rPr>
          <w:b/>
          <w:sz w:val="28"/>
          <w:szCs w:val="28"/>
        </w:rPr>
        <w:t xml:space="preserve">Abstract</w:t>
      </w:r>
    </w:p>
    <w:p>
      <w:r>
        <w:rPr>
          <w:sz w:val="22"/>
          <w:szCs w:val="22"/>
        </w:rPr>
        <w:t xml:space="preserve">The rapid proliferation of connected and autonomous vehicles has created unprecedented demands on vehicular communication networks, necessitating intelligent and adaptive resource allocation strategies. Traditional optimization-based approaches struggle to cope with the highly dynamic nature of vehicular environments characterized by rapid topology changes, heterogeneous quality-of-service requirements, and stringent latency constraints. Artificial intelligence, particularly machine learning, deep learning, and reinforcement learning, has emerged as a transformative paradigm for addressing these challenges by enabling data-driven, adaptive, and autonomous resource management. This chapter provides a comprehensive examination of AI-driven resource allocation in vehicular networks, encompassing the fundamental architecture of vehicular communication systems, conventional resource management approaches and their limitations, and the spectrum of AI techniques applied to spectrum, power, computing, and communication resource optimization. We discuss multi-agent and federated intelligence frameworks for cooperative and privacy-preserving resource allocation, edge computing integration for joint communication-computation optimization, and applications in intelligent transportation systems including autonomous driving, platooning, and emergency communications. Performance evaluation methodologies, security considerations, and future research directions encompassing 6G technologies, intelligent reflecting surfaces, digital twins, and explainable AI are thoroughly analyzed. This chapter serves as a comprehensive reference for researchers and practitioners working at the intersection of artificial intelligence and vehicular network resource management.</w:t>
      </w:r>
    </w:p>
    <w:p>
      <w:r>
        <w:rPr>
          <w:sz w:val="22"/>
          <w:szCs w:val="22"/>
        </w:rPr>
        <w:t xml:space="preserve"/>
      </w:r>
    </w:p>
    <w:p>
      <w:r>
        <w:rPr>
          <w:b/>
          <w:sz w:val="22"/>
          <w:szCs w:val="22"/>
        </w:rPr>
        <w:t xml:space="preserve">Keywords: Vehicular networks, resource allocation, artificial intelligence, deep reinforcement learning, vehicle-to-everything (V2X), edge computing, spectrum management, federated learning, autonomous driving, intelligent transportation systems</w:t>
      </w:r>
    </w:p>
    <w:p>
      <w:r>
        <w:rPr>
          <w:sz w:val="22"/>
          <w:szCs w:val="22"/>
        </w:rPr>
        <w:t xml:space="preserve"/>
      </w:r>
    </w:p>
    <w:p>
      <w:pPr>
        <w:pStyle w:val="Heading1"/>
      </w:pPr>
      <w:r>
        <w:rPr>
          <w:b/>
          <w:sz w:val="32"/>
          <w:szCs w:val="32"/>
        </w:rPr>
        <w:t xml:space="preserve">1. Fundamentals of Resource Allocation in Vehicular Networks</w:t>
      </w:r>
    </w:p>
    <w:p>
      <w:pPr>
        <w:pStyle w:val="Heading2"/>
      </w:pPr>
      <w:r>
        <w:rPr>
          <w:b/>
          <w:sz w:val="28"/>
          <w:szCs w:val="28"/>
        </w:rPr>
        <w:t xml:space="preserve">1.1 Architecture and Characteristics of Vehicular Networks</w:t>
      </w:r>
    </w:p>
    <w:p>
      <w:r>
        <w:rPr>
          <w:sz w:val="22"/>
          <w:szCs w:val="22"/>
        </w:rPr>
        <w:t xml:space="preserve">Vehicular networks represent a critical component of modern intelligent transportation systems, enabling seamless communication among vehicles, infrastructure, and other road users. The evolution from early vehicular ad hoc networks (VANETs) to contemporary cellular vehicle-to-everything (C-V2X) systems reflects the growing complexity and capability requirements of vehicular communication [1]. Modern vehicular networks operate within a multi-layered architecture that supports diverse communication paradigms including vehicle-to-vehicle (V2V), vehicle-to-infrastructure (V2I), vehicle-to-network (V2N), and vehicle-to-pedestrian (V2P) modes [2]. Each communication mode serves distinct purposes: V2V enables cooperative awareness and collision avoidance between nearby vehicles; V2I facilitates interaction with roadside units (RSUs) and traffic management systems; V2N provides connectivity to cloud services and remote applications; and V2P ensures safety for vulnerable road users [3].</w:t>
      </w:r>
    </w:p>
    <w:p>
      <w:r>
        <w:rPr>
          <w:sz w:val="22"/>
          <w:szCs w:val="22"/>
        </w:rPr>
        <w:t xml:space="preserve">The historical progression of vehicular communication standards illustrates the increasing sophistication of these networks. Early DSRC-based systems utilizing IEEE 802.11p provided basic safety messaging capabilities with limited throughput and reliability guarantees. The transition to LTE-V2X introduced cellular-quality communication with managed interference and improved coverage, while maintaining backward compatibility with existing cellular infrastructure. The current generation of C-V2X systems, based on 5G NR sidelink, offers dramatically enhanced capabilities including support for advanced use cases such as cooperative perception, remote driving, and vehicle platooning that demand multi-gigabit throughput and sub-millisecond latency [4].</w:t>
      </w:r>
    </w:p>
    <w:p>
      <w:r>
        <w:rPr>
          <w:sz w:val="22"/>
          <w:szCs w:val="22"/>
        </w:rPr>
        <w:t xml:space="preserve">The integration of 5G New Radio (NR) and emerging 6G technologies has fundamentally transformed vehicular network architectures. 5G NR introduces two operational modes for V2X communication: Mode 1, where the base station manages resource allocation centrally, and Mode 2, where vehicles autonomously select resources through sensing-based mechanisms [4]. The architectural framework, as illustrated in Figure 1, encompasses multiple layers including the physical communication layer, the network management layer, and the application layer. These layers interact to support the diverse and demanding requirements of vehicular applications ranging from basic safety messages to high-bandwidth infotainment services [5]. The physical layer handles modulation, coding, and transmission, while the network management layer orchestrates resource allocation, interference coordination, and quality-of-service provisioning across the heterogeneous vehicular environment.</w:t>
      </w:r>
    </w:p>
    <w:p>
      <w:r>
        <w:rPr>
          <w:sz w:val="22"/>
          <w:szCs w:val="22"/>
        </w:rPr>
        <w:t xml:space="preserve"/>
      </w:r>
    </w:p>
    <w:p>
      <w:pPr>
        <w:jc w:val="center"/>
      </w:pPr>
      <w:r>
        <w:drawing>
          <wp:inline distT="0" distB="0" distL="0" distR="0">
            <wp:extent cx="5000000" cy="3200000"/>
            <wp:docPr id="4" name="Picture 4"/>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01"/>
                    <a:stretch>
                      <a:fillRect/>
                    </a:stretch>
                  </pic:blipFill>
                  <pic:spPr>
                    <a:xfrm>
                      <a:off x="0" y="0"/>
                      <a:ext cx="5000000" cy="3200000"/>
                    </a:xfrm>
                    <a:prstGeom prst="rect">
                      <a:avLst/>
                    </a:prstGeom>
                  </pic:spPr>
                </pic:pic>
              </a:graphicData>
            </a:graphic>
          </wp:inline>
        </w:drawing>
      </w:r>
    </w:p>
    <w:p>
      <w:r>
        <w:rPr>
          <w:b/>
          <w:sz w:val="22"/>
          <w:szCs w:val="22"/>
        </w:rPr>
        <w:t xml:space="preserve">Figure 1. Vehicular network architecture illustrating V2V, V2I, V2N, and V2P communication modes with roadside units, cloud connectivity, and pedestrian interaction.</w:t>
      </w:r>
    </w:p>
    <w:p>
      <w:r>
        <w:rPr>
          <w:sz w:val="22"/>
          <w:szCs w:val="22"/>
        </w:rPr>
        <w:t xml:space="preserve"/>
      </w:r>
    </w:p>
    <w:p>
      <w:r>
        <w:rPr>
          <w:sz w:val="22"/>
          <w:szCs w:val="22"/>
        </w:rPr>
        <w:t xml:space="preserve">The defining characteristics of vehicular networks pose unique challenges for resource allocation. High mobility results in rapidly changing channel conditions and network topology, with relative velocities between communicating vehicles potentially exceeding 200 km/h on highways [6]. This mobility induces severe Doppler effects, frequent handovers, and volatile link quality. The network topology is inherently dynamic and unpredictable, with vehicle density varying significantly between urban intersections and rural highways, and between peak and off-peak traffic periods [7]. Furthermore, vehicular networks must support heterogeneous connectivity requirements spanning from periodic basic safety messages requiring ultra-reliable low-latency communication to bandwidth-intensive cooperative perception and autonomous driving applications [8].</w:t>
      </w:r>
    </w:p>
    <w:p>
      <w:r>
        <w:rPr>
          <w:sz w:val="22"/>
          <w:szCs w:val="22"/>
        </w:rPr>
        <w:t xml:space="preserve">The channel propagation characteristics in vehicular environments differ substantially from traditional cellular or indoor wireless scenarios. Vehicular channels exhibit rapid fading due to multipath propagation from surrounding vehicles, buildings, and road infrastructure, with coherence times that may be as short as one millisecond at highway speeds. The path loss models must account for line-of-sight blockage by large vehicles such as trucks and buses, intersection geometry effects, and the varying antenna heights of different vehicle types. These propagation characteristics directly impact resource allocation decisions, as channel quality prediction becomes substantially more difficult in the presence of rapid temporal and spatial variations. The heterogeneous nature of vehicular traffic, combining passenger cars, commercial vehicles, motorcycles, and pedestrians with diverse communication capabilities and requirements, adds further complexity to the resource management problem [6].</w:t>
      </w:r>
    </w:p>
    <w:p>
      <w:pPr>
        <w:pStyle w:val="Heading2"/>
      </w:pPr>
      <w:r>
        <w:rPr>
          <w:b/>
          <w:sz w:val="28"/>
          <w:szCs w:val="28"/>
        </w:rPr>
        <w:t xml:space="preserve">1.2 Resource Management Challenges</w:t>
      </w:r>
    </w:p>
    <w:p>
      <w:r>
        <w:rPr>
          <w:sz w:val="22"/>
          <w:szCs w:val="22"/>
        </w:rPr>
        <w:t xml:space="preserve">Resource management in vehicular networks encompasses the allocation and optimization of multiple resource dimensions including radio spectrum, transmission power, computational capacity, bandwidth, and communication time slots. The challenge is compounded by the coexistence of diverse traffic types with vastly different quality-of-service (QoS) requirements. Safety-critical messages demand end-to-end latency below 10 milliseconds with reliability exceeding 99.999 percent, while cooperative perception applications require sustained throughput exceeding 100 Mbps [9]. Table 1 summarizes the key resource types and their associated management challenges in vehicular networks.</w:t>
      </w:r>
    </w:p>
    <w:p>
      <w:r>
        <w:rPr>
          <w:sz w:val="22"/>
          <w:szCs w:val="22"/>
        </w:rPr>
        <w:t xml:space="preserve">The multi-dimensional nature of vehicular resource management creates complex interdependencies between different resource types. Spectrum allocation decisions directly influence interference levels, which in turn affect the required transmission power to maintain target signal-to-interference-plus-noise ratios. Power allocation decisions impact both the communication range and the interference footprint, affecting neighboring links' capacity. Computational resource allocation at edge servers determines whether latency-sensitive tasks can be processed within deadline constraints, which feeds back into communication resource requirements as tasks may need retransmission if processing deadlines are missed. These interdependencies make isolated optimization of individual resource dimensions suboptimal, motivating joint multi-dimensional resource allocation approaches that consider the coupling between spectrum, power, computing, and communication resources [9].</w:t>
      </w:r>
    </w:p>
    <w:p>
      <w:r>
        <w:rPr>
          <w:sz w:val="22"/>
          <w:szCs w:val="22"/>
        </w:rPr>
        <w:t xml:space="preserve"/>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2E4057"/>
          </w:tcPr>
          <w:p>
            <w:pPr>
              <w:jc w:val="center"/>
            </w:pPr>
            <w:r>
              <w:rPr>
                <w:b/>
                <w:color w:val="FFFFFF"/>
                <w:sz w:val="20"/>
              </w:rPr>
              <w:t>Resource Type</w:t>
            </w:r>
          </w:p>
        </w:tc>
        <w:tc>
          <w:tcPr>
            <w:shd w:val="clear" w:color="auto" w:fill="2E4057"/>
          </w:tcPr>
          <w:p>
            <w:pPr>
              <w:jc w:val="center"/>
            </w:pPr>
            <w:r>
              <w:rPr>
                <w:b/>
                <w:color w:val="FFFFFF"/>
                <w:sz w:val="20"/>
              </w:rPr>
              <w:t>Key Challenges</w:t>
            </w:r>
          </w:p>
        </w:tc>
        <w:tc>
          <w:tcPr>
            <w:shd w:val="clear" w:color="auto" w:fill="2E4057"/>
          </w:tcPr>
          <w:p>
            <w:pPr>
              <w:jc w:val="center"/>
            </w:pPr>
            <w:r>
              <w:rPr>
                <w:b/>
                <w:color w:val="FFFFFF"/>
                <w:sz w:val="20"/>
              </w:rPr>
              <w:t>QoS Requirements</w:t>
            </w:r>
          </w:p>
        </w:tc>
        <w:tc>
          <w:tcPr>
            <w:shd w:val="clear" w:color="auto" w:fill="2E4057"/>
          </w:tcPr>
          <w:p>
            <w:pPr>
              <w:jc w:val="center"/>
            </w:pPr>
            <w:r>
              <w:rPr>
                <w:b/>
                <w:color w:val="FFFFFF"/>
                <w:sz w:val="20"/>
              </w:rPr>
              <w:t>Optimization Objective</w:t>
            </w:r>
          </w:p>
        </w:tc>
      </w:tr>
      <w:tr>
        <w:tc>
          <w:tcPr>
            <w:shd w:val="clear" w:color="auto" w:fill="F2F6FA"/>
          </w:tcPr>
          <w:p>
            <w:pPr>
              <w:jc w:val="center"/>
            </w:pPr>
            <w:r>
              <w:rPr>
                <w:sz w:val="20"/>
              </w:rPr>
              <w:t>Radio Spectrum</w:t>
            </w:r>
          </w:p>
        </w:tc>
        <w:tc>
          <w:tcPr>
            <w:shd w:val="clear" w:color="auto" w:fill="F2F6FA"/>
          </w:tcPr>
          <w:p>
            <w:pPr>
              <w:jc w:val="center"/>
            </w:pPr>
            <w:r>
              <w:rPr>
                <w:sz w:val="20"/>
              </w:rPr>
              <w:t>Dynamic interference, hidden terminals, half-duplex constraints</w:t>
            </w:r>
          </w:p>
        </w:tc>
        <w:tc>
          <w:tcPr>
            <w:shd w:val="clear" w:color="auto" w:fill="F2F6FA"/>
          </w:tcPr>
          <w:p>
            <w:pPr>
              <w:jc w:val="center"/>
            </w:pPr>
            <w:r>
              <w:rPr>
                <w:sz w:val="20"/>
              </w:rPr>
              <w:t>&lt; 10 ms latency for safety</w:t>
            </w:r>
          </w:p>
        </w:tc>
        <w:tc>
          <w:tcPr>
            <w:shd w:val="clear" w:color="auto" w:fill="F2F6FA"/>
          </w:tcPr>
          <w:p>
            <w:pPr>
              <w:jc w:val="center"/>
            </w:pPr>
            <w:r>
              <w:rPr>
                <w:sz w:val="20"/>
              </w:rPr>
              <w:t>Maximize spectral efficiency</w:t>
            </w:r>
          </w:p>
        </w:tc>
      </w:tr>
      <w:tr>
        <w:tc>
          <w:tcPr>
            <w:shd w:val="clear" w:color="auto" w:fill="FFFFFF"/>
          </w:tcPr>
          <w:p>
            <w:pPr>
              <w:jc w:val="center"/>
            </w:pPr>
            <w:r>
              <w:rPr>
                <w:sz w:val="20"/>
              </w:rPr>
              <w:t>Transmission Power</w:t>
            </w:r>
          </w:p>
        </w:tc>
        <w:tc>
          <w:tcPr>
            <w:shd w:val="clear" w:color="auto" w:fill="FFFFFF"/>
          </w:tcPr>
          <w:p>
            <w:pPr>
              <w:jc w:val="center"/>
            </w:pPr>
            <w:r>
              <w:rPr>
                <w:sz w:val="20"/>
              </w:rPr>
              <w:t>Near-far problem, interference to cellular users</w:t>
            </w:r>
          </w:p>
        </w:tc>
        <w:tc>
          <w:tcPr>
            <w:shd w:val="clear" w:color="auto" w:fill="FFFFFF"/>
          </w:tcPr>
          <w:p>
            <w:pPr>
              <w:jc w:val="center"/>
            </w:pPr>
            <w:r>
              <w:rPr>
                <w:sz w:val="20"/>
              </w:rPr>
              <w:t>99.999% reliability</w:t>
            </w:r>
          </w:p>
        </w:tc>
        <w:tc>
          <w:tcPr>
            <w:shd w:val="clear" w:color="auto" w:fill="FFFFFF"/>
          </w:tcPr>
          <w:p>
            <w:pPr>
              <w:jc w:val="center"/>
            </w:pPr>
            <w:r>
              <w:rPr>
                <w:sz w:val="20"/>
              </w:rPr>
              <w:t>Minimize interference, maximize coverage</w:t>
            </w:r>
          </w:p>
        </w:tc>
      </w:tr>
      <w:tr>
        <w:tc>
          <w:tcPr>
            <w:shd w:val="clear" w:color="auto" w:fill="F2F6FA"/>
          </w:tcPr>
          <w:p>
            <w:pPr>
              <w:jc w:val="center"/>
            </w:pPr>
            <w:r>
              <w:rPr>
                <w:sz w:val="20"/>
              </w:rPr>
              <w:t>Computational Resources</w:t>
            </w:r>
          </w:p>
        </w:tc>
        <w:tc>
          <w:tcPr>
            <w:shd w:val="clear" w:color="auto" w:fill="F2F6FA"/>
          </w:tcPr>
          <w:p>
            <w:pPr>
              <w:jc w:val="center"/>
            </w:pPr>
            <w:r>
              <w:rPr>
                <w:sz w:val="20"/>
              </w:rPr>
              <w:t>Limited onboard processing, variable workloads</w:t>
            </w:r>
          </w:p>
        </w:tc>
        <w:tc>
          <w:tcPr>
            <w:shd w:val="clear" w:color="auto" w:fill="F2F6FA"/>
          </w:tcPr>
          <w:p>
            <w:pPr>
              <w:jc w:val="center"/>
            </w:pPr>
            <w:r>
              <w:rPr>
                <w:sz w:val="20"/>
              </w:rPr>
              <w:t>Real-time processing (&lt; 100 ms)</w:t>
            </w:r>
          </w:p>
        </w:tc>
        <w:tc>
          <w:tcPr>
            <w:shd w:val="clear" w:color="auto" w:fill="F2F6FA"/>
          </w:tcPr>
          <w:p>
            <w:pPr>
              <w:jc w:val="center"/>
            </w:pPr>
            <w:r>
              <w:rPr>
                <w:sz w:val="20"/>
              </w:rPr>
              <w:t>Balance load across edge/cloud</w:t>
            </w:r>
          </w:p>
        </w:tc>
      </w:tr>
      <w:tr>
        <w:tc>
          <w:tcPr>
            <w:shd w:val="clear" w:color="auto" w:fill="FFFFFF"/>
          </w:tcPr>
          <w:p>
            <w:pPr>
              <w:jc w:val="center"/>
            </w:pPr>
            <w:r>
              <w:rPr>
                <w:sz w:val="20"/>
              </w:rPr>
              <w:t>Bandwidth</w:t>
            </w:r>
          </w:p>
        </w:tc>
        <w:tc>
          <w:tcPr>
            <w:shd w:val="clear" w:color="auto" w:fill="FFFFFF"/>
          </w:tcPr>
          <w:p>
            <w:pPr>
              <w:jc w:val="center"/>
            </w:pPr>
            <w:r>
              <w:rPr>
                <w:sz w:val="20"/>
              </w:rPr>
              <w:t>Congestion in dense scenarios, heterogeneous demands</w:t>
            </w:r>
          </w:p>
        </w:tc>
        <w:tc>
          <w:tcPr>
            <w:shd w:val="clear" w:color="auto" w:fill="FFFFFF"/>
          </w:tcPr>
          <w:p>
            <w:pPr>
              <w:jc w:val="center"/>
            </w:pPr>
            <w:r>
              <w:rPr>
                <w:sz w:val="20"/>
              </w:rPr>
              <w:t>1-100+ Mbps depending on application</w:t>
            </w:r>
          </w:p>
        </w:tc>
        <w:tc>
          <w:tcPr>
            <w:shd w:val="clear" w:color="auto" w:fill="FFFFFF"/>
          </w:tcPr>
          <w:p>
            <w:pPr>
              <w:jc w:val="center"/>
            </w:pPr>
            <w:r>
              <w:rPr>
                <w:sz w:val="20"/>
              </w:rPr>
              <w:t>Fair allocation with priority</w:t>
            </w:r>
          </w:p>
        </w:tc>
      </w:tr>
      <w:tr>
        <w:tc>
          <w:tcPr>
            <w:shd w:val="clear" w:color="auto" w:fill="F2F6FA"/>
          </w:tcPr>
          <w:p>
            <w:pPr>
              <w:jc w:val="center"/>
            </w:pPr>
            <w:r>
              <w:rPr>
                <w:sz w:val="20"/>
              </w:rPr>
              <w:t>Communication Slots</w:t>
            </w:r>
          </w:p>
        </w:tc>
        <w:tc>
          <w:tcPr>
            <w:shd w:val="clear" w:color="auto" w:fill="F2F6FA"/>
          </w:tcPr>
          <w:p>
            <w:pPr>
              <w:jc w:val="center"/>
            </w:pPr>
            <w:r>
              <w:rPr>
                <w:sz w:val="20"/>
              </w:rPr>
              <w:t>Half-duplex, collision probability increases with density</w:t>
            </w:r>
          </w:p>
        </w:tc>
        <w:tc>
          <w:tcPr>
            <w:shd w:val="clear" w:color="auto" w:fill="F2F6FA"/>
          </w:tcPr>
          <w:p>
            <w:pPr>
              <w:jc w:val="center"/>
            </w:pPr>
            <w:r>
              <w:rPr>
                <w:sz w:val="20"/>
              </w:rPr>
              <w:t>Bounded access delay</w:t>
            </w:r>
          </w:p>
        </w:tc>
        <w:tc>
          <w:tcPr>
            <w:shd w:val="clear" w:color="auto" w:fill="F2F6FA"/>
          </w:tcPr>
          <w:p>
            <w:pPr>
              <w:jc w:val="center"/>
            </w:pPr>
            <w:r>
              <w:rPr>
                <w:sz w:val="20"/>
              </w:rPr>
              <w:t>Minimize collision probability</w:t>
            </w:r>
          </w:p>
        </w:tc>
      </w:tr>
      <w:tr>
        <w:tc>
          <w:tcPr>
            <w:shd w:val="clear" w:color="auto" w:fill="FFFFFF"/>
          </w:tcPr>
          <w:p>
            <w:pPr>
              <w:jc w:val="center"/>
            </w:pPr>
            <w:r>
              <w:rPr>
                <w:sz w:val="20"/>
              </w:rPr>
              <w:t>Caching/Storage</w:t>
            </w:r>
          </w:p>
        </w:tc>
        <w:tc>
          <w:tcPr>
            <w:shd w:val="clear" w:color="auto" w:fill="FFFFFF"/>
          </w:tcPr>
          <w:p>
            <w:pPr>
              <w:jc w:val="center"/>
            </w:pPr>
            <w:r>
              <w:rPr>
                <w:sz w:val="20"/>
              </w:rPr>
              <w:t>Limited RSU storage, content popularity dynamics</w:t>
            </w:r>
          </w:p>
        </w:tc>
        <w:tc>
          <w:tcPr>
            <w:shd w:val="clear" w:color="auto" w:fill="FFFFFF"/>
          </w:tcPr>
          <w:p>
            <w:pPr>
              <w:jc w:val="center"/>
            </w:pPr>
            <w:r>
              <w:rPr>
                <w:sz w:val="20"/>
              </w:rPr>
              <w:t>Content freshness requirements</w:t>
            </w:r>
          </w:p>
        </w:tc>
        <w:tc>
          <w:tcPr>
            <w:shd w:val="clear" w:color="auto" w:fill="FFFFFF"/>
          </w:tcPr>
          <w:p>
            <w:pPr>
              <w:jc w:val="center"/>
            </w:pPr>
            <w:r>
              <w:rPr>
                <w:sz w:val="20"/>
              </w:rPr>
              <w:t>Maximize cache hit ratio</w:t>
            </w:r>
          </w:p>
        </w:tc>
      </w:tr>
    </w:tbl>
    <w:p/>
    <w:p>
      <w:r>
        <w:rPr>
          <w:b/>
          <w:sz w:val="22"/>
          <w:szCs w:val="22"/>
        </w:rPr>
        <w:t xml:space="preserve">Table 1. Resource types, challenges, and optimization objectives in vehicular networks.</w:t>
      </w:r>
    </w:p>
    <w:p>
      <w:r>
        <w:rPr>
          <w:sz w:val="22"/>
          <w:szCs w:val="22"/>
        </w:rPr>
        <w:t xml:space="preserve"/>
      </w:r>
    </w:p>
    <w:p>
      <w:r>
        <w:rPr>
          <w:sz w:val="22"/>
          <w:szCs w:val="22"/>
        </w:rPr>
        <w:t xml:space="preserve">Interference management represents a particularly acute challenge in dense vehicular environments. When multiple vehicles transmit simultaneously on shared spectrum resources, co-channel interference can severely degrade communication performance. The problem is exacerbated by the hidden terminal effect, where vehicles outside each other's sensing range may select identical resources, leading to packet collisions at the intended receiver [10]. In urban scenarios with vehicle densities exceeding 200 vehicles per square kilometer, conventional distributed resource allocation mechanisms experience significant performance degradation due to resource collision probabilities approaching 30 to 40 percent [11].</w:t>
      </w:r>
    </w:p>
    <w:p>
      <w:r>
        <w:rPr>
          <w:sz w:val="22"/>
          <w:szCs w:val="22"/>
        </w:rPr>
        <w:t xml:space="preserve">Congestion control mechanisms must adapt to rapidly varying network loads. The channel busy ratio, which measures the fraction of time the channel is occupied, serves as a primary congestion indicator. When the channel busy ratio exceeds critical thresholds, typically around 60 to 70 percent, network performance degrades sharply due to increased interference and packet loss [12]. Energy efficiency is another critical concern, particularly for electric vehicles where communication subsystems compete with propulsion and auxiliary systems for limited battery resources [13]. Scalability requirements demand that resource allocation mechanisms maintain acceptable performance as the number of connected vehicles grows, a particularly challenging requirement given projections of hundreds of millions of connected vehicles by 2030 [14].</w:t>
      </w:r>
    </w:p>
    <w:p>
      <w:r>
        <w:rPr>
          <w:sz w:val="22"/>
          <w:szCs w:val="22"/>
        </w:rPr>
        <w:t xml:space="preserve">The temporal dynamics of resource demand in vehicular networks follow patterns that differ fundamentally from traditional cellular networks. While cellular traffic exhibits diurnal patterns with predictable peaks, vehicular resource demand is highly correlated with traffic conditions that can change abruptly due to incidents, weather events, or special events. Rush hour traffic in urban areas may suddenly create hotspots where hundreds of vehicles compete for limited resources within a small geographic area, while the same resources may be largely underutilized during off-peak periods. This spatial and temporal variability necessitates resource allocation mechanisms that can rapidly adapt to changing conditions without requiring extensive reconfiguration or manual intervention. Moreover, the safety-critical nature of many vehicular applications imposes strict availability requirements: resource allocation failures or excessive delays cannot be tolerated for applications such as emergency braking notifications or intersection collision warnings, where human lives depend on timely message delivery [12].</w:t>
      </w:r>
    </w:p>
    <w:p>
      <w:pPr>
        <w:pStyle w:val="Heading2"/>
      </w:pPr>
      <w:r>
        <w:rPr>
          <w:b/>
          <w:sz w:val="28"/>
          <w:szCs w:val="28"/>
        </w:rPr>
        <w:t xml:space="preserve">1.3 Conventional Resource Allocation Approaches</w:t>
      </w:r>
    </w:p>
    <w:p>
      <w:r>
        <w:rPr>
          <w:sz w:val="22"/>
          <w:szCs w:val="22"/>
        </w:rPr>
        <w:t xml:space="preserve">Conventional resource allocation approaches in vehicular networks can be broadly categorized into optimization-based methods, heuristic algorithms, and protocol-based mechanisms. Optimization-based approaches formulate resource allocation as mathematical programming problems, typically involving the maximization of sum-rate, spectral efficiency, or energy efficiency subject to constraints on interference, power, and QoS requirements [15]. These formulations often result in mixed-integer nonlinear programming problems that are NP-hard in general, requiring relaxation techniques or decomposition methods for tractable solutions. Common relaxation approaches include convex relaxation of integer variables, successive convex approximation for non-convex constraints, and Lagrangian duality methods that decompose the joint problem into per-user or per-resource subproblems.</w:t>
      </w:r>
    </w:p>
    <w:p>
      <w:r>
        <w:rPr>
          <w:sz w:val="22"/>
          <w:szCs w:val="22"/>
        </w:rPr>
        <w:t xml:space="preserve">Centralized resource allocation, as implemented in C-V2X Mode 1, relies on base stations possessing global channel state information to make optimal allocation decisions. While centralized approaches can achieve near-optimal resource utilization, they suffer from significant limitations in vehicular contexts. The signaling overhead required to collect and disseminate channel state information introduces latency that may exceed the coherence time of vehicular channels, particularly at high speeds [16]. Furthermore, centralized solutions create single points of failure and struggle to scale with increasing vehicle density. The computational complexity of optimal centralized allocation grows combinatorially with the number of vehicles and resource blocks, making real-time solutions infeasible for dense vehicular scenarios with hundreds of simultaneous users.</w:t>
      </w:r>
    </w:p>
    <w:p>
      <w:r>
        <w:rPr>
          <w:sz w:val="22"/>
          <w:szCs w:val="22"/>
        </w:rPr>
        <w:t xml:space="preserve">Distributed resource allocation mechanisms, exemplified by the sensing-based semi-persistent scheduling in C-V2X Mode 2, enable vehicles to autonomously select resources based on local observations. Vehicles monitor the received signal strength on candidate resources over a sensing window and exclude resources that exceed interference thresholds, selecting from the remaining candidates with uniform probability [17]. While eliminating the need for centralized coordination, these mechanisms cannot globally optimize resource utilization and are susceptible to persistent collisions between vehicles that simultaneously select identical resources. The sensing window duration represents a fundamental design trade-off: longer windows provide more accurate interference measurements but increase the delay before resource selection, while shorter windows may miss intermittent transmitters leading to collision-prone resource choices.</w:t>
      </w:r>
    </w:p>
    <w:p>
      <w:r>
        <w:rPr>
          <w:sz w:val="22"/>
          <w:szCs w:val="22"/>
        </w:rPr>
        <w:t xml:space="preserve">Heuristic approaches including genetic algorithms, particle swarm optimization, and simulated annealing have been applied to vehicular resource allocation to provide near-optimal solutions with reduced computational complexity compared to exhaustive search [18]. However, these methods typically require multiple iterations to converge and may not adapt quickly enough to the rapid changes characteristic of vehicular environments. Game-theoretic approaches model resource allocation as strategic interactions among rational vehicles, with Nash equilibria representing stable allocation outcomes. While game theory provides elegant analytical frameworks, the assumption of rational and fully informed agents may not hold in practice, and convergence to equilibria may require numerous iterations of best-response dynamics.</w:t>
      </w:r>
    </w:p>
    <w:p>
      <w:r>
        <w:rPr>
          <w:sz w:val="22"/>
          <w:szCs w:val="22"/>
        </w:rPr>
        <w:t xml:space="preserve">The fundamental limitation of all conventional approaches is their reliance on either complete or simplified models of the vehicular environment, which cannot capture the full complexity of real-world vehicular communication scenarios including correlated mobility patterns, time-varying interference, and heterogeneous application requirements [19]. Mathematical optimization assumes knowledge of channel models, traffic distributions, and interference statistics that are difficult to obtain in practice and may change rapidly. Heuristic methods often lack performance guarantees and may converge to poor local optima in complex environments. These limitations have motivated the exploration of data-driven and learning-based approaches that can adapt to complex, time-varying vehicular environments without requiring explicit environmental models.</w:t>
      </w:r>
    </w:p>
    <w:p>
      <w:pPr>
        <w:pStyle w:val="Heading1"/>
      </w:pPr>
      <w:r>
        <w:rPr>
          <w:b/>
          <w:sz w:val="32"/>
          <w:szCs w:val="32"/>
        </w:rPr>
        <w:t xml:space="preserve">2. Artificial Intelligence for Intelligent Resource Allocation</w:t>
      </w:r>
    </w:p>
    <w:p>
      <w:pPr>
        <w:pStyle w:val="Heading2"/>
      </w:pPr>
      <w:r>
        <w:rPr>
          <w:b/>
          <w:sz w:val="28"/>
          <w:szCs w:val="28"/>
        </w:rPr>
        <w:t xml:space="preserve">2.1 Machine Learning-Based Resource Management</w:t>
      </w:r>
    </w:p>
    <w:p>
      <w:r>
        <w:rPr>
          <w:sz w:val="22"/>
          <w:szCs w:val="22"/>
        </w:rPr>
        <w:t xml:space="preserve">Machine learning offers a fundamentally different approach to resource allocation by enabling systems to learn optimal strategies directly from data and experience, without requiring explicit mathematical models of the environment. Supervised learning techniques have been successfully applied to predict network states, traffic patterns, and channel conditions that inform resource allocation decisions [20]. For instance, regression models trained on historical mobility and communication data can predict future vehicle positions, link qualities, and traffic loads with sufficient accuracy to enable proactive resource reservation and allocation. Classification models can categorize network scenarios into predefined states, enabling lookup-table-based resource allocation that approximates the optimal solution for each identified scenario.</w:t>
      </w:r>
    </w:p>
    <w:p>
      <w:r>
        <w:rPr>
          <w:sz w:val="22"/>
          <w:szCs w:val="22"/>
        </w:rPr>
        <w:t xml:space="preserve">Unsupervised learning methods, particularly clustering algorithms, enable the identification of spatial and temporal patterns in vehicular networks. K-means and density-based clustering can group vehicles with similar mobility patterns and communication requirements, enabling efficient resource pooling and group-based allocation strategies [21]. Dimensionality reduction techniques such as principal component analysis help extract the most informative features from high-dimensional network state representations, reducing the complexity of subsequent allocation algorithms. Autoencoders provide nonlinear dimensionality reduction that can capture complex relationships between network parameters, creating compact representations suitable for real-time allocation decisions. Generative models, including variational autoencoders and generative adversarial networks, can synthesize realistic network scenarios for training and testing resource allocation algorithms, addressing the challenge of limited real-world data availability.</w:t>
      </w:r>
    </w:p>
    <w:p>
      <w:r>
        <w:rPr>
          <w:sz w:val="22"/>
          <w:szCs w:val="22"/>
        </w:rPr>
        <w:t xml:space="preserve">Predictive resource management leverages vehicular mobility and communication data to anticipate future resource demands and pre-allocate resources accordingly. Long short-term memory (LSTM) networks and temporal convolutional networks have demonstrated strong performance in predicting vehicular traffic flow, enabling predictive bandwidth reservation at RSUs along predicted vehicle trajectories [22]. Similarly, Gaussian process regression has been employed to predict channel quality maps, enabling vehicles to proactively select resources expected to offer favorable propagation conditions. The integration of contextual information including road topology, traffic signals, and historical mobility patterns significantly enhances prediction accuracy and consequent resource allocation performance [23].</w:t>
      </w:r>
    </w:p>
    <w:p>
      <w:r>
        <w:rPr>
          <w:sz w:val="22"/>
          <w:szCs w:val="22"/>
        </w:rPr>
        <w:t xml:space="preserve">Transfer learning techniques address the challenge of deploying machine learning models across different vehicular environments. A model trained in one city's traffic conditions can be adapted to another city with limited retraining data, dramatically reducing the data collection and training overhead for new deployments. Domain adaptation methods align the feature distributions between source and target environments, enabling resource allocation models to generalize across geographic regions, traffic conditions, and network configurations. As shown in Figure 2, the AI/ML framework for vehicular resource allocation operates across multiple layers, from physical network observation through data processing and AI decision-making to application-level resource delivery. This layered architecture enables modular design where different ML techniques can be employed at each layer, with supervised learning for state prediction, unsupervised learning for pattern discovery, and reinforcement learning for sequential decision-making.</w:t>
      </w:r>
    </w:p>
    <w:p>
      <w:r>
        <w:rPr>
          <w:sz w:val="22"/>
          <w:szCs w:val="22"/>
        </w:rPr>
        <w:t xml:space="preserve"/>
      </w:r>
    </w:p>
    <w:p>
      <w:pPr>
        <w:jc w:val="center"/>
      </w:pPr>
      <w:r>
        <w:drawing>
          <wp:inline distT="0" distB="0" distL="0" distR="0">
            <wp:extent cx="5000000" cy="3200000"/>
            <wp:docPr id="4" name="Picture 4"/>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02"/>
                    <a:stretch>
                      <a:fillRect/>
                    </a:stretch>
                  </pic:blipFill>
                  <pic:spPr>
                    <a:xfrm>
                      <a:off x="0" y="0"/>
                      <a:ext cx="5000000" cy="3200000"/>
                    </a:xfrm>
                    <a:prstGeom prst="rect">
                      <a:avLst/>
                    </a:prstGeom>
                  </pic:spPr>
                </pic:pic>
              </a:graphicData>
            </a:graphic>
          </wp:inline>
        </w:drawing>
      </w:r>
    </w:p>
    <w:p>
      <w:r>
        <w:rPr>
          <w:b/>
          <w:sz w:val="22"/>
          <w:szCs w:val="22"/>
        </w:rPr>
        <w:t xml:space="preserve">Figure 2. Multi-layered AI/ML framework for intelligent resource allocation in vehicular networks, showing the data flow from physical layer observations through processing and AI decision layers to application delivery.</w:t>
      </w:r>
    </w:p>
    <w:p>
      <w:r>
        <w:rPr>
          <w:sz w:val="22"/>
          <w:szCs w:val="22"/>
        </w:rPr>
        <w:t xml:space="preserve"/>
      </w:r>
    </w:p>
    <w:p>
      <w:pPr>
        <w:pStyle w:val="Heading2"/>
      </w:pPr>
      <w:r>
        <w:rPr>
          <w:b/>
          <w:sz w:val="28"/>
          <w:szCs w:val="28"/>
        </w:rPr>
        <w:t xml:space="preserve">2.2 Deep Learning and Reinforcement Learning Approaches</w:t>
      </w:r>
    </w:p>
    <w:p>
      <w:r>
        <w:rPr>
          <w:sz w:val="22"/>
          <w:szCs w:val="22"/>
        </w:rPr>
        <w:t xml:space="preserve">Deep learning has emerged as a powerful tool for resource allocation in vehicular networks, capable of approximating complex mappings between network states and optimal resource configurations. Deep neural networks can process raw channel measurements, vehicle locations, and traffic information to directly output resource allocation decisions, effectively learning the implicit optimization landscape from data [24]. Convolutional neural networks have been applied to spatial resource allocation problems, treating the vehicular network as a two-dimensional image where spatial patterns of interference and demand can be efficiently extracted. Recurrent neural networks, particularly LSTM and gated recurrent unit architectures, capture temporal dependencies in network state evolution, enabling allocation decisions that account for predicted future states rather than only current observations.</w:t>
      </w:r>
    </w:p>
    <w:p>
      <w:r>
        <w:rPr>
          <w:sz w:val="22"/>
          <w:szCs w:val="22"/>
        </w:rPr>
        <w:t xml:space="preserve">Reinforcement learning (RL) provides a natural framework for resource allocation in dynamic vehicular environments, as it enables agents to learn optimal sequential decision-making policies through interaction with the environment. In the RL formulation, vehicles or network controllers act as agents that observe the network state, take resource allocation actions, and receive rewards reflecting communication performance metrics such as throughput, latency, and reliability [25]. Q-learning and its variants have been applied to discrete resource allocation problems including channel selection and time-slot assignment, demonstrating convergence to near-optimal policies in stationary environments. The state representation typically includes channel quality indicators, interference measurements, queue lengths, and vehicle positions, while actions correspond to resource selection decisions such as which frequency channel to use, what power level to transmit at, and which modulation and coding scheme to employ.</w:t>
      </w:r>
    </w:p>
    <w:p>
      <w:r>
        <w:rPr>
          <w:sz w:val="22"/>
          <w:szCs w:val="22"/>
        </w:rPr>
        <w:t xml:space="preserve">Deep reinforcement learning (DRL) combines the representation power of deep neural networks with the sequential decision-making framework of reinforcement learning, enabling effective resource allocation in large-scale vehicular networks with continuous state and action spaces. Deep Q-Networks (DQN) extend tabular Q-learning to high-dimensional state spaces by approximating the Q-function with neural networks [26]. Policy gradient methods, including Proximal Policy Optimization (PPO) and Actor-Critic algorithms such as Advantage Actor-Critic (A2C) and Asynchronous Advantage Actor-Critic (A3C), directly optimize parameterized policies for continuous resource allocation decisions [27]. Deep Deterministic Policy Gradient (DDPG) and Twin Delayed DDPG (TD3) have proven particularly effective for joint power control and spectrum allocation in vehicular networks, where actions correspond to continuous power levels and bandwidth assignments [28].</w:t>
      </w:r>
    </w:p>
    <w:p>
      <w:r>
        <w:rPr>
          <w:sz w:val="22"/>
          <w:szCs w:val="22"/>
        </w:rPr>
        <w:t xml:space="preserve">The training of DRL agents for vehicular resource allocation presents unique challenges related to sample efficiency, stability, and generalization. Experience replay buffers store past transitions and enable learning from historical experience, improving sample efficiency in environments where data collection is expensive. Prioritized experience replay further enhances learning by sampling transitions with high temporal difference errors more frequently, focusing learning on the most informative experiences. Curriculum learning strategies gradually increase environment complexity during training, helping agents develop fundamental resource allocation skills before facing the full complexity of dense vehicular scenarios. The reward function design is critical for guiding DRL agents toward desired behavior: multi-objective rewards combining throughput, latency, reliability, and fairness metrics enable the learning of allocation policies that balance competing performance objectives [25].</w:t>
      </w:r>
    </w:p>
    <w:p>
      <w:r>
        <w:rPr>
          <w:sz w:val="22"/>
          <w:szCs w:val="22"/>
        </w:rPr>
        <w:t xml:space="preserve">The performance comparison of various DRL algorithms for vehicular resource allocation is presented in Figure 3, demonstrating the superior performance of advanced multi-agent approaches across multiple metrics including spectral efficiency, throughput, latency reduction, and energy efficiency. Table 2 provides a detailed comparison of the state spaces, action spaces, key advantages, and vehicular applications of major DRL algorithms employed in vehicular resource allocation research.</w:t>
      </w:r>
    </w:p>
    <w:p>
      <w:r>
        <w:rPr>
          <w:sz w:val="22"/>
          <w:szCs w:val="22"/>
        </w:rPr>
        <w:t xml:space="preserve"/>
      </w:r>
    </w:p>
    <w:p>
      <w:pPr>
        <w:jc w:val="center"/>
      </w:pPr>
      <w:r>
        <w:drawing>
          <wp:inline distT="0" distB="0" distL="0" distR="0">
            <wp:extent cx="5000000" cy="3200000"/>
            <wp:docPr id="4" name="Picture 4"/>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03"/>
                    <a:stretch>
                      <a:fillRect/>
                    </a:stretch>
                  </pic:blipFill>
                  <pic:spPr>
                    <a:xfrm>
                      <a:off x="0" y="0"/>
                      <a:ext cx="5000000" cy="3200000"/>
                    </a:xfrm>
                    <a:prstGeom prst="rect">
                      <a:avLst/>
                    </a:prstGeom>
                  </pic:spPr>
                </pic:pic>
              </a:graphicData>
            </a:graphic>
          </wp:inline>
        </w:drawing>
      </w:r>
    </w:p>
    <w:p>
      <w:r>
        <w:rPr>
          <w:b/>
          <w:sz w:val="22"/>
          <w:szCs w:val="22"/>
        </w:rPr>
        <w:t xml:space="preserve">Figure 3. Performance comparison of deep reinforcement learning algorithms for vehicular resource allocation across spectral efficiency, throughput, latency reduction, and energy efficiency metrics. The proposed multi-agent approach achieves consistent improvements over baseline algorithms.</w:t>
      </w:r>
    </w:p>
    <w:p>
      <w:r>
        <w:rPr>
          <w:sz w:val="22"/>
          <w:szCs w:val="22"/>
        </w:rPr>
        <w:t xml:space="preserve"/>
      </w:r>
    </w:p>
    <w:p>
      <w:r>
        <w:rPr>
          <w:sz w:val="22"/>
          <w:szCs w:val="22"/>
        </w:rPr>
        <w:t xml:space="preserve"/>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2E4057"/>
          </w:tcPr>
          <w:p>
            <w:pPr>
              <w:jc w:val="center"/>
            </w:pPr>
            <w:r>
              <w:rPr>
                <w:b/>
                <w:color w:val="FFFFFF"/>
                <w:sz w:val="20"/>
              </w:rPr>
              <w:t>Algorithm</w:t>
            </w:r>
          </w:p>
        </w:tc>
        <w:tc>
          <w:tcPr>
            <w:shd w:val="clear" w:color="auto" w:fill="2E4057"/>
          </w:tcPr>
          <w:p>
            <w:pPr>
              <w:jc w:val="center"/>
            </w:pPr>
            <w:r>
              <w:rPr>
                <w:b/>
                <w:color w:val="FFFFFF"/>
                <w:sz w:val="20"/>
              </w:rPr>
              <w:t>State Space</w:t>
            </w:r>
          </w:p>
        </w:tc>
        <w:tc>
          <w:tcPr>
            <w:shd w:val="clear" w:color="auto" w:fill="2E4057"/>
          </w:tcPr>
          <w:p>
            <w:pPr>
              <w:jc w:val="center"/>
            </w:pPr>
            <w:r>
              <w:rPr>
                <w:b/>
                <w:color w:val="FFFFFF"/>
                <w:sz w:val="20"/>
              </w:rPr>
              <w:t>Action Space</w:t>
            </w:r>
          </w:p>
        </w:tc>
        <w:tc>
          <w:tcPr>
            <w:shd w:val="clear" w:color="auto" w:fill="2E4057"/>
          </w:tcPr>
          <w:p>
            <w:pPr>
              <w:jc w:val="center"/>
            </w:pPr>
            <w:r>
              <w:rPr>
                <w:b/>
                <w:color w:val="FFFFFF"/>
                <w:sz w:val="20"/>
              </w:rPr>
              <w:t>Key Advantage</w:t>
            </w:r>
          </w:p>
        </w:tc>
        <w:tc>
          <w:tcPr>
            <w:shd w:val="clear" w:color="auto" w:fill="2E4057"/>
          </w:tcPr>
          <w:p>
            <w:pPr>
              <w:jc w:val="center"/>
            </w:pPr>
            <w:r>
              <w:rPr>
                <w:b/>
                <w:color w:val="FFFFFF"/>
                <w:sz w:val="20"/>
              </w:rPr>
              <w:t>Vehicular Application</w:t>
            </w:r>
          </w:p>
        </w:tc>
      </w:tr>
      <w:tr>
        <w:tc>
          <w:tcPr>
            <w:shd w:val="clear" w:color="auto" w:fill="F2F6FA"/>
          </w:tcPr>
          <w:p>
            <w:pPr>
              <w:jc w:val="center"/>
            </w:pPr>
            <w:r>
              <w:rPr>
                <w:sz w:val="20"/>
              </w:rPr>
              <w:t>DQN</w:t>
            </w:r>
          </w:p>
        </w:tc>
        <w:tc>
          <w:tcPr>
            <w:shd w:val="clear" w:color="auto" w:fill="F2F6FA"/>
          </w:tcPr>
          <w:p>
            <w:pPr>
              <w:jc w:val="center"/>
            </w:pPr>
            <w:r>
              <w:rPr>
                <w:sz w:val="20"/>
              </w:rPr>
              <w:t>Discrete/Continuous</w:t>
            </w:r>
          </w:p>
        </w:tc>
        <w:tc>
          <w:tcPr>
            <w:shd w:val="clear" w:color="auto" w:fill="F2F6FA"/>
          </w:tcPr>
          <w:p>
            <w:pPr>
              <w:jc w:val="center"/>
            </w:pPr>
            <w:r>
              <w:rPr>
                <w:sz w:val="20"/>
              </w:rPr>
              <w:t>Discrete</w:t>
            </w:r>
          </w:p>
        </w:tc>
        <w:tc>
          <w:tcPr>
            <w:shd w:val="clear" w:color="auto" w:fill="F2F6FA"/>
          </w:tcPr>
          <w:p>
            <w:pPr>
              <w:jc w:val="center"/>
            </w:pPr>
            <w:r>
              <w:rPr>
                <w:sz w:val="20"/>
              </w:rPr>
              <w:t>Handles large state spaces</w:t>
            </w:r>
          </w:p>
        </w:tc>
        <w:tc>
          <w:tcPr>
            <w:shd w:val="clear" w:color="auto" w:fill="F2F6FA"/>
          </w:tcPr>
          <w:p>
            <w:pPr>
              <w:jc w:val="center"/>
            </w:pPr>
            <w:r>
              <w:rPr>
                <w:sz w:val="20"/>
              </w:rPr>
              <w:t>Channel selection, mode selection</w:t>
            </w:r>
          </w:p>
        </w:tc>
      </w:tr>
      <w:tr>
        <w:tc>
          <w:tcPr>
            <w:shd w:val="clear" w:color="auto" w:fill="FFFFFF"/>
          </w:tcPr>
          <w:p>
            <w:pPr>
              <w:jc w:val="center"/>
            </w:pPr>
            <w:r>
              <w:rPr>
                <w:sz w:val="20"/>
              </w:rPr>
              <w:t>DDPG</w:t>
            </w:r>
          </w:p>
        </w:tc>
        <w:tc>
          <w:tcPr>
            <w:shd w:val="clear" w:color="auto" w:fill="FFFFFF"/>
          </w:tcPr>
          <w:p>
            <w:pPr>
              <w:jc w:val="center"/>
            </w:pPr>
            <w:r>
              <w:rPr>
                <w:sz w:val="20"/>
              </w:rPr>
              <w:t>Continuous</w:t>
            </w:r>
          </w:p>
        </w:tc>
        <w:tc>
          <w:tcPr>
            <w:shd w:val="clear" w:color="auto" w:fill="FFFFFF"/>
          </w:tcPr>
          <w:p>
            <w:pPr>
              <w:jc w:val="center"/>
            </w:pPr>
            <w:r>
              <w:rPr>
                <w:sz w:val="20"/>
              </w:rPr>
              <w:t>Continuous</w:t>
            </w:r>
          </w:p>
        </w:tc>
        <w:tc>
          <w:tcPr>
            <w:shd w:val="clear" w:color="auto" w:fill="FFFFFF"/>
          </w:tcPr>
          <w:p>
            <w:pPr>
              <w:jc w:val="center"/>
            </w:pPr>
            <w:r>
              <w:rPr>
                <w:sz w:val="20"/>
              </w:rPr>
              <w:t>Continuous power/bandwidth control</w:t>
            </w:r>
          </w:p>
        </w:tc>
        <w:tc>
          <w:tcPr>
            <w:shd w:val="clear" w:color="auto" w:fill="FFFFFF"/>
          </w:tcPr>
          <w:p>
            <w:pPr>
              <w:jc w:val="center"/>
            </w:pPr>
            <w:r>
              <w:rPr>
                <w:sz w:val="20"/>
              </w:rPr>
              <w:t>Joint power-spectrum allocation</w:t>
            </w:r>
          </w:p>
        </w:tc>
      </w:tr>
      <w:tr>
        <w:tc>
          <w:tcPr>
            <w:shd w:val="clear" w:color="auto" w:fill="F2F6FA"/>
          </w:tcPr>
          <w:p>
            <w:pPr>
              <w:jc w:val="center"/>
            </w:pPr>
            <w:r>
              <w:rPr>
                <w:sz w:val="20"/>
              </w:rPr>
              <w:t>A3C</w:t>
            </w:r>
          </w:p>
        </w:tc>
        <w:tc>
          <w:tcPr>
            <w:shd w:val="clear" w:color="auto" w:fill="F2F6FA"/>
          </w:tcPr>
          <w:p>
            <w:pPr>
              <w:jc w:val="center"/>
            </w:pPr>
            <w:r>
              <w:rPr>
                <w:sz w:val="20"/>
              </w:rPr>
              <w:t>Continuous</w:t>
            </w:r>
          </w:p>
        </w:tc>
        <w:tc>
          <w:tcPr>
            <w:shd w:val="clear" w:color="auto" w:fill="F2F6FA"/>
          </w:tcPr>
          <w:p>
            <w:pPr>
              <w:jc w:val="center"/>
            </w:pPr>
            <w:r>
              <w:rPr>
                <w:sz w:val="20"/>
              </w:rPr>
              <w:t>Discrete/Continuous</w:t>
            </w:r>
          </w:p>
        </w:tc>
        <w:tc>
          <w:tcPr>
            <w:shd w:val="clear" w:color="auto" w:fill="F2F6FA"/>
          </w:tcPr>
          <w:p>
            <w:pPr>
              <w:jc w:val="center"/>
            </w:pPr>
            <w:r>
              <w:rPr>
                <w:sz w:val="20"/>
              </w:rPr>
              <w:t>Parallel training, fast convergence</w:t>
            </w:r>
          </w:p>
        </w:tc>
        <w:tc>
          <w:tcPr>
            <w:shd w:val="clear" w:color="auto" w:fill="F2F6FA"/>
          </w:tcPr>
          <w:p>
            <w:pPr>
              <w:jc w:val="center"/>
            </w:pPr>
            <w:r>
              <w:rPr>
                <w:sz w:val="20"/>
              </w:rPr>
              <w:t>Distributed V2X scheduling</w:t>
            </w:r>
          </w:p>
        </w:tc>
      </w:tr>
      <w:tr>
        <w:tc>
          <w:tcPr>
            <w:shd w:val="clear" w:color="auto" w:fill="FFFFFF"/>
          </w:tcPr>
          <w:p>
            <w:pPr>
              <w:jc w:val="center"/>
            </w:pPr>
            <w:r>
              <w:rPr>
                <w:sz w:val="20"/>
              </w:rPr>
              <w:t>PPO</w:t>
            </w:r>
          </w:p>
        </w:tc>
        <w:tc>
          <w:tcPr>
            <w:shd w:val="clear" w:color="auto" w:fill="FFFFFF"/>
          </w:tcPr>
          <w:p>
            <w:pPr>
              <w:jc w:val="center"/>
            </w:pPr>
            <w:r>
              <w:rPr>
                <w:sz w:val="20"/>
              </w:rPr>
              <w:t>Continuous</w:t>
            </w:r>
          </w:p>
        </w:tc>
        <w:tc>
          <w:tcPr>
            <w:shd w:val="clear" w:color="auto" w:fill="FFFFFF"/>
          </w:tcPr>
          <w:p>
            <w:pPr>
              <w:jc w:val="center"/>
            </w:pPr>
            <w:r>
              <w:rPr>
                <w:sz w:val="20"/>
              </w:rPr>
              <w:t>Continuous</w:t>
            </w:r>
          </w:p>
        </w:tc>
        <w:tc>
          <w:tcPr>
            <w:shd w:val="clear" w:color="auto" w:fill="FFFFFF"/>
          </w:tcPr>
          <w:p>
            <w:pPr>
              <w:jc w:val="center"/>
            </w:pPr>
            <w:r>
              <w:rPr>
                <w:sz w:val="20"/>
              </w:rPr>
              <w:t>Stable training, sample efficient</w:t>
            </w:r>
          </w:p>
        </w:tc>
        <w:tc>
          <w:tcPr>
            <w:shd w:val="clear" w:color="auto" w:fill="FFFFFF"/>
          </w:tcPr>
          <w:p>
            <w:pPr>
              <w:jc w:val="center"/>
            </w:pPr>
            <w:r>
              <w:rPr>
                <w:sz w:val="20"/>
              </w:rPr>
              <w:t>Adaptive beamforming, power control</w:t>
            </w:r>
          </w:p>
        </w:tc>
      </w:tr>
      <w:tr>
        <w:tc>
          <w:tcPr>
            <w:shd w:val="clear" w:color="auto" w:fill="F2F6FA"/>
          </w:tcPr>
          <w:p>
            <w:pPr>
              <w:jc w:val="center"/>
            </w:pPr>
            <w:r>
              <w:rPr>
                <w:sz w:val="20"/>
              </w:rPr>
              <w:t>MADDPG</w:t>
            </w:r>
          </w:p>
        </w:tc>
        <w:tc>
          <w:tcPr>
            <w:shd w:val="clear" w:color="auto" w:fill="F2F6FA"/>
          </w:tcPr>
          <w:p>
            <w:pPr>
              <w:jc w:val="center"/>
            </w:pPr>
            <w:r>
              <w:rPr>
                <w:sz w:val="20"/>
              </w:rPr>
              <w:t>Multi-agent continuous</w:t>
            </w:r>
          </w:p>
        </w:tc>
        <w:tc>
          <w:tcPr>
            <w:shd w:val="clear" w:color="auto" w:fill="F2F6FA"/>
          </w:tcPr>
          <w:p>
            <w:pPr>
              <w:jc w:val="center"/>
            </w:pPr>
            <w:r>
              <w:rPr>
                <w:sz w:val="20"/>
              </w:rPr>
              <w:t>Continuous per agent</w:t>
            </w:r>
          </w:p>
        </w:tc>
        <w:tc>
          <w:tcPr>
            <w:shd w:val="clear" w:color="auto" w:fill="F2F6FA"/>
          </w:tcPr>
          <w:p>
            <w:pPr>
              <w:jc w:val="center"/>
            </w:pPr>
            <w:r>
              <w:rPr>
                <w:sz w:val="20"/>
              </w:rPr>
              <w:t>Cooperative/competitive multi-agent</w:t>
            </w:r>
          </w:p>
        </w:tc>
        <w:tc>
          <w:tcPr>
            <w:shd w:val="clear" w:color="auto" w:fill="F2F6FA"/>
          </w:tcPr>
          <w:p>
            <w:pPr>
              <w:jc w:val="center"/>
            </w:pPr>
            <w:r>
              <w:rPr>
                <w:sz w:val="20"/>
              </w:rPr>
              <w:t>Multi-vehicle coordination</w:t>
            </w:r>
          </w:p>
        </w:tc>
      </w:tr>
      <w:tr>
        <w:tc>
          <w:tcPr>
            <w:shd w:val="clear" w:color="auto" w:fill="FFFFFF"/>
          </w:tcPr>
          <w:p>
            <w:pPr>
              <w:jc w:val="center"/>
            </w:pPr>
            <w:r>
              <w:rPr>
                <w:sz w:val="20"/>
              </w:rPr>
              <w:t>SAC</w:t>
            </w:r>
          </w:p>
        </w:tc>
        <w:tc>
          <w:tcPr>
            <w:shd w:val="clear" w:color="auto" w:fill="FFFFFF"/>
          </w:tcPr>
          <w:p>
            <w:pPr>
              <w:jc w:val="center"/>
            </w:pPr>
            <w:r>
              <w:rPr>
                <w:sz w:val="20"/>
              </w:rPr>
              <w:t>Continuous</w:t>
            </w:r>
          </w:p>
        </w:tc>
        <w:tc>
          <w:tcPr>
            <w:shd w:val="clear" w:color="auto" w:fill="FFFFFF"/>
          </w:tcPr>
          <w:p>
            <w:pPr>
              <w:jc w:val="center"/>
            </w:pPr>
            <w:r>
              <w:rPr>
                <w:sz w:val="20"/>
              </w:rPr>
              <w:t>Continuous</w:t>
            </w:r>
          </w:p>
        </w:tc>
        <w:tc>
          <w:tcPr>
            <w:shd w:val="clear" w:color="auto" w:fill="FFFFFF"/>
          </w:tcPr>
          <w:p>
            <w:pPr>
              <w:jc w:val="center"/>
            </w:pPr>
            <w:r>
              <w:rPr>
                <w:sz w:val="20"/>
              </w:rPr>
              <w:t>Maximum entropy, exploration</w:t>
            </w:r>
          </w:p>
        </w:tc>
        <w:tc>
          <w:tcPr>
            <w:shd w:val="clear" w:color="auto" w:fill="FFFFFF"/>
          </w:tcPr>
          <w:p>
            <w:pPr>
              <w:jc w:val="center"/>
            </w:pPr>
            <w:r>
              <w:rPr>
                <w:sz w:val="20"/>
              </w:rPr>
              <w:t>Robust allocation under uncertainty</w:t>
            </w:r>
          </w:p>
        </w:tc>
      </w:tr>
    </w:tbl>
    <w:p/>
    <w:p>
      <w:r>
        <w:rPr>
          <w:b/>
          <w:sz w:val="22"/>
          <w:szCs w:val="22"/>
        </w:rPr>
        <w:t xml:space="preserve">Table 2. Comparison of deep reinforcement learning algorithms for vehicular resource allocation.</w:t>
      </w:r>
    </w:p>
    <w:p>
      <w:r>
        <w:rPr>
          <w:sz w:val="22"/>
          <w:szCs w:val="22"/>
        </w:rPr>
        <w:t xml:space="preserve"/>
      </w:r>
    </w:p>
    <w:p>
      <w:pPr>
        <w:pStyle w:val="Heading2"/>
      </w:pPr>
      <w:r>
        <w:rPr>
          <w:b/>
          <w:sz w:val="28"/>
          <w:szCs w:val="28"/>
        </w:rPr>
        <w:t xml:space="preserve">2.3 Multi-Agent and Federated Intelligence</w:t>
      </w:r>
    </w:p>
    <w:p>
      <w:r>
        <w:rPr>
          <w:sz w:val="22"/>
          <w:szCs w:val="22"/>
        </w:rPr>
        <w:t xml:space="preserve">The distributed nature of vehicular networks makes multi-agent reinforcement learning (MARL) a natural paradigm for resource allocation. In MARL frameworks, each vehicle operates as an independent agent that learns its own resource allocation policy while considering the actions and strategies of neighboring vehicles [29]. Multi-Agent Deep Deterministic Policy Gradient (MADDPG) adopts a centralized training with decentralized execution paradigm, where agents are trained with access to global state information but execute policies based only on local observations. This approach has demonstrated significant improvements in V2V resource allocation by enabling vehicles to learn cooperative strategies that minimize mutual interference while maximizing individual communication performance [30]. The centralized training phase allows agents to develop an understanding of how their actions affect other agents, while decentralized execution ensures scalability and robustness during deployment.</w:t>
      </w:r>
    </w:p>
    <w:p>
      <w:r>
        <w:rPr>
          <w:sz w:val="22"/>
          <w:szCs w:val="22"/>
        </w:rPr>
        <w:t xml:space="preserve">The non-stationarity problem in MARL arises because each agent's optimal policy depends on the policies of other agents, which are simultaneously evolving during training. This creates a moving target problem where the environment appears non-stationary from each individual agent's perspective. Techniques to address this challenge include opponent modeling (where agents explicitly model and predict the behavior of other agents), communication protocols (allowing agents to share intentions before acting), and population-based training (maintaining diverse agent populations to improve robustness). In vehicular resource allocation, the non-stationarity is particularly severe due to vehicle mobility, which continuously changes the set of interacting agents as vehicles enter and leave each other's communication range.</w:t>
      </w:r>
    </w:p>
    <w:p>
      <w:r>
        <w:rPr>
          <w:sz w:val="22"/>
          <w:szCs w:val="22"/>
        </w:rPr>
        <w:t xml:space="preserve">Mean field game theory provides a scalable framework for multi-agent resource allocation in large-scale vehicular networks. By approximating the influence of all other agents through aggregate statistics (the mean field), individual agents can compute near-optimal policies without tracking the states and actions of every other agent [31]. This approach reduces the complexity from exponential in the number of agents to a tractable level while maintaining theoretical convergence guarantees under certain conditions. Mean field multi-agent reinforcement learning has been applied to vehicular spectrum sharing, where each vehicle's interference experience is approximated by the average resource utilization of all vehicles in its vicinity, enabling scalable learning of channel access policies in networks with hundreds of vehicles.</w:t>
      </w:r>
    </w:p>
    <w:p>
      <w:r>
        <w:rPr>
          <w:sz w:val="22"/>
          <w:szCs w:val="22"/>
        </w:rPr>
        <w:t xml:space="preserve">Federated learning enables collaborative model training across vehicles and infrastructure without sharing raw data, addressing privacy concerns inherent in centralized machine learning approaches. In federated resource allocation, vehicles train local models on their communication and mobility data, sharing only model updates (gradients or parameters) with a coordinating server [32]. The server aggregates these updates to produce a global model that benefits from the collective experience of all participating vehicles without exposing individual data. This approach is particularly valuable for vehicular networks where communication data may reveal sensitive information about driver behavior, travel patterns, and daily routines that users are reluctant to share with centralized servers.</w:t>
      </w:r>
    </w:p>
    <w:p>
      <w:r>
        <w:rPr>
          <w:sz w:val="22"/>
          <w:szCs w:val="22"/>
        </w:rPr>
        <w:t xml:space="preserve">Hierarchical federated learning architectures, where vehicles aggregate locally within RSU coverage before global aggregation at the network level, reduce communication overhead while accommodating the hierarchical structure of vehicular networks [33]. The local aggregation at RSUs captures region-specific patterns (e.g., intersection geometry, local traffic patterns) while global aggregation enables knowledge sharing across regions. Asynchronous federated learning protocols accommodate the intermittent connectivity of vehicles, allowing model updates to be submitted whenever vehicles are within RSU communication range rather than requiring synchronous participation from all vehicles.</w:t>
      </w:r>
    </w:p>
    <w:p>
      <w:r>
        <w:rPr>
          <w:sz w:val="22"/>
          <w:szCs w:val="22"/>
        </w:rPr>
        <w:t xml:space="preserve">The combination of federated learning with reinforcement learning creates federated reinforcement learning frameworks where vehicles collaboratively learn resource allocation policies while preserving data locality. Each vehicle trains a local RL agent on its interaction data and periodically shares policy parameters with the federation. This approach accelerates learning convergence by leveraging diverse experiences across vehicles while maintaining privacy and reducing communication overhead compared to centralized data collection [34]. The heterogeneity of vehicle experiences, with some vehicles encountering dense urban scenarios while others primarily drive on highways, enriches the collective learning and produces more robust allocation policies that generalize across diverse driving conditions.</w:t>
      </w:r>
    </w:p>
    <w:p>
      <w:pPr>
        <w:pStyle w:val="Heading1"/>
      </w:pPr>
      <w:r>
        <w:rPr>
          <w:b/>
          <w:sz w:val="32"/>
          <w:szCs w:val="32"/>
        </w:rPr>
        <w:t xml:space="preserve">3. AI-Enabled Multi-Dimensional Resource Optimization</w:t>
      </w:r>
    </w:p>
    <w:p>
      <w:pPr>
        <w:pStyle w:val="Heading2"/>
      </w:pPr>
      <w:r>
        <w:rPr>
          <w:b/>
          <w:sz w:val="28"/>
          <w:szCs w:val="28"/>
        </w:rPr>
        <w:t xml:space="preserve">3.1 Spectrum, Power, and Interference Management</w:t>
      </w:r>
    </w:p>
    <w:p>
      <w:r>
        <w:rPr>
          <w:sz w:val="22"/>
          <w:szCs w:val="22"/>
        </w:rPr>
        <w:t xml:space="preserve">Intelligent spectrum allocation in vehicular networks leverages AI to dynamically assign frequency resources based on real-time demand, interference conditions, and mobility patterns. Deep learning-based spectrum allocation systems process multi-dimensional inputs including received signal strength indicators, vehicle positions, velocities, and traffic load to determine optimal frequency channel assignments [35]. Cognitive radio techniques enhanced with machine learning enable vehicular networks to opportunistically access underutilized spectrum bands, increasing overall spectral efficiency while protecting primary users from harmful interference. The dynamic spectrum access paradigm is particularly relevant for vehicular networks that may operate in bands shared with other services, where AI-driven sensing and access decisions must balance spectrum utilization with regulatory compliance.</w:t>
      </w:r>
    </w:p>
    <w:p>
      <w:r>
        <w:rPr>
          <w:sz w:val="22"/>
          <w:szCs w:val="22"/>
        </w:rPr>
        <w:t xml:space="preserve">Adaptive transmit power control represents a critical component of interference management in vehicular networks. AI-driven power control algorithms learn to adjust transmission power based on local and global interference measurements, channel conditions, and QoS requirements. DRL-based power control agents can achieve near-optimal power allocation that balances the trade-off between communication range, interference to neighboring links, and energy consumption [36]. The joint optimization of spectrum and power allocation using multi-objective reinforcement learning enables simultaneous improvement of spectral efficiency, interference mitigation, and communication reliability. Multi-objective optimization approaches, including Pareto-based methods and weighted scalarization techniques, allow network operators to navigate the trade-off space between competing objectives according to their specific priorities and deployment scenarios.</w:t>
      </w:r>
    </w:p>
    <w:p>
      <w:r>
        <w:rPr>
          <w:sz w:val="22"/>
          <w:szCs w:val="22"/>
        </w:rPr>
        <w:t xml:space="preserve">Graph neural networks (GNNs) have emerged as a promising approach for modeling the interference relationships in vehicular networks. By representing the vehicular network as a graph where nodes correspond to transmitter-receiver pairs and edges represent interference coupling, GNNs can learn distributed resource allocation policies that account for the network topology and interference structure [37]. This graph-based approach naturally captures the spatial relationships critical for effective interference management and enables scalable resource allocation that generalizes across different network configurations. Message passing between graph nodes allows each vehicle to incorporate information about its neighbors' resource usage and interference contributions, enabling locally optimal decisions that collectively approach global optimality. The permutation invariance property of GNNs ensures that learned policies generalize to networks of different sizes, addressing the scalability requirement of vehicular resource allocation. Table 3 presents a detailed comparison of various AI-based spectrum and interference management techniques in terms of performance gains and complexity.</w:t>
      </w:r>
    </w:p>
    <w:p>
      <w:r>
        <w:rPr>
          <w:sz w:val="22"/>
          <w:szCs w:val="22"/>
        </w:rPr>
        <w:t xml:space="preserve"/>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2E4057"/>
          </w:tcPr>
          <w:p>
            <w:pPr>
              <w:jc w:val="center"/>
            </w:pPr>
            <w:r>
              <w:rPr>
                <w:b/>
                <w:color w:val="FFFFFF"/>
                <w:sz w:val="20"/>
              </w:rPr>
              <w:t>Technique</w:t>
            </w:r>
          </w:p>
        </w:tc>
        <w:tc>
          <w:tcPr>
            <w:shd w:val="clear" w:color="auto" w:fill="2E4057"/>
          </w:tcPr>
          <w:p>
            <w:pPr>
              <w:jc w:val="center"/>
            </w:pPr>
            <w:r>
              <w:rPr>
                <w:b/>
                <w:color w:val="FFFFFF"/>
                <w:sz w:val="20"/>
              </w:rPr>
              <w:t>Spectrum Efficiency Gain</w:t>
            </w:r>
          </w:p>
        </w:tc>
        <w:tc>
          <w:tcPr>
            <w:shd w:val="clear" w:color="auto" w:fill="2E4057"/>
          </w:tcPr>
          <w:p>
            <w:pPr>
              <w:jc w:val="center"/>
            </w:pPr>
            <w:r>
              <w:rPr>
                <w:b/>
                <w:color w:val="FFFFFF"/>
                <w:sz w:val="20"/>
              </w:rPr>
              <w:t>Interference Reduction</w:t>
            </w:r>
          </w:p>
        </w:tc>
        <w:tc>
          <w:tcPr>
            <w:shd w:val="clear" w:color="auto" w:fill="2E4057"/>
          </w:tcPr>
          <w:p>
            <w:pPr>
              <w:jc w:val="center"/>
            </w:pPr>
            <w:r>
              <w:rPr>
                <w:b/>
                <w:color w:val="FFFFFF"/>
                <w:sz w:val="20"/>
              </w:rPr>
              <w:t>Latency Impact</w:t>
            </w:r>
          </w:p>
        </w:tc>
        <w:tc>
          <w:tcPr>
            <w:shd w:val="clear" w:color="auto" w:fill="2E4057"/>
          </w:tcPr>
          <w:p>
            <w:pPr>
              <w:jc w:val="center"/>
            </w:pPr>
            <w:r>
              <w:rPr>
                <w:b/>
                <w:color w:val="FFFFFF"/>
                <w:sz w:val="20"/>
              </w:rPr>
              <w:t>Complexity</w:t>
            </w:r>
          </w:p>
        </w:tc>
      </w:tr>
      <w:tr>
        <w:tc>
          <w:tcPr>
            <w:shd w:val="clear" w:color="auto" w:fill="F2F6FA"/>
          </w:tcPr>
          <w:p>
            <w:pPr>
              <w:jc w:val="center"/>
            </w:pPr>
            <w:r>
              <w:rPr>
                <w:sz w:val="20"/>
              </w:rPr>
              <w:t>DRL Power Control</w:t>
            </w:r>
          </w:p>
        </w:tc>
        <w:tc>
          <w:tcPr>
            <w:shd w:val="clear" w:color="auto" w:fill="F2F6FA"/>
          </w:tcPr>
          <w:p>
            <w:pPr>
              <w:jc w:val="center"/>
            </w:pPr>
            <w:r>
              <w:rPr>
                <w:sz w:val="20"/>
              </w:rPr>
              <w:t>15-25%</w:t>
            </w:r>
          </w:p>
        </w:tc>
        <w:tc>
          <w:tcPr>
            <w:shd w:val="clear" w:color="auto" w:fill="F2F6FA"/>
          </w:tcPr>
          <w:p>
            <w:pPr>
              <w:jc w:val="center"/>
            </w:pPr>
            <w:r>
              <w:rPr>
                <w:sz w:val="20"/>
              </w:rPr>
              <w:t>20-35%</w:t>
            </w:r>
          </w:p>
        </w:tc>
        <w:tc>
          <w:tcPr>
            <w:shd w:val="clear" w:color="auto" w:fill="F2F6FA"/>
          </w:tcPr>
          <w:p>
            <w:pPr>
              <w:jc w:val="center"/>
            </w:pPr>
            <w:r>
              <w:rPr>
                <w:sz w:val="20"/>
              </w:rPr>
              <w:t>&lt; 5 ms additional</w:t>
            </w:r>
          </w:p>
        </w:tc>
        <w:tc>
          <w:tcPr>
            <w:shd w:val="clear" w:color="auto" w:fill="F2F6FA"/>
          </w:tcPr>
          <w:p>
            <w:pPr>
              <w:jc w:val="center"/>
            </w:pPr>
            <w:r>
              <w:rPr>
                <w:sz w:val="20"/>
              </w:rPr>
              <w:t>Medium</w:t>
            </w:r>
          </w:p>
        </w:tc>
      </w:tr>
      <w:tr>
        <w:tc>
          <w:tcPr>
            <w:shd w:val="clear" w:color="auto" w:fill="FFFFFF"/>
          </w:tcPr>
          <w:p>
            <w:pPr>
              <w:jc w:val="center"/>
            </w:pPr>
            <w:r>
              <w:rPr>
                <w:sz w:val="20"/>
              </w:rPr>
              <w:t>GNN-based Allocation</w:t>
            </w:r>
          </w:p>
        </w:tc>
        <w:tc>
          <w:tcPr>
            <w:shd w:val="clear" w:color="auto" w:fill="FFFFFF"/>
          </w:tcPr>
          <w:p>
            <w:pPr>
              <w:jc w:val="center"/>
            </w:pPr>
            <w:r>
              <w:rPr>
                <w:sz w:val="20"/>
              </w:rPr>
              <w:t>20-30%</w:t>
            </w:r>
          </w:p>
        </w:tc>
        <w:tc>
          <w:tcPr>
            <w:shd w:val="clear" w:color="auto" w:fill="FFFFFF"/>
          </w:tcPr>
          <w:p>
            <w:pPr>
              <w:jc w:val="center"/>
            </w:pPr>
            <w:r>
              <w:rPr>
                <w:sz w:val="20"/>
              </w:rPr>
              <w:t>25-40%</w:t>
            </w:r>
          </w:p>
        </w:tc>
        <w:tc>
          <w:tcPr>
            <w:shd w:val="clear" w:color="auto" w:fill="FFFFFF"/>
          </w:tcPr>
          <w:p>
            <w:pPr>
              <w:jc w:val="center"/>
            </w:pPr>
            <w:r>
              <w:rPr>
                <w:sz w:val="20"/>
              </w:rPr>
              <w:t>&lt; 3 ms additional</w:t>
            </w:r>
          </w:p>
        </w:tc>
        <w:tc>
          <w:tcPr>
            <w:shd w:val="clear" w:color="auto" w:fill="FFFFFF"/>
          </w:tcPr>
          <w:p>
            <w:pPr>
              <w:jc w:val="center"/>
            </w:pPr>
            <w:r>
              <w:rPr>
                <w:sz w:val="20"/>
              </w:rPr>
              <w:t>Medium-High</w:t>
            </w:r>
          </w:p>
        </w:tc>
      </w:tr>
      <w:tr>
        <w:tc>
          <w:tcPr>
            <w:shd w:val="clear" w:color="auto" w:fill="F2F6FA"/>
          </w:tcPr>
          <w:p>
            <w:pPr>
              <w:jc w:val="center"/>
            </w:pPr>
            <w:r>
              <w:rPr>
                <w:sz w:val="20"/>
              </w:rPr>
              <w:t>Federated Spectrum Mgmt</w:t>
            </w:r>
          </w:p>
        </w:tc>
        <w:tc>
          <w:tcPr>
            <w:shd w:val="clear" w:color="auto" w:fill="F2F6FA"/>
          </w:tcPr>
          <w:p>
            <w:pPr>
              <w:jc w:val="center"/>
            </w:pPr>
            <w:r>
              <w:rPr>
                <w:sz w:val="20"/>
              </w:rPr>
              <w:t>10-20%</w:t>
            </w:r>
          </w:p>
        </w:tc>
        <w:tc>
          <w:tcPr>
            <w:shd w:val="clear" w:color="auto" w:fill="F2F6FA"/>
          </w:tcPr>
          <w:p>
            <w:pPr>
              <w:jc w:val="center"/>
            </w:pPr>
            <w:r>
              <w:rPr>
                <w:sz w:val="20"/>
              </w:rPr>
              <w:t>15-25%</w:t>
            </w:r>
          </w:p>
        </w:tc>
        <w:tc>
          <w:tcPr>
            <w:shd w:val="clear" w:color="auto" w:fill="F2F6FA"/>
          </w:tcPr>
          <w:p>
            <w:pPr>
              <w:jc w:val="center"/>
            </w:pPr>
            <w:r>
              <w:rPr>
                <w:sz w:val="20"/>
              </w:rPr>
              <w:t>&lt; 10 ms additional</w:t>
            </w:r>
          </w:p>
        </w:tc>
        <w:tc>
          <w:tcPr>
            <w:shd w:val="clear" w:color="auto" w:fill="F2F6FA"/>
          </w:tcPr>
          <w:p>
            <w:pPr>
              <w:jc w:val="center"/>
            </w:pPr>
            <w:r>
              <w:rPr>
                <w:sz w:val="20"/>
              </w:rPr>
              <w:t>Low-Medium</w:t>
            </w:r>
          </w:p>
        </w:tc>
      </w:tr>
      <w:tr>
        <w:tc>
          <w:tcPr>
            <w:shd w:val="clear" w:color="auto" w:fill="FFFFFF"/>
          </w:tcPr>
          <w:p>
            <w:pPr>
              <w:jc w:val="center"/>
            </w:pPr>
            <w:r>
              <w:rPr>
                <w:sz w:val="20"/>
              </w:rPr>
              <w:t>Multi-Agent Coordination</w:t>
            </w:r>
          </w:p>
        </w:tc>
        <w:tc>
          <w:tcPr>
            <w:shd w:val="clear" w:color="auto" w:fill="FFFFFF"/>
          </w:tcPr>
          <w:p>
            <w:pPr>
              <w:jc w:val="center"/>
            </w:pPr>
            <w:r>
              <w:rPr>
                <w:sz w:val="20"/>
              </w:rPr>
              <w:t>25-40%</w:t>
            </w:r>
          </w:p>
        </w:tc>
        <w:tc>
          <w:tcPr>
            <w:shd w:val="clear" w:color="auto" w:fill="FFFFFF"/>
          </w:tcPr>
          <w:p>
            <w:pPr>
              <w:jc w:val="center"/>
            </w:pPr>
            <w:r>
              <w:rPr>
                <w:sz w:val="20"/>
              </w:rPr>
              <w:t>30-50%</w:t>
            </w:r>
          </w:p>
        </w:tc>
        <w:tc>
          <w:tcPr>
            <w:shd w:val="clear" w:color="auto" w:fill="FFFFFF"/>
          </w:tcPr>
          <w:p>
            <w:pPr>
              <w:jc w:val="center"/>
            </w:pPr>
            <w:r>
              <w:rPr>
                <w:sz w:val="20"/>
              </w:rPr>
              <w:t>&lt; 8 ms additional</w:t>
            </w:r>
          </w:p>
        </w:tc>
        <w:tc>
          <w:tcPr>
            <w:shd w:val="clear" w:color="auto" w:fill="FFFFFF"/>
          </w:tcPr>
          <w:p>
            <w:pPr>
              <w:jc w:val="center"/>
            </w:pPr>
            <w:r>
              <w:rPr>
                <w:sz w:val="20"/>
              </w:rPr>
              <w:t>High</w:t>
            </w:r>
          </w:p>
        </w:tc>
      </w:tr>
      <w:tr>
        <w:tc>
          <w:tcPr>
            <w:shd w:val="clear" w:color="auto" w:fill="F2F6FA"/>
          </w:tcPr>
          <w:p>
            <w:pPr>
              <w:jc w:val="center"/>
            </w:pPr>
            <w:r>
              <w:rPr>
                <w:sz w:val="20"/>
              </w:rPr>
              <w:t>Transfer Learning</w:t>
            </w:r>
          </w:p>
        </w:tc>
        <w:tc>
          <w:tcPr>
            <w:shd w:val="clear" w:color="auto" w:fill="F2F6FA"/>
          </w:tcPr>
          <w:p>
            <w:pPr>
              <w:jc w:val="center"/>
            </w:pPr>
            <w:r>
              <w:rPr>
                <w:sz w:val="20"/>
              </w:rPr>
              <w:t>12-22%</w:t>
            </w:r>
          </w:p>
        </w:tc>
        <w:tc>
          <w:tcPr>
            <w:shd w:val="clear" w:color="auto" w:fill="F2F6FA"/>
          </w:tcPr>
          <w:p>
            <w:pPr>
              <w:jc w:val="center"/>
            </w:pPr>
            <w:r>
              <w:rPr>
                <w:sz w:val="20"/>
              </w:rPr>
              <w:t>18-30%</w:t>
            </w:r>
          </w:p>
        </w:tc>
        <w:tc>
          <w:tcPr>
            <w:shd w:val="clear" w:color="auto" w:fill="F2F6FA"/>
          </w:tcPr>
          <w:p>
            <w:pPr>
              <w:jc w:val="center"/>
            </w:pPr>
            <w:r>
              <w:rPr>
                <w:sz w:val="20"/>
              </w:rPr>
              <w:t>&lt; 2 ms additional</w:t>
            </w:r>
          </w:p>
        </w:tc>
        <w:tc>
          <w:tcPr>
            <w:shd w:val="clear" w:color="auto" w:fill="F2F6FA"/>
          </w:tcPr>
          <w:p>
            <w:pPr>
              <w:jc w:val="center"/>
            </w:pPr>
            <w:r>
              <w:rPr>
                <w:sz w:val="20"/>
              </w:rPr>
              <w:t>Low</w:t>
            </w:r>
          </w:p>
        </w:tc>
      </w:tr>
      <w:tr>
        <w:tc>
          <w:tcPr>
            <w:shd w:val="clear" w:color="auto" w:fill="FFFFFF"/>
          </w:tcPr>
          <w:p>
            <w:pPr>
              <w:jc w:val="center"/>
            </w:pPr>
            <w:r>
              <w:rPr>
                <w:sz w:val="20"/>
              </w:rPr>
              <w:t>Attention-based Allocation</w:t>
            </w:r>
          </w:p>
        </w:tc>
        <w:tc>
          <w:tcPr>
            <w:shd w:val="clear" w:color="auto" w:fill="FFFFFF"/>
          </w:tcPr>
          <w:p>
            <w:pPr>
              <w:jc w:val="center"/>
            </w:pPr>
            <w:r>
              <w:rPr>
                <w:sz w:val="20"/>
              </w:rPr>
              <w:t>18-28%</w:t>
            </w:r>
          </w:p>
        </w:tc>
        <w:tc>
          <w:tcPr>
            <w:shd w:val="clear" w:color="auto" w:fill="FFFFFF"/>
          </w:tcPr>
          <w:p>
            <w:pPr>
              <w:jc w:val="center"/>
            </w:pPr>
            <w:r>
              <w:rPr>
                <w:sz w:val="20"/>
              </w:rPr>
              <w:t>22-38%</w:t>
            </w:r>
          </w:p>
        </w:tc>
        <w:tc>
          <w:tcPr>
            <w:shd w:val="clear" w:color="auto" w:fill="FFFFFF"/>
          </w:tcPr>
          <w:p>
            <w:pPr>
              <w:jc w:val="center"/>
            </w:pPr>
            <w:r>
              <w:rPr>
                <w:sz w:val="20"/>
              </w:rPr>
              <w:t>&lt; 4 ms additional</w:t>
            </w:r>
          </w:p>
        </w:tc>
        <w:tc>
          <w:tcPr>
            <w:shd w:val="clear" w:color="auto" w:fill="FFFFFF"/>
          </w:tcPr>
          <w:p>
            <w:pPr>
              <w:jc w:val="center"/>
            </w:pPr>
            <w:r>
              <w:rPr>
                <w:sz w:val="20"/>
              </w:rPr>
              <w:t>Medium</w:t>
            </w:r>
          </w:p>
        </w:tc>
      </w:tr>
    </w:tbl>
    <w:p/>
    <w:p>
      <w:r>
        <w:rPr>
          <w:b/>
          <w:sz w:val="22"/>
          <w:szCs w:val="22"/>
        </w:rPr>
        <w:t xml:space="preserve">Table 3. Performance comparison of AI-based spectrum and interference management techniques.</w:t>
      </w:r>
    </w:p>
    <w:p>
      <w:r>
        <w:rPr>
          <w:sz w:val="22"/>
          <w:szCs w:val="22"/>
        </w:rPr>
        <w:t xml:space="preserve"/>
      </w:r>
    </w:p>
    <w:p>
      <w:pPr>
        <w:pStyle w:val="Heading2"/>
      </w:pPr>
      <w:r>
        <w:rPr>
          <w:b/>
          <w:sz w:val="28"/>
          <w:szCs w:val="28"/>
        </w:rPr>
        <w:t xml:space="preserve">3.2 Edge Computing and Communication-Computation Resource Allocation</w:t>
      </w:r>
    </w:p>
    <w:p>
      <w:r>
        <w:rPr>
          <w:sz w:val="22"/>
          <w:szCs w:val="22"/>
        </w:rPr>
        <w:t xml:space="preserve">The integration of mobile edge computing (MEC) with vehicular networks enables computation-intensive tasks to be offloaded from resource-constrained vehicles to nearby edge servers deployed at RSUs or base stations. AI-driven computation offloading decisions must balance multiple factors including task urgency, computational requirements, communication channel quality, edge server load, and vehicle mobility [38]. DRL-based offloading agents learn to make binary or partial offloading decisions that minimize task completion time while respecting energy and communication resource constraints. The offloading decision is particularly challenging in vehicular environments due to vehicle mobility: a vehicle may begin uploading a task to one edge server but move out of range before the result can be downloaded, necessitating predictive offloading that accounts for future connectivity along the vehicle's trajectory.</w:t>
      </w:r>
    </w:p>
    <w:p>
      <w:r>
        <w:rPr>
          <w:sz w:val="22"/>
          <w:szCs w:val="22"/>
        </w:rPr>
        <w:t xml:space="preserve">Joint communication and computing resource optimization represents a particularly challenging problem due to the coupling between communication resource allocation (affecting upload/download rates) and computing resource allocation (affecting processing time). Multi-dimensional resource allocation frameworks based on DRL simultaneously optimize the allocation of radio spectrum for task offloading, computational resources at edge servers for task processing, and caching resources for result delivery [39]. These frameworks learn to adapt allocation strategies based on time-varying task arrivals, channel conditions, and server loads. The state space for these joint optimization problems is substantially larger than for communication-only or computing-only problems, requiring advanced neural network architectures with attention mechanisms to efficiently process the relevant information and produce coordinated allocation decisions.</w:t>
      </w:r>
    </w:p>
    <w:p>
      <w:r>
        <w:rPr>
          <w:sz w:val="22"/>
          <w:szCs w:val="22"/>
        </w:rPr>
        <w:t xml:space="preserve">Task scheduling and workload balancing at the vehicular edge involve distributing computational tasks across multiple heterogeneous edge servers to minimize overall service latency while maximizing resource utilization. Attention-based neural networks and transformer architectures have been applied to learn effective task scheduling policies that consider task dependencies, deadline constraints, and server heterogeneity [40]. Cooperative caching strategies, where popular content is proactively cached at RSUs along predicted vehicle trajectories, further reduce communication resource demands by serving requests locally without backhaul transmission. Vehicle-to-vehicle computation offloading represents an emerging paradigm where nearby vehicles with available computational resources can assist computation-constrained vehicles, creating a distributed computing platform that leverages the collective computational capacity of the vehicular fleet.</w:t>
      </w:r>
    </w:p>
    <w:p>
      <w:pPr>
        <w:pStyle w:val="Heading2"/>
      </w:pPr>
      <w:r>
        <w:rPr>
          <w:b/>
          <w:sz w:val="28"/>
          <w:szCs w:val="28"/>
        </w:rPr>
        <w:t xml:space="preserve">3.3 Integrated Resource Allocation for Connected and Autonomous Vehicles</w:t>
      </w:r>
    </w:p>
    <w:p>
      <w:r>
        <w:rPr>
          <w:sz w:val="22"/>
          <w:szCs w:val="22"/>
        </w:rPr>
        <w:t xml:space="preserve">Connected and autonomous vehicles (CAVs) impose particularly demanding resource allocation requirements due to their reliance on real-time sensor data sharing, cooperative perception, and coordinated decision-making. AI-assisted resource allocation for cooperative perception must ensure timely delivery of sensor data (LiDAR point clouds, camera images, radar measurements) between vehicles while managing the substantial bandwidth requirements, which can exceed several hundred megabits per second per vehicle [41]. Priority-aware resource allocation frameworks, informed by the criticality assessment of perception data (e.g., objects in the ego vehicle's planned trajectory receive higher priority), optimize the allocation of communication resources to maximize collective situational awareness.</w:t>
      </w:r>
    </w:p>
    <w:p>
      <w:r>
        <w:rPr>
          <w:sz w:val="22"/>
          <w:szCs w:val="22"/>
        </w:rPr>
        <w:t xml:space="preserve">The data volume generated by autonomous vehicle sensors is enormous: a single autonomous vehicle may generate over one terabyte of data per hour from its combined sensor suite. Sharing even a fraction of this data for cooperative perception requires intelligent data selection and compression, tightly coupled with communication resource allocation. AI-based semantic communication approaches identify and transmit only the task-relevant information from sensor data, dramatically reducing bandwidth requirements while preserving the information needed for safe autonomous operation. For example, rather than transmitting raw LiDAR point clouds, a vehicle might extract and transmit only the detected objects, their positions, velocities, and confidence levels, reducing data volume by orders of magnitude while providing sufficient information for cooperative perception.</w:t>
      </w:r>
    </w:p>
    <w:p>
      <w:r>
        <w:rPr>
          <w:sz w:val="22"/>
          <w:szCs w:val="22"/>
        </w:rPr>
        <w:t xml:space="preserve">Safety-critical applications including cooperative collision avoidance, emergency electronic brake light, and intersection movement assist require ultra-reliable low-latency communication (URLLC) guarantees. AI-based resource allocation for URLLC employs techniques such as finite blocklength coding optimization, diversity combining across multiple links, and proactive resource reservation based on predicted mobility and risk assessment [42]. The joint optimization of communication, sensing, computing, and control resources for autonomous driving represents an emerging paradigm that holistically considers the interdependencies between perception accuracy, communication reliability, computational processing time, and vehicle control performance. The layered architecture shown in Figure 2 enables hierarchical optimization where each layer addresses different resource dimensions while maintaining cross-layer coordination through feedback mechanisms that propagate performance information between layers.</w:t>
      </w:r>
    </w:p>
    <w:p>
      <w:r>
        <w:rPr>
          <w:sz w:val="22"/>
          <w:szCs w:val="22"/>
        </w:rPr>
        <w:t xml:space="preserve">Integrated sensing and communication (ISAC) represents a paradigm shift for autonomous vehicular networks, where radar sensing and communication functions share the same hardware platform and spectral resources. AI-driven resource allocation for ISAC systems must jointly optimize waveform design, beamforming, power allocation, and time division between sensing and communication functions to satisfy both detection performance requirements and communication throughput targets [41]. DRL agents learn to dynamically adjust the sensing-communication trade-off based on the current driving scenario: in situations requiring enhanced environmental awareness (e.g., approaching intersections), more resources are allocated to sensing, while in straight highway scenarios, resources can be shifted toward communication for cooperative perception with distant vehicles.</w:t>
      </w:r>
    </w:p>
    <w:p>
      <w:pPr>
        <w:pStyle w:val="Heading1"/>
      </w:pPr>
      <w:r>
        <w:rPr>
          <w:b/>
          <w:sz w:val="32"/>
          <w:szCs w:val="32"/>
        </w:rPr>
        <w:t xml:space="preserve">4. Applications, Performance Evaluation, and Future Directions</w:t>
      </w:r>
    </w:p>
    <w:p>
      <w:pPr>
        <w:pStyle w:val="Heading2"/>
      </w:pPr>
      <w:r>
        <w:rPr>
          <w:b/>
          <w:sz w:val="28"/>
          <w:szCs w:val="28"/>
        </w:rPr>
        <w:t xml:space="preserve">4.1 Applications in Intelligent Transportation Systems</w:t>
      </w:r>
    </w:p>
    <w:p>
      <w:r>
        <w:rPr>
          <w:sz w:val="22"/>
          <w:szCs w:val="22"/>
        </w:rPr>
        <w:t xml:space="preserve">AI-driven resource allocation enables a wide range of intelligent transportation system applications by ensuring appropriate communication resources are available for each application's requirements. Traffic management systems leverage V2I communication to collect real-time traffic flow data and disseminate routing guidance, requiring reliable broadcast resources with moderate bandwidth [43]. Congestion mitigation through cooperative vehicle speed harmonization depends on V2V communication with bounded delay, where AI-based resource allocation ensures communication reliability under varying traffic conditions. Adaptive traffic signal control systems that receive real-time vehicle approach information through V2I links can optimize signal timing to reduce delays and emissions, requiring consistent low-latency communication resources for the continuous stream of vehicle state updates.</w:t>
      </w:r>
    </w:p>
    <w:p>
      <w:r>
        <w:rPr>
          <w:sz w:val="22"/>
          <w:szCs w:val="22"/>
        </w:rPr>
        <w:t xml:space="preserve">Emergency communications and cooperative collision avoidance represent the most demanding applications in terms of reliability and latency requirements. AI-driven resource allocation systems detect emergency situations through analysis of vehicle kinematics (sudden deceleration, swerving) and immediately prioritize resource allocation for emergency messages, preempting non-critical communications when necessary. The V2X architecture illustrated in Figure 1 supports multiple communication paths for emergency messages, and AI-based allocation dynamically selects the path offering the best reliability-latency trade-off. Multi-hop dissemination of emergency messages requires coordinated resource allocation across multiple relay vehicles, where each relay must be allocated resources to receive and retransmit the message with minimal additional delay. AI systems learn to identify optimal relay chains and allocate resources along the entire path simultaneously, ensuring end-to-end delivery within strict timing requirements.</w:t>
      </w:r>
    </w:p>
    <w:p>
      <w:r>
        <w:rPr>
          <w:sz w:val="22"/>
          <w:szCs w:val="22"/>
        </w:rPr>
        <w:t xml:space="preserve">Vehicle platooning, where a group of vehicles travels in close formation under automated control, requires sustained low-latency communication within the platoon for cooperative adaptive cruise control. AI-based resource allocation for platooning must maintain communication link stability despite the formation dynamics and external interference, while minimizing resource consumption to leave capacity for other vehicles. The intra-platoon communication typically requires end-to-end latency below 25 milliseconds and reliability above 99.99 percent to maintain safe inter-vehicle gaps of 5 to 10 meters at highway speeds. AI-based resource allocation learns to reserve dedicated resources for platoon control messages while dynamically sharing remaining resources for less critical platoon applications such as cooperative sensor sharing.</w:t>
      </w:r>
    </w:p>
    <w:p>
      <w:r>
        <w:rPr>
          <w:sz w:val="22"/>
          <w:szCs w:val="22"/>
        </w:rPr>
        <w:t xml:space="preserve">Infotainment applications including high-definition map updates, video streaming, and augmented reality overlays require significant bandwidth but can tolerate higher latency, enabling flexible scheduling during periods of resource availability. AI-driven resource allocation exploits the delay tolerance of these applications to implement opportunistic scheduling that fills resource gaps left by safety-critical communications, maximizing overall resource utilization. Smart city applications, including connected parking, electric vehicle charging coordination, and multimodal transportation integration, add further diversity to the communication requirements that AI-based resource allocation must accommodate.</w:t>
      </w:r>
    </w:p>
    <w:p>
      <w:pPr>
        <w:pStyle w:val="Heading2"/>
      </w:pPr>
      <w:r>
        <w:rPr>
          <w:b/>
          <w:sz w:val="28"/>
          <w:szCs w:val="28"/>
        </w:rPr>
        <w:t xml:space="preserve">4.2 Performance Evaluation and Security Considerations</w:t>
      </w:r>
    </w:p>
    <w:p>
      <w:r>
        <w:rPr>
          <w:sz w:val="22"/>
          <w:szCs w:val="22"/>
        </w:rPr>
        <w:t xml:space="preserve">Rigorous performance evaluation of AI-based resource allocation systems requires comprehensive metrics, realistic simulation environments, and appropriate benchmarking methodologies. Key performance indicators include end-to-end latency (measured at the application layer), packet delivery ratio (indicating reliability), throughput (aggregate and per-vehicle), spectral efficiency (bits per second per Hertz), and energy efficiency (bits per Joule). The performance comparison in Figure 3 demonstrates that advanced DRL approaches consistently outperform traditional methods across these metrics, with particularly significant gains in spectral efficiency and latency reduction. Beyond these primary metrics, fairness indices (such as Jain's fairness index) quantify how equitably resources are distributed among vehicles, and convergence speed measures how quickly AI algorithms adapt to changed network conditions.</w:t>
      </w:r>
    </w:p>
    <w:p>
      <w:r>
        <w:rPr>
          <w:sz w:val="22"/>
          <w:szCs w:val="22"/>
        </w:rPr>
        <w:t xml:space="preserve">Simulation platforms play a crucial role in developing and validating AI-based resource allocation algorithms. The coupling between vehicular mobility and network communication requires co-simulation frameworks that integrate traffic simulators with network simulators, providing realistic joint modeling of vehicle movement and communication performance. Table 4 summarizes the major simulation platforms available for AI-based vehicular resource allocation research, highlighting their respective capabilities and limitations. The fidelity of simulation environments significantly impacts the transferability of learned policies to real-world deployments, motivating the development of high-fidelity digital twin environments that accurately reproduce the physical and communication characteristics of specific deployment scenarios.</w:t>
      </w:r>
    </w:p>
    <w:p>
      <w:r>
        <w:rPr>
          <w:sz w:val="22"/>
          <w:szCs w:val="22"/>
        </w:rPr>
        <w:t xml:space="preserve">Dataset availability and quality represent important considerations for training and evaluating AI-based resource allocation. Real-world vehicular datasets capturing both mobility traces and communication measurements are scarce due to the difficulty and cost of large-scale data collection. Synthetic datasets generated from calibrated simulators provide an alternative but may not capture all the complexities of real-world vehicular environments. Transfer learning and domain randomization techniques help bridge the gap between simulated training environments and real-world deployment conditions, enabling AI models to generalize beyond the specific scenarios encountered during training.</w:t>
      </w:r>
    </w:p>
    <w:p>
      <w:r>
        <w:rPr>
          <w:sz w:val="22"/>
          <w:szCs w:val="22"/>
        </w:rPr>
        <w:t xml:space="preserve"/>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2E4057"/>
          </w:tcPr>
          <w:p>
            <w:pPr>
              <w:jc w:val="center"/>
            </w:pPr>
            <w:r>
              <w:rPr>
                <w:b/>
                <w:color w:val="FFFFFF"/>
                <w:sz w:val="20"/>
              </w:rPr>
              <w:t>Simulation Platform</w:t>
            </w:r>
          </w:p>
        </w:tc>
        <w:tc>
          <w:tcPr>
            <w:shd w:val="clear" w:color="auto" w:fill="2E4057"/>
          </w:tcPr>
          <w:p>
            <w:pPr>
              <w:jc w:val="center"/>
            </w:pPr>
            <w:r>
              <w:rPr>
                <w:b/>
                <w:color w:val="FFFFFF"/>
                <w:sz w:val="20"/>
              </w:rPr>
              <w:t>Key Features</w:t>
            </w:r>
          </w:p>
        </w:tc>
        <w:tc>
          <w:tcPr>
            <w:shd w:val="clear" w:color="auto" w:fill="2E4057"/>
          </w:tcPr>
          <w:p>
            <w:pPr>
              <w:jc w:val="center"/>
            </w:pPr>
            <w:r>
              <w:rPr>
                <w:b/>
                <w:color w:val="FFFFFF"/>
                <w:sz w:val="20"/>
              </w:rPr>
              <w:t>V2X Support</w:t>
            </w:r>
          </w:p>
        </w:tc>
        <w:tc>
          <w:tcPr>
            <w:shd w:val="clear" w:color="auto" w:fill="2E4057"/>
          </w:tcPr>
          <w:p>
            <w:pPr>
              <w:jc w:val="center"/>
            </w:pPr>
            <w:r>
              <w:rPr>
                <w:b/>
                <w:color w:val="FFFFFF"/>
                <w:sz w:val="20"/>
              </w:rPr>
              <w:t>AI Integration</w:t>
            </w:r>
          </w:p>
        </w:tc>
        <w:tc>
          <w:tcPr>
            <w:shd w:val="clear" w:color="auto" w:fill="2E4057"/>
          </w:tcPr>
          <w:p>
            <w:pPr>
              <w:jc w:val="center"/>
            </w:pPr>
            <w:r>
              <w:rPr>
                <w:b/>
                <w:color w:val="FFFFFF"/>
                <w:sz w:val="20"/>
              </w:rPr>
              <w:t>Scalability</w:t>
            </w:r>
          </w:p>
        </w:tc>
      </w:tr>
      <w:tr>
        <w:tc>
          <w:tcPr>
            <w:shd w:val="clear" w:color="auto" w:fill="F2F6FA"/>
          </w:tcPr>
          <w:p>
            <w:pPr>
              <w:jc w:val="center"/>
            </w:pPr>
            <w:r>
              <w:rPr>
                <w:sz w:val="20"/>
              </w:rPr>
              <w:t>NS-3 + SUMO</w:t>
            </w:r>
          </w:p>
        </w:tc>
        <w:tc>
          <w:tcPr>
            <w:shd w:val="clear" w:color="auto" w:fill="F2F6FA"/>
          </w:tcPr>
          <w:p>
            <w:pPr>
              <w:jc w:val="center"/>
            </w:pPr>
            <w:r>
              <w:rPr>
                <w:sz w:val="20"/>
              </w:rPr>
              <w:t>Open-source, detailed PHY/MAC models</w:t>
            </w:r>
          </w:p>
        </w:tc>
        <w:tc>
          <w:tcPr>
            <w:shd w:val="clear" w:color="auto" w:fill="F2F6FA"/>
          </w:tcPr>
          <w:p>
            <w:pPr>
              <w:jc w:val="center"/>
            </w:pPr>
            <w:r>
              <w:rPr>
                <w:sz w:val="20"/>
              </w:rPr>
              <w:t>DSRC, C-V2X Mode 4</w:t>
            </w:r>
          </w:p>
        </w:tc>
        <w:tc>
          <w:tcPr>
            <w:shd w:val="clear" w:color="auto" w:fill="F2F6FA"/>
          </w:tcPr>
          <w:p>
            <w:pPr>
              <w:jc w:val="center"/>
            </w:pPr>
            <w:r>
              <w:rPr>
                <w:sz w:val="20"/>
              </w:rPr>
              <w:t>External via Python API</w:t>
            </w:r>
          </w:p>
        </w:tc>
        <w:tc>
          <w:tcPr>
            <w:shd w:val="clear" w:color="auto" w:fill="F2F6FA"/>
          </w:tcPr>
          <w:p>
            <w:pPr>
              <w:jc w:val="center"/>
            </w:pPr>
            <w:r>
              <w:rPr>
                <w:sz w:val="20"/>
              </w:rPr>
              <w:t>Medium (&lt; 1000 vehicles)</w:t>
            </w:r>
          </w:p>
        </w:tc>
      </w:tr>
      <w:tr>
        <w:tc>
          <w:tcPr>
            <w:shd w:val="clear" w:color="auto" w:fill="FFFFFF"/>
          </w:tcPr>
          <w:p>
            <w:pPr>
              <w:jc w:val="center"/>
            </w:pPr>
            <w:r>
              <w:rPr>
                <w:sz w:val="20"/>
              </w:rPr>
              <w:t>Veins (OMNeT++)</w:t>
            </w:r>
          </w:p>
        </w:tc>
        <w:tc>
          <w:tcPr>
            <w:shd w:val="clear" w:color="auto" w:fill="FFFFFF"/>
          </w:tcPr>
          <w:p>
            <w:pPr>
              <w:jc w:val="center"/>
            </w:pPr>
            <w:r>
              <w:rPr>
                <w:sz w:val="20"/>
              </w:rPr>
              <w:t>Bidirectional traffic-network coupling</w:t>
            </w:r>
          </w:p>
        </w:tc>
        <w:tc>
          <w:tcPr>
            <w:shd w:val="clear" w:color="auto" w:fill="FFFFFF"/>
          </w:tcPr>
          <w:p>
            <w:pPr>
              <w:jc w:val="center"/>
            </w:pPr>
            <w:r>
              <w:rPr>
                <w:sz w:val="20"/>
              </w:rPr>
              <w:t>IEEE 802.11p, ETSI ITS-G5</w:t>
            </w:r>
          </w:p>
        </w:tc>
        <w:tc>
          <w:tcPr>
            <w:shd w:val="clear" w:color="auto" w:fill="FFFFFF"/>
          </w:tcPr>
          <w:p>
            <w:pPr>
              <w:jc w:val="center"/>
            </w:pPr>
            <w:r>
              <w:rPr>
                <w:sz w:val="20"/>
              </w:rPr>
              <w:t>External via interface</w:t>
            </w:r>
          </w:p>
        </w:tc>
        <w:tc>
          <w:tcPr>
            <w:shd w:val="clear" w:color="auto" w:fill="FFFFFF"/>
          </w:tcPr>
          <w:p>
            <w:pPr>
              <w:jc w:val="center"/>
            </w:pPr>
            <w:r>
              <w:rPr>
                <w:sz w:val="20"/>
              </w:rPr>
              <w:t>Medium</w:t>
            </w:r>
          </w:p>
        </w:tc>
      </w:tr>
      <w:tr>
        <w:tc>
          <w:tcPr>
            <w:shd w:val="clear" w:color="auto" w:fill="F2F6FA"/>
          </w:tcPr>
          <w:p>
            <w:pPr>
              <w:jc w:val="center"/>
            </w:pPr>
            <w:r>
              <w:rPr>
                <w:sz w:val="20"/>
              </w:rPr>
              <w:t>OpenAI Gym + Flow</w:t>
            </w:r>
          </w:p>
        </w:tc>
        <w:tc>
          <w:tcPr>
            <w:shd w:val="clear" w:color="auto" w:fill="F2F6FA"/>
          </w:tcPr>
          <w:p>
            <w:pPr>
              <w:jc w:val="center"/>
            </w:pPr>
            <w:r>
              <w:rPr>
                <w:sz w:val="20"/>
              </w:rPr>
              <w:t>RL-native environment interface</w:t>
            </w:r>
          </w:p>
        </w:tc>
        <w:tc>
          <w:tcPr>
            <w:shd w:val="clear" w:color="auto" w:fill="F2F6FA"/>
          </w:tcPr>
          <w:p>
            <w:pPr>
              <w:jc w:val="center"/>
            </w:pPr>
            <w:r>
              <w:rPr>
                <w:sz w:val="20"/>
              </w:rPr>
              <w:t>Simplified V2X models</w:t>
            </w:r>
          </w:p>
        </w:tc>
        <w:tc>
          <w:tcPr>
            <w:shd w:val="clear" w:color="auto" w:fill="F2F6FA"/>
          </w:tcPr>
          <w:p>
            <w:pPr>
              <w:jc w:val="center"/>
            </w:pPr>
            <w:r>
              <w:rPr>
                <w:sz w:val="20"/>
              </w:rPr>
              <w:t>Native RL support</w:t>
            </w:r>
          </w:p>
        </w:tc>
        <w:tc>
          <w:tcPr>
            <w:shd w:val="clear" w:color="auto" w:fill="F2F6FA"/>
          </w:tcPr>
          <w:p>
            <w:pPr>
              <w:jc w:val="center"/>
            </w:pPr>
            <w:r>
              <w:rPr>
                <w:sz w:val="20"/>
              </w:rPr>
              <w:t>High (abstracted)</w:t>
            </w:r>
          </w:p>
        </w:tc>
      </w:tr>
      <w:tr>
        <w:tc>
          <w:tcPr>
            <w:shd w:val="clear" w:color="auto" w:fill="FFFFFF"/>
          </w:tcPr>
          <w:p>
            <w:pPr>
              <w:jc w:val="center"/>
            </w:pPr>
            <w:r>
              <w:rPr>
                <w:sz w:val="20"/>
              </w:rPr>
              <w:t>MATLAB/Simulink</w:t>
            </w:r>
          </w:p>
        </w:tc>
        <w:tc>
          <w:tcPr>
            <w:shd w:val="clear" w:color="auto" w:fill="FFFFFF"/>
          </w:tcPr>
          <w:p>
            <w:pPr>
              <w:jc w:val="center"/>
            </w:pPr>
            <w:r>
              <w:rPr>
                <w:sz w:val="20"/>
              </w:rPr>
              <w:t>Comprehensive toolboxes, LTE/NR V2X</w:t>
            </w:r>
          </w:p>
        </w:tc>
        <w:tc>
          <w:tcPr>
            <w:shd w:val="clear" w:color="auto" w:fill="FFFFFF"/>
          </w:tcPr>
          <w:p>
            <w:pPr>
              <w:jc w:val="center"/>
            </w:pPr>
            <w:r>
              <w:rPr>
                <w:sz w:val="20"/>
              </w:rPr>
              <w:t>Full C-V2X stack</w:t>
            </w:r>
          </w:p>
        </w:tc>
        <w:tc>
          <w:tcPr>
            <w:shd w:val="clear" w:color="auto" w:fill="FFFFFF"/>
          </w:tcPr>
          <w:p>
            <w:pPr>
              <w:jc w:val="center"/>
            </w:pPr>
            <w:r>
              <w:rPr>
                <w:sz w:val="20"/>
              </w:rPr>
              <w:t>ML/DL toolboxes</w:t>
            </w:r>
          </w:p>
        </w:tc>
        <w:tc>
          <w:tcPr>
            <w:shd w:val="clear" w:color="auto" w:fill="FFFFFF"/>
          </w:tcPr>
          <w:p>
            <w:pPr>
              <w:jc w:val="center"/>
            </w:pPr>
            <w:r>
              <w:rPr>
                <w:sz w:val="20"/>
              </w:rPr>
              <w:t>Medium-High</w:t>
            </w:r>
          </w:p>
        </w:tc>
      </w:tr>
      <w:tr>
        <w:tc>
          <w:tcPr>
            <w:shd w:val="clear" w:color="auto" w:fill="F2F6FA"/>
          </w:tcPr>
          <w:p>
            <w:pPr>
              <w:jc w:val="center"/>
            </w:pPr>
            <w:r>
              <w:rPr>
                <w:sz w:val="20"/>
              </w:rPr>
              <w:t>DeepDrive</w:t>
            </w:r>
          </w:p>
        </w:tc>
        <w:tc>
          <w:tcPr>
            <w:shd w:val="clear" w:color="auto" w:fill="F2F6FA"/>
          </w:tcPr>
          <w:p>
            <w:pPr>
              <w:jc w:val="center"/>
            </w:pPr>
            <w:r>
              <w:rPr>
                <w:sz w:val="20"/>
              </w:rPr>
              <w:t>End-to-end autonomous driving</w:t>
            </w:r>
          </w:p>
        </w:tc>
        <w:tc>
          <w:tcPr>
            <w:shd w:val="clear" w:color="auto" w:fill="F2F6FA"/>
          </w:tcPr>
          <w:p>
            <w:pPr>
              <w:jc w:val="center"/>
            </w:pPr>
            <w:r>
              <w:rPr>
                <w:sz w:val="20"/>
              </w:rPr>
              <w:t>V2V cooperative perception</w:t>
            </w:r>
          </w:p>
        </w:tc>
        <w:tc>
          <w:tcPr>
            <w:shd w:val="clear" w:color="auto" w:fill="F2F6FA"/>
          </w:tcPr>
          <w:p>
            <w:pPr>
              <w:jc w:val="center"/>
            </w:pPr>
            <w:r>
              <w:rPr>
                <w:sz w:val="20"/>
              </w:rPr>
              <w:t>Deep learning native</w:t>
            </w:r>
          </w:p>
        </w:tc>
        <w:tc>
          <w:tcPr>
            <w:shd w:val="clear" w:color="auto" w:fill="F2F6FA"/>
          </w:tcPr>
          <w:p>
            <w:pPr>
              <w:jc w:val="center"/>
            </w:pPr>
            <w:r>
              <w:rPr>
                <w:sz w:val="20"/>
              </w:rPr>
              <w:t>Low-Medium</w:t>
            </w:r>
          </w:p>
        </w:tc>
      </w:tr>
      <w:tr>
        <w:tc>
          <w:tcPr>
            <w:shd w:val="clear" w:color="auto" w:fill="FFFFFF"/>
          </w:tcPr>
          <w:p>
            <w:pPr>
              <w:jc w:val="center"/>
            </w:pPr>
            <w:r>
              <w:rPr>
                <w:sz w:val="20"/>
              </w:rPr>
              <w:t>CARLA + ns-3</w:t>
            </w:r>
          </w:p>
        </w:tc>
        <w:tc>
          <w:tcPr>
            <w:shd w:val="clear" w:color="auto" w:fill="FFFFFF"/>
          </w:tcPr>
          <w:p>
            <w:pPr>
              <w:jc w:val="center"/>
            </w:pPr>
            <w:r>
              <w:rPr>
                <w:sz w:val="20"/>
              </w:rPr>
              <w:t>High-fidelity 3D driving + networking</w:t>
            </w:r>
          </w:p>
        </w:tc>
        <w:tc>
          <w:tcPr>
            <w:shd w:val="clear" w:color="auto" w:fill="FFFFFF"/>
          </w:tcPr>
          <w:p>
            <w:pPr>
              <w:jc w:val="center"/>
            </w:pPr>
            <w:r>
              <w:rPr>
                <w:sz w:val="20"/>
              </w:rPr>
              <w:t>Customizable V2X</w:t>
            </w:r>
          </w:p>
        </w:tc>
        <w:tc>
          <w:tcPr>
            <w:shd w:val="clear" w:color="auto" w:fill="FFFFFF"/>
          </w:tcPr>
          <w:p>
            <w:pPr>
              <w:jc w:val="center"/>
            </w:pPr>
            <w:r>
              <w:rPr>
                <w:sz w:val="20"/>
              </w:rPr>
              <w:t>Python/PyTorch integration</w:t>
            </w:r>
          </w:p>
        </w:tc>
        <w:tc>
          <w:tcPr>
            <w:shd w:val="clear" w:color="auto" w:fill="FFFFFF"/>
          </w:tcPr>
          <w:p>
            <w:pPr>
              <w:jc w:val="center"/>
            </w:pPr>
            <w:r>
              <w:rPr>
                <w:sz w:val="20"/>
              </w:rPr>
              <w:t>Low-Medium</w:t>
            </w:r>
          </w:p>
        </w:tc>
      </w:tr>
    </w:tbl>
    <w:p/>
    <w:p>
      <w:r>
        <w:rPr>
          <w:b/>
          <w:sz w:val="22"/>
          <w:szCs w:val="22"/>
        </w:rPr>
        <w:t xml:space="preserve">Table 4. Simulation platforms for AI-based vehicular resource allocation research.</w:t>
      </w:r>
    </w:p>
    <w:p>
      <w:r>
        <w:rPr>
          <w:sz w:val="22"/>
          <w:szCs w:val="22"/>
        </w:rPr>
        <w:t xml:space="preserve"/>
      </w:r>
    </w:p>
    <w:p>
      <w:r>
        <w:rPr>
          <w:sz w:val="22"/>
          <w:szCs w:val="22"/>
        </w:rPr>
        <w:t xml:space="preserve">Security considerations are paramount for AI-based resource allocation systems, as adversarial actors may attempt to manipulate the AI components to disrupt network operations. Adversarial attacks on DRL-based resource allocation include state observation poisoning (injecting false channel measurements), reward manipulation (corrupting performance feedback), and policy inference attacks (learning and exploiting the allocation policy). Data poisoning in federated learning can degrade the global model quality if malicious vehicles submit manipulated model updates during aggregation rounds. Defense mechanisms include anomaly detection on input observations, robust aggregation algorithms for federated learning (e.g., median-based or trimmed-mean aggregation), and adversarial training to improve policy robustness against perturbations.</w:t>
      </w:r>
    </w:p>
    <w:p>
      <w:r>
        <w:rPr>
          <w:sz w:val="22"/>
          <w:szCs w:val="22"/>
        </w:rPr>
        <w:t xml:space="preserve">Byzantine fault tolerance mechanisms ensure that AI-based resource allocation continues to function correctly even when a fraction of participating vehicles are compromised or malicious. Reputation systems track the historical reliability of vehicle contributions to federated learning, weighting updates from trusted vehicles more heavily. Differential privacy techniques add calibrated noise to model updates, preventing adversaries from inferring sensitive information about individual vehicles while maintaining model utility. The trade-off between privacy protection and model accuracy is a key design consideration, with stronger privacy guarantees typically requiring larger noise additions that reduce learning performance. Secure aggregation protocols enable the federation server to compute aggregate model updates without observing individual contributions, protecting against both external eavesdroppers and a potentially compromised aggregation server.</w:t>
      </w:r>
    </w:p>
    <w:p>
      <w:pPr>
        <w:pStyle w:val="Heading2"/>
      </w:pPr>
      <w:r>
        <w:rPr>
          <w:b/>
          <w:sz w:val="28"/>
          <w:szCs w:val="28"/>
        </w:rPr>
        <w:t xml:space="preserve">4.3 Future Research Directions</w:t>
      </w:r>
    </w:p>
    <w:p>
      <w:r>
        <w:rPr>
          <w:sz w:val="22"/>
          <w:szCs w:val="22"/>
        </w:rPr>
        <w:t xml:space="preserve">The evolution toward 6G networks promises transformative capabilities for vehicular communications, including terahertz (THz) frequency bands offering multi-gigabit-per-second data rates, sub-millisecond latency, and native AI integration at the network infrastructure level. Resource allocation for THz vehicular communication must address unique propagation challenges including severe path loss, molecular absorption, and extreme directivity requirements, while exploiting the massive bandwidth availability for capacity-hungry autonomous driving applications. AI-native network architectures, where machine learning is embedded at every layer of the protocol stack, enable real-time adaptation to the highly variable THz channel conditions. The extremely short wavelengths at THz frequencies enable massive antenna arrays in compact form factors, opening opportunities for highly directional beamforming that must be dynamically steered to track moving vehicles, requiring AI-driven beam management that predicts vehicle trajectories and pre-configures beam directions.</w:t>
      </w:r>
    </w:p>
    <w:p>
      <w:r>
        <w:rPr>
          <w:sz w:val="22"/>
          <w:szCs w:val="22"/>
        </w:rPr>
        <w:t xml:space="preserve">Intelligent reflecting surfaces (IRS) introduce a new dimension to resource allocation by enabling programmable control of the wireless propagation environment. AI-driven joint optimization of IRS phase shifts and traditional resource allocation (spectrum, power, beamforming) can significantly enhance vehicular communication performance, particularly in challenging scenarios such as non-line-of-sight intersections and urban canyons. The optimization of IRS configurations in vehicular environments requires rapid adaptation to vehicle mobility, making DRL approaches particularly suitable for real-time IRS control. IRS-assisted vehicular networks can create virtual line-of-sight paths around obstacles, extend communication range without additional power consumption, and enable precise interference nulling toward unintended receivers, all of which require intelligent resource allocation that coordinates IRS configuration with conventional resource parameters.</w:t>
      </w:r>
    </w:p>
    <w:p>
      <w:r>
        <w:rPr>
          <w:sz w:val="22"/>
          <w:szCs w:val="22"/>
        </w:rPr>
        <w:t xml:space="preserve">Digital twin technology creates virtual replicas of the physical vehicular network, enabling AI systems to be trained, tested, and optimized in high-fidelity simulated environments before deployment. Digital twin-assisted resource allocation enables what-if analysis of allocation strategies, predictive maintenance of network resources, and continuous model refinement through comparison between predicted and actual performance. The digital twin can run accelerated simulations to evaluate proposed allocation policies under diverse scenarios before deploying them in the physical network, reducing the risk of poor performance during initial deployment. The future research landscape, illustrated in Figure 4, encompasses multiple converging research directions that collectively shape the evolution of AI-driven vehicular resource allocation.</w:t>
      </w:r>
    </w:p>
    <w:p>
      <w:r>
        <w:rPr>
          <w:sz w:val="22"/>
          <w:szCs w:val="22"/>
        </w:rPr>
        <w:t xml:space="preserve"/>
      </w:r>
    </w:p>
    <w:p>
      <w:pPr>
        <w:jc w:val="center"/>
      </w:pPr>
      <w:r>
        <w:drawing>
          <wp:inline distT="0" distB="0" distL="0" distR="0">
            <wp:extent cx="5000000" cy="3200000"/>
            <wp:docPr id="4" name="Picture 4"/>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04"/>
                    <a:stretch>
                      <a:fillRect/>
                    </a:stretch>
                  </pic:blipFill>
                  <pic:spPr>
                    <a:xfrm>
                      <a:off x="0" y="0"/>
                      <a:ext cx="5000000" cy="3200000"/>
                    </a:xfrm>
                    <a:prstGeom prst="rect">
                      <a:avLst/>
                    </a:prstGeom>
                  </pic:spPr>
                </pic:pic>
              </a:graphicData>
            </a:graphic>
          </wp:inline>
        </w:drawing>
      </w:r>
    </w:p>
    <w:p>
      <w:r>
        <w:rPr>
          <w:b/>
          <w:sz w:val="22"/>
          <w:szCs w:val="22"/>
        </w:rPr>
        <w:t xml:space="preserve">Figure 4. Future research directions for AI-driven vehicular resource allocation, encompassing 6G/THz communication, intelligent reflecting surfaces, digital twins, edge AI, explainable AI, and sustainability considerations.</w:t>
      </w:r>
    </w:p>
    <w:p>
      <w:r>
        <w:rPr>
          <w:sz w:val="22"/>
          <w:szCs w:val="22"/>
        </w:rPr>
        <w:t xml:space="preserve"/>
      </w:r>
    </w:p>
    <w:p>
      <w:r>
        <w:rPr>
          <w:sz w:val="22"/>
          <w:szCs w:val="22"/>
        </w:rPr>
        <w:t xml:space="preserve">Edge intelligence represents the convergence of edge computing and AI, where machine learning models are deployed directly at network edge nodes (RSUs, base stations) to enable real-time resource allocation decisions without cloud round-trip latency. Techniques including model compression, knowledge distillation, and neural architecture search enable the deployment of powerful AI models within the computational and memory constraints of edge devices. Split learning architectures partition neural networks between vehicles and edge servers, balancing computation load and communication overhead while maintaining inference quality. The latency requirements of vehicular resource allocation, where decisions must be made within milliseconds to match the channel coherence time, necessitate inference-optimized models that can execute within strict time budgets on resource-constrained edge hardware.</w:t>
      </w:r>
    </w:p>
    <w:p>
      <w:r>
        <w:rPr>
          <w:sz w:val="22"/>
          <w:szCs w:val="22"/>
        </w:rPr>
        <w:t xml:space="preserve">Explainable AI (XAI) for resource allocation addresses the critical need for transparency and interpretability in safety-related vehicular applications. While deep learning models achieve superior performance, their black-box nature raises concerns for deployment in safety-critical contexts where allocation decisions must be auditable and verifiable. Research directions include attention visualization for understanding which network state features drive allocation decisions, rule extraction from trained neural networks, and causal inference frameworks that explain why particular resource configurations lead to observed performance outcomes. The integration of domain knowledge through physics-informed neural networks and constrained optimization layers within deep learning architectures ensures that AI-driven allocation respects fundamental communication theory principles while leveraging data-driven adaptation. Interpretable allocation policies also facilitate debugging and improvement, as engineers can identify failure modes and design targeted interventions when the reasoning behind allocation decisions is transparent.</w:t>
      </w:r>
    </w:p>
    <w:p>
      <w:r>
        <w:rPr>
          <w:sz w:val="22"/>
          <w:szCs w:val="22"/>
        </w:rPr>
        <w:t xml:space="preserve">Sustainable and energy-aware AI for vehicular resource allocation addresses the growing concern regarding the carbon footprint of both vehicular transportation and communication infrastructure. Green AI approaches optimize not only communication performance but also the energy consumption of the AI computation itself, seeking lightweight model architectures and efficient inference procedures. Semantic communication, which transmits only task-relevant information rather than raw data, offers a paradigm shift in resource efficiency by dramatically reducing bandwidth requirements for cooperative vehicular applications. Joint optimization of communication energy, computation energy, and transportation energy provides a holistic view of sustainability in connected vehicular systems, where communication resource allocation decisions may influence vehicle routing and driving behavior to minimize total system energy consumption.</w:t>
      </w:r>
    </w:p>
    <w:p>
      <w:r>
        <w:rPr>
          <w:sz w:val="22"/>
          <w:szCs w:val="22"/>
        </w:rPr>
        <w:t xml:space="preserve">Decentralized and trustworthy AI frameworks, including blockchain-integrated federated learning and zero-knowledge proof-based verification of AI model integrity, address trust and governance challenges in multi-stakeholder vehicular networks. These approaches enable verifiable and auditable resource allocation in environments where vehicles, infrastructure operators, and service providers may have competing interests, ensuring fair and transparent resource management without centralized trust authorities. The convergence of these research directions, as depicted in Figure 4, points toward a future where vehicular networks are autonomously managed by trustworthy, efficient, and adaptive AI systems that optimize multi-dimensional resources in real-time while ensuring safety, fairness, and sustainability.</w:t>
      </w:r>
    </w:p>
    <w:p>
      <w:r>
        <w:rPr>
          <w:sz w:val="22"/>
          <w:szCs w:val="22"/>
        </w:rPr>
        <w:t xml:space="preserve">Large language models and foundation models represent an emerging frontier for vehicular network management, where pre-trained models with broad knowledge of communication systems can be fine-tuned for specific resource allocation tasks with minimal task-specific data. These models can interpret natural language descriptions of network policies and translate them into executable allocation rules, enabling non-expert network operators to configure complex resource management systems through intuitive interfaces. The generalization capability of foundation models, combined with few-shot learning techniques, promises to dramatically reduce the data requirements and training time for deploying AI-based resource allocation in new vehicular environments, accelerating the adoption of intelligent resource management across diverse deployment scenarios worldwide.</w:t>
      </w:r>
    </w:p>
    <w:p>
      <w:pPr>
        <w:pStyle w:val="Heading1"/>
      </w:pPr>
      <w:r>
        <w:rPr>
          <w:b/>
          <w:sz w:val="32"/>
          <w:szCs w:val="32"/>
        </w:rPr>
        <w:t xml:space="preserve">5. Conclusion</w:t>
      </w:r>
    </w:p>
    <w:p>
      <w:r>
        <w:rPr>
          <w:sz w:val="22"/>
          <w:szCs w:val="22"/>
        </w:rPr>
        <w:t xml:space="preserve">This chapter has provided a comprehensive examination of AI-driven resource allocation in vehicular networks, spanning the fundamental architecture and challenges of vehicular communication systems through advanced artificial intelligence techniques for multi-dimensional resource optimization. The evolution from conventional optimization-based and heuristic approaches to data-driven machine learning, deep reinforcement learning, and multi-agent frameworks represents a paradigm shift in how vehicular network resources are managed. These AI-driven approaches offer unprecedented capabilities for adaptive, distributed, and intelligent resource allocation that can cope with the highly dynamic and demanding nature of vehicular environments. The systematic treatment of spectrum management, power control, interference mitigation, edge computing integration, and autonomous vehicle support illustrates the multi-dimensional nature of the resource allocation challenge and the versatility of AI-based solutions in addressing these interconnected problems.</w:t>
      </w:r>
    </w:p>
    <w:p>
      <w:r>
        <w:rPr>
          <w:sz w:val="22"/>
          <w:szCs w:val="22"/>
        </w:rPr>
        <w:t xml:space="preserve">The integration of federated learning for privacy-preserving collaborative intelligence, edge computing for joint communication-computation optimization, and multi-agent coordination for cooperative resource sharing demonstrates the breadth of AI applications in this domain. As vehicular networks evolve toward 6G and beyond, incorporating intelligent reflecting surfaces, terahertz communications, digital twins, and AI-native architectures, the role of artificial intelligence in resource allocation will become increasingly central to network operation. The performance evaluation results presented throughout this chapter consistently demonstrate that AI-based approaches achieve significant improvements over conventional methods across all key metrics including spectral efficiency, latency, reliability, and energy consumption. Future research must address the challenges of explainability, trustworthiness, security, and sustainability to ensure that AI-driven resource allocation systems are not only performant but also safe, fair, and transparent for deployment in safety-critical vehicular applications that directly impact human lives. The convergence of advanced AI techniques with next-generation communication technologies promises to realize the vision of fully autonomous, self-optimizing vehicular networks that seamlessly support the diverse and demanding requirements of connected and autonomous mobility services.</w:t>
      </w:r>
    </w:p>
    <w:p>
      <w:pPr>
        <w:pStyle w:val="Heading1"/>
      </w:pPr>
      <w:r>
        <w:rPr>
          <w:b/>
          <w:sz w:val="32"/>
          <w:szCs w:val="32"/>
        </w:rPr>
        <w:t xml:space="preserve">References</w:t>
      </w:r>
    </w:p>
    <w:p>
      <w:r>
        <w:rPr>
          <w:sz w:val="22"/>
          <w:szCs w:val="22"/>
        </w:rPr>
        <w:t xml:space="preserve">[1] S. Chen, J. Hu, Y. Shi, Y. Peng, J. Fang, R. Zhao, and L. Zhao, "Vehicle-to-everything (V2X) services supported by LTE-based systems and 5G," IEEE Communications Standards Magazine, vol. 1, no. 2, pp. 70-76, 2017.</w:t>
      </w:r>
    </w:p>
    <w:p>
      <w:r>
        <w:rPr>
          <w:sz w:val="22"/>
          <w:szCs w:val="22"/>
        </w:rPr>
        <w:t xml:space="preserve">[2] J. B. Kenney, "Dedicated short-range communications (DSRC) standards in the United States," Proceedings of the IEEE, vol. 99, no. 7, pp. 1162-1182, 2011.</w:t>
      </w:r>
    </w:p>
    <w:p>
      <w:r>
        <w:rPr>
          <w:sz w:val="22"/>
          <w:szCs w:val="22"/>
        </w:rPr>
        <w:t xml:space="preserve">[3] 3GPP, "Study on LTE-based V2X services," 3GPP TR 36.885, Release 14, 2016.</w:t>
      </w:r>
    </w:p>
    <w:p>
      <w:r>
        <w:rPr>
          <w:sz w:val="22"/>
          <w:szCs w:val="22"/>
        </w:rPr>
        <w:t xml:space="preserve">[4] 3GPP, "NR sidelink resource allocation," 3GPP TS 38.214, Release 16, 2020.</w:t>
      </w:r>
    </w:p>
    <w:p>
      <w:r>
        <w:rPr>
          <w:sz w:val="22"/>
          <w:szCs w:val="22"/>
        </w:rPr>
        <w:t xml:space="preserve">[5] G. Naik, B. Choudhury, and J. Park, "IEEE 802.11bd &amp; 5G NR V2X: Evolution of radio access technologies for V2X communications," IEEE Access, vol. 7, pp. 70169-70184, 2019.</w:t>
      </w:r>
    </w:p>
    <w:p>
      <w:r>
        <w:rPr>
          <w:sz w:val="22"/>
          <w:szCs w:val="22"/>
        </w:rPr>
        <w:t xml:space="preserve">[6] C. Campolo, A. Molinaro, A. Iera, and F. Menichella, "5G network slicing for vehicle-to-everything services," IEEE Wireless Communications, vol. 24, no. 6, pp. 38-45, 2017.</w:t>
      </w:r>
    </w:p>
    <w:p>
      <w:r>
        <w:rPr>
          <w:sz w:val="22"/>
          <w:szCs w:val="22"/>
        </w:rPr>
        <w:t xml:space="preserve">[7] L. Liang, H. Peng, G. Y. Li, and X. Shen, "Vehicular communications: A physical layer perspective," IEEE Transactions on Vehicular Technology, vol. 66, no. 12, pp. 10647-10659, 2017.</w:t>
      </w:r>
    </w:p>
    <w:p>
      <w:r>
        <w:rPr>
          <w:sz w:val="22"/>
          <w:szCs w:val="22"/>
        </w:rPr>
        <w:t xml:space="preserve">[8] H. Zhou, W. Xu, J. Chen, and W. Wang, "Evolutionary V2X technologies toward the Internet of vehicles: Challenges and opportunities," Proceedings of the IEEE, vol. 108, no. 2, pp. 308-323, 2020.</w:t>
      </w:r>
    </w:p>
    <w:p>
      <w:r>
        <w:rPr>
          <w:sz w:val="22"/>
          <w:szCs w:val="22"/>
        </w:rPr>
        <w:t xml:space="preserve">[9] 5GAA, "C-V2X use cases and service level requirements," 5G Automotive Association White Paper, 2020.</w:t>
      </w:r>
    </w:p>
    <w:p>
      <w:r>
        <w:rPr>
          <w:sz w:val="22"/>
          <w:szCs w:val="22"/>
        </w:rPr>
        <w:t xml:space="preserve">[10] R. Molina-Masegosa and J. Gozalvez, "LTE-V for sidelink 5G V2X vehicular communications: A new 5G technology for short-range vehicle-to-everything communications," IEEE Vehicular Technology Magazine, vol. 12, no. 4, pp. 30-39, 2017.</w:t>
      </w:r>
    </w:p>
    <w:p>
      <w:r>
        <w:rPr>
          <w:sz w:val="22"/>
          <w:szCs w:val="22"/>
        </w:rPr>
        <w:t xml:space="preserve">[11] M. Gonzalez-Martin, M. Sepulcre, R. Molina-Masegosa, and J. Gozalvez, "Analytical models of the performance of C-V2X Mode 4 vehicular communications," IEEE Transactions on Vehicular Technology, vol. 68, no. 2, pp. 1155-1166, 2019.</w:t>
      </w:r>
    </w:p>
    <w:p>
      <w:r>
        <w:rPr>
          <w:sz w:val="22"/>
          <w:szCs w:val="22"/>
        </w:rPr>
        <w:t xml:space="preserve">[12] ETSI, "Intelligent Transport Systems (ITS); Decentralized Congestion Control Mechanisms," ETSI TS 102 687, 2018.</w:t>
      </w:r>
    </w:p>
    <w:p>
      <w:r>
        <w:rPr>
          <w:sz w:val="22"/>
          <w:szCs w:val="22"/>
        </w:rPr>
        <w:t xml:space="preserve">[13] X. Ge, Z. Li, and S. Li, "5G software defined vehicular networks," IEEE Communications Magazine, vol. 55, no. 7, pp. 87-93, 2017.</w:t>
      </w:r>
    </w:p>
    <w:p>
      <w:r>
        <w:rPr>
          <w:sz w:val="22"/>
          <w:szCs w:val="22"/>
        </w:rPr>
        <w:t xml:space="preserve">[14] Strategy Analytics, "Global connected car market forecast," Technical Report, 2021.</w:t>
      </w:r>
    </w:p>
    <w:p>
      <w:r>
        <w:rPr>
          <w:sz w:val="22"/>
          <w:szCs w:val="22"/>
        </w:rPr>
        <w:t xml:space="preserve">[15] L. Liang, G. Y. Li, and W. Xu, "Resource allocation for D2D-enabled vehicular communications," IEEE Transactions on Communications, vol. 65, no. 7, pp. 3186-3197, 2017.</w:t>
      </w:r>
    </w:p>
    <w:p>
      <w:r>
        <w:rPr>
          <w:sz w:val="22"/>
          <w:szCs w:val="22"/>
        </w:rPr>
        <w:t xml:space="preserve">[16] W. Sun, D. Yuan, E. G. Strom, and F. Brannstrom, "Cluster-based radio resource management for D2D-supported safety-critical V2X communications," IEEE Transactions on Wireless Communications, vol. 15, no. 4, pp. 2756-2769, 2016.</w:t>
      </w:r>
    </w:p>
    <w:p>
      <w:r>
        <w:rPr>
          <w:sz w:val="22"/>
          <w:szCs w:val="22"/>
        </w:rPr>
        <w:t xml:space="preserve">[17] X. Yin, X. Ma, and K. S. Trivedi, "Performance and reliability evaluation of BSM broadcasting in DSRC with multi-channel schemes," IEEE Transactions on Computers, vol. 63, no. 12, pp. 3101-3113, 2014.</w:t>
      </w:r>
    </w:p>
    <w:p>
      <w:r>
        <w:rPr>
          <w:sz w:val="22"/>
          <w:szCs w:val="22"/>
        </w:rPr>
        <w:t xml:space="preserve">[18] Z. Ali, S. Laghari, M. Shahid, and R. Ahmad, "Heuristic resource allocation in 5G NR-V2X vehicular networks," IEEE Access, vol. 9, pp. 162580-162596, 2021.</w:t>
      </w:r>
    </w:p>
    <w:p>
      <w:r>
        <w:rPr>
          <w:sz w:val="22"/>
          <w:szCs w:val="22"/>
        </w:rPr>
        <w:t xml:space="preserve">[19] N. Naderializadeh, J. J. Sydir, M. Simsek, and H. Nikopour, "Resource management in wireless networks via multi-agent deep reinforcement learning," IEEE Transactions on Wireless Communications, vol. 20, no. 6, pp. 3507-3523, 2021.</w:t>
      </w:r>
    </w:p>
    <w:p>
      <w:r>
        <w:rPr>
          <w:sz w:val="22"/>
          <w:szCs w:val="22"/>
        </w:rPr>
        <w:t xml:space="preserve">[20] M. Chen, U. Challita, W. Saad, C. Yin, and M. Debbah, "Artificial neural networks-based machine learning for wireless networks: A tutorial," IEEE Communications Surveys &amp; Tutorials, vol. 21, no. 4, pp. 3039-3071, 2019.</w:t>
      </w:r>
    </w:p>
    <w:p>
      <w:r>
        <w:rPr>
          <w:sz w:val="22"/>
          <w:szCs w:val="22"/>
        </w:rPr>
        <w:t xml:space="preserve">[21] Y. He, N. Zhao, and H. Yin, "Integrated networking, caching, and computing for connected vehicles: A deep reinforcement learning approach," IEEE Transactions on Vehicular Technology, vol. 67, no. 1, pp. 44-55, 2018.</w:t>
      </w:r>
    </w:p>
    <w:p>
      <w:r>
        <w:rPr>
          <w:sz w:val="22"/>
          <w:szCs w:val="22"/>
        </w:rPr>
        <w:t xml:space="preserve">[22] Z. Zhao, M. Xu, J. Li, and W. Ni, "Vehicular traffic flow prediction based on LSTM networks," IEEE Internet of Things Journal, vol. 7, no. 4, pp. 3200-3212, 2020.</w:t>
      </w:r>
    </w:p>
    <w:p>
      <w:r>
        <w:rPr>
          <w:sz w:val="22"/>
          <w:szCs w:val="22"/>
        </w:rPr>
        <w:t xml:space="preserve">[23] N. C. Luong, D. T. Hoang, S. Gong, D. Niyato, P. Wang, Y. C. Liang, and D. I. Kim, "Applications of deep reinforcement learning in communications and networking: A survey," IEEE Communications Surveys &amp; Tutorials, vol. 21, no. 4, pp. 3133-3174, 2019.</w:t>
      </w:r>
    </w:p>
    <w:p>
      <w:r>
        <w:rPr>
          <w:sz w:val="22"/>
          <w:szCs w:val="22"/>
        </w:rPr>
        <w:t xml:space="preserve">[24] H. Ye, G. Y. Li, and B. H. Juang, "Deep reinforcement learning based resource allocation for V2V communications," IEEE Transactions on Vehicular Technology, vol. 68, no. 4, pp. 3163-3173, 2019.</w:t>
      </w:r>
    </w:p>
    <w:p>
      <w:r>
        <w:rPr>
          <w:sz w:val="22"/>
          <w:szCs w:val="22"/>
        </w:rPr>
        <w:t xml:space="preserve">[25] L. Liang, H. Ye, and G. Y. Li, "Spectrum sharing in vehicular networks based on multi-agent reinforcement learning," IEEE Journal on Selected Areas in Communications, vol. 37, no. 10, pp. 2282-2292, 2019.</w:t>
      </w:r>
    </w:p>
    <w:p>
      <w:r>
        <w:rPr>
          <w:sz w:val="22"/>
          <w:szCs w:val="22"/>
        </w:rPr>
        <w:t xml:space="preserve">[26] V. Mnih, K. Kavukcuoglu, D. Silver, et al., "Human-level control through deep reinforcement learning," Nature, vol. 518, pp. 529-533, 2015.</w:t>
      </w:r>
    </w:p>
    <w:p>
      <w:r>
        <w:rPr>
          <w:sz w:val="22"/>
          <w:szCs w:val="22"/>
        </w:rPr>
        <w:t xml:space="preserve">[27] J. Schulman, F. Wolski, P. Dhariwal, A. Radford, and O. Klimov, "Proximal policy optimization algorithms," arXiv preprint arXiv:1707.06347, 2017.</w:t>
      </w:r>
    </w:p>
    <w:p>
      <w:r>
        <w:rPr>
          <w:sz w:val="22"/>
          <w:szCs w:val="22"/>
        </w:rPr>
        <w:t xml:space="preserve">[28] T. P. Lillicrap, J. J. Hunt, A. Pritzel, et al., "Continuous control with deep reinforcement learning," in Proc. ICLR, 2016.</w:t>
      </w:r>
    </w:p>
    <w:p>
      <w:r>
        <w:rPr>
          <w:sz w:val="22"/>
          <w:szCs w:val="22"/>
        </w:rPr>
        <w:t xml:space="preserve">[29] L. Busoniu, R. Babuska, and B. De Schutter, "A comprehensive survey of multiagent reinforcement learning," IEEE Transactions on Systems, Man, and Cybernetics, Part C, vol. 38, no. 2, pp. 156-172, 2008.</w:t>
      </w:r>
    </w:p>
    <w:p>
      <w:r>
        <w:rPr>
          <w:sz w:val="22"/>
          <w:szCs w:val="22"/>
        </w:rPr>
        <w:t xml:space="preserve">[30] R. Lowe, Y. Wu, A. Tamar, J. Harb, P. Abbeel, and I. Mordatch, "Multi-agent actor-critic for mixed cooperative-competitive environments," in Proc. NeurIPS, pp. 6379-6390, 2017.</w:t>
      </w:r>
    </w:p>
    <w:p>
      <w:r>
        <w:rPr>
          <w:sz w:val="22"/>
          <w:szCs w:val="22"/>
        </w:rPr>
        <w:t xml:space="preserve">[31] M. Huang, R. P. Malhame, and P. E. Caines, "Large population stochastic dynamic games: Closed-loop McKean-Vlasov systems and the Nash certainty equivalence principle," Communications in Information and Systems, vol. 6, no. 3, pp. 221-252, 2006.</w:t>
      </w:r>
    </w:p>
    <w:p>
      <w:r>
        <w:rPr>
          <w:sz w:val="22"/>
          <w:szCs w:val="22"/>
        </w:rPr>
        <w:t xml:space="preserve">[32] B. McMahan, E. Moore, D. Ramage, S. Hampson, and B. A. y Arcas, "Communication-efficient learning of deep networks from decentralized data," in Proc. AISTATS, pp. 1273-1282, 2017.</w:t>
      </w:r>
    </w:p>
    <w:p>
      <w:r>
        <w:rPr>
          <w:sz w:val="22"/>
          <w:szCs w:val="22"/>
        </w:rPr>
        <w:t xml:space="preserve">[33] S. Samarakoon, M. Bennis, W. Saad, and M. Debbah, "Distributed federated learning for ultra-reliable low-latency vehicular communications," IEEE Transactions on Communications, vol. 68, no. 2, pp. 1146-1159, 2020.</w:t>
      </w:r>
    </w:p>
    <w:p>
      <w:r>
        <w:rPr>
          <w:sz w:val="22"/>
          <w:szCs w:val="22"/>
        </w:rPr>
        <w:t xml:space="preserve">[34] Z. Yang, M. Chen, W. Saad, C. S. Hong, and M. Shikh-Bahaei, "Energy efficient federated learning over wireless communication networks," IEEE Transactions on Wireless Communications, vol. 20, no. 3, pp. 1935-1949, 2021.</w:t>
      </w:r>
    </w:p>
    <w:p>
      <w:r>
        <w:rPr>
          <w:sz w:val="22"/>
          <w:szCs w:val="22"/>
        </w:rPr>
        <w:t xml:space="preserve">[35] Y. Sun, M. Peng, Y. Zhou, Y. Huang, and S. Mao, "Application of machine learning in wireless networks: Key techniques and open issues," IEEE Communications Surveys &amp; Tutorials, vol. 21, no. 4, pp. 3072-3108, 2019.</w:t>
      </w:r>
    </w:p>
    <w:p>
      <w:r>
        <w:rPr>
          <w:sz w:val="22"/>
          <w:szCs w:val="22"/>
        </w:rPr>
        <w:t xml:space="preserve">[36] A. Zappone, M. Di Renzo, and M. Debbah, "Wireless networks design in the era of deep learning: Model-based, AI-based, or both?," IEEE Transactions on Communications, vol. 67, no. 10, pp. 7331-7376, 2019.</w:t>
      </w:r>
    </w:p>
    <w:p>
      <w:r>
        <w:rPr>
          <w:sz w:val="22"/>
          <w:szCs w:val="22"/>
        </w:rPr>
        <w:t xml:space="preserve">[37] M. Eisen and A. R. Ribeiro, "Optimal wireless resource allocation with random edge graph neural networks," IEEE Transactions on Signal Processing, vol. 68, pp. 2977-2991, 2020.</w:t>
      </w:r>
    </w:p>
    <w:p>
      <w:r>
        <w:rPr>
          <w:sz w:val="22"/>
          <w:szCs w:val="22"/>
        </w:rPr>
        <w:t xml:space="preserve">[38] Y. Mao, C. You, J. Zhang, K. Huang, and K. B. Letaief, "A survey on mobile edge computing: The communication perspective," IEEE Communications Surveys &amp; Tutorials, vol. 19, no. 4, pp. 2322-2358, 2017.</w:t>
      </w:r>
    </w:p>
    <w:p>
      <w:r>
        <w:rPr>
          <w:sz w:val="22"/>
          <w:szCs w:val="22"/>
        </w:rPr>
        <w:t xml:space="preserve">[39] X. Chen, H. Zhang, C. Wu, S. Mao, Y. Ji, and M. Bennis, "Optimized computation offloading performance in virtual edge computing systems via deep reinforcement learning," IEEE Internet of Things Journal, vol. 6, no. 3, pp. 4005-4018, 2019.</w:t>
      </w:r>
    </w:p>
    <w:p>
      <w:r>
        <w:rPr>
          <w:sz w:val="22"/>
          <w:szCs w:val="22"/>
        </w:rPr>
        <w:t xml:space="preserve">[40] J. Wang, J. Tang, Z. Xu, Y. Wang, G. Xue, X. Zhang, and D. Yang, "Spatiotemporal data mining: A survey on challenges and open problems," ACM Computing Surveys, vol. 55, no. 3, pp. 1-38, 2023.</w:t>
      </w:r>
    </w:p>
    <w:p>
      <w:r>
        <w:rPr>
          <w:sz w:val="22"/>
          <w:szCs w:val="22"/>
        </w:rPr>
        <w:t xml:space="preserve">[41] F. Liu, Y. Cui, C. Masouros, J. Xu, T. X. Han, Y. C. Eldar, and S. Buzzi, "Integrated sensing and communications: Toward dual-functional wireless networks for 6G and beyond," IEEE Journal on Selected Areas in Communications, vol. 40, no. 6, pp. 1728-1767, 2022.</w:t>
      </w:r>
    </w:p>
    <w:p>
      <w:r>
        <w:rPr>
          <w:sz w:val="22"/>
          <w:szCs w:val="22"/>
        </w:rPr>
        <w:t xml:space="preserve">[42] M. Bennis, M. Debbah, and H. V. Poor, "Ultrareliable and low-latency wireless communication: Tail, risk, and scale," Proceedings of the IEEE, vol. 106, no. 10, pp. 1834-1853, 2018.</w:t>
      </w:r>
    </w:p>
    <w:p>
      <w:r>
        <w:rPr>
          <w:sz w:val="22"/>
          <w:szCs w:val="22"/>
        </w:rPr>
        <w:t xml:space="preserve">[43] S. E. Li, Y. Zheng, K. Li, Y. Wu, J. K. Hedrick, F. Gao, and H. Zhang, "Dynamical modeling and distributed control of connected and automated vehicles: Challenges and opportunities," IEEE Intelligent Transportation Systems Magazine, vol. 9, no. 3, pp. 46-58, 2017.</w:t>
      </w:r>
    </w:p>
    <w:sectPr>
      <w:pgSz w:w="12240" w:h="15840"/>
      <w:pgMar w:top="1440" w:right="1440" w:bottom="1440" w:left="1440"/>
    </w:sectPr>
  </w:body>
</w:document>
</file>

<file path=word/numbering.xml><?xml version="1.0" encoding="utf-8"?>
<w:numbering xmlns:w="http://schemas.openxmlformats.org/wordprocessingml/2006/main"/>
</file>

<file path=word/styles.xml><?xml version="1.0" encoding="utf-8"?>
<w:styles xmlns:w="http://schemas.openxmlformats.org/wordprocessingml/2006/main">
  <w:style w:type="paragraph" w:styleId="Heading1">
    <w:name w:val="heading 1"/>
    <w:pPr>
      <w:spacing w:before="240" w:after="120"/>
    </w:pPr>
    <w:rPr>
      <w:b/>
      <w:sz w:val="32"/>
      <w:color w:val="1F3864"/>
    </w:rPr>
  </w:style>
  <w:style w:type="paragraph" w:styleId="Heading2">
    <w:name w:val="heading 2"/>
    <w:pPr>
      <w:spacing w:before="200" w:after="100"/>
    </w:pPr>
    <w:rPr>
      <w:b/>
      <w:sz w:val="28"/>
      <w:color w:val="2E4057"/>
    </w:rPr>
  </w:style>
  <w:style w:type="paragraph" w:styleId="Heading3">
    <w:name w:val="heading 3"/>
    <w:pPr>
      <w:spacing w:before="160" w:after="80"/>
    </w:pPr>
    <w:rPr>
      <w:b/>
      <w:sz w:val="24"/>
      <w:color w:val="3D5A80"/>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101" Type="http://schemas.openxmlformats.org/officeDocument/2006/relationships/image" Target="media/image1.png"/>
<Relationship Id="rId102" Type="http://schemas.openxmlformats.org/officeDocument/2006/relationships/image" Target="media/image2.png"/>
<Relationship Id="rId103" Type="http://schemas.openxmlformats.org/officeDocument/2006/relationships/image" Target="media/image3.png"/>
<Relationship Id="rId104" Type="http://schemas.openxmlformats.org/officeDocument/2006/relationships/image" Target="media/image4.png"/>
</Relationships>
</file>