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 /></Relationships>
</file>

<file path=word/document.xml><?xml version="1.0" encoding="utf-8"?>
<ns0:document xmlns:ns0="http://schemas.openxmlformats.org/wordprocessingml/2006/main" xmlns:w="http://schemas.openxmlformats.org/wordprocessingml/2006/main" xmlns:r="http://schemas.openxmlformats.org/officeDocument/2006/relationships">
  <ns0:body>
    <ns0:p>
      <ns0:pPr>
        <ns0:spacing ns0:after="120" ns0:line="360" ns0:lineRule="auto"/>
      </ns0:pPr>
      <ns0:r>
        <ns0:rPr>
          <ns0:rFonts ns0:ascii="Times New Roman" ns0:hAnsi="Times New Roman"/>
          <ns0:b/>
          <ns0:sz ns0:val="36"/>
          <ns0:szCs ns0:val="36"/>
        </ns0:rPr>
        <ns0:t xml:space="preserve">CHAPTER 5: RESULTS AND DISCUSSION</ns0:t>
      </ns0:r>
    </ns0:p>
    <ns0:p>
      <ns0:pPr>
        <ns0:spacing ns0:after="120" ns0:line="360" ns0:lineRule="auto"/>
      </ns0:pPr>
      <ns0:r>
        <ns0:rPr>
          <ns0:rFonts ns0:ascii="Times New Roman" ns0:hAnsi="Times New Roman"/>
          <ns0:b/>
          <ns0:sz ns0:val="32"/>
          <ns0:szCs ns0:val="32"/>
        </ns0:rPr>
        <ns0:t xml:space="preserve">5.1 Characterization of Physicochemical and Thermophysical Properties of SAW Fluxes</ns0:t>
      </ns0:r>
    </ns0:p>
    <ns0:p>
      <ns0:pPr>
        <ns0:spacing ns0:after="120" ns0:line="360" ns0:lineRule="auto"/>
      </ns0:pPr>
      <ns0:r>
        <ns0:rPr>
          <ns0:rFonts ns0:ascii="Times New Roman" ns0:hAnsi="Times New Roman"/>
          <ns0:b/>
          <ns0:sz ns0:val="28"/>
          <ns0:szCs ns0:val="28"/>
        </ns0:rPr>
        <ns0:t xml:space="preserve">5.1.1 Development and Analysis of Physicochemical and Thermophysical Responses for Fluxes</ns0:t>
      </ns0:r>
    </ns0:p>
    <ns0:p>
      <ns0:pPr>
        <ns0:spacing ns0:after="120" ns0:line="360" ns0:lineRule="auto"/>
      </ns0:pPr>
      <ns0:r>
        <ns0:rPr>
          <ns0:rFonts ns0:ascii="Times New Roman" ns0:hAnsi="Times New Roman"/>
          <ns0:sz ns0:val="24"/>
          <ns0:szCs ns0:val="24"/>
        </ns0:rPr>
        <ns0:t xml:space="preserve">The twenty-five submerged arc welding fluxes formulated using the Design of Experiments (DoE) approach were systematically characterized for their physicochemical and thermophysical properties. The basicity index (BI), calculated using the modified Tulliani equation (Eq. 4.3), ranged between 2.100 and 4.622, effectively grouping the fluxes from mildly acidic to strongly basic compositions.</ns0:t>
      </ns0:r>
    </ns0:p>
    <ns0:p>
      <ns0:pPr>
        <ns0:spacing ns0:after="120" ns0:line="360" ns0:lineRule="auto"/>
      </ns0:pPr>
      <ns0:r>
        <ns0:rPr>
          <ns0:rFonts ns0:ascii="Times New Roman" ns0:hAnsi="Times New Roman"/>
          <ns0:sz ns0:val="24"/>
          <ns0:szCs ns0:val="24"/>
        </ns0:rPr>
        <ns0:t xml:space="preserve">CaF₂ and MnO-rich blends (e.g., Run 2, BI = 4.622) exhibited the highest basicity, while those with high levels of SiO₂ and TiO₂ (e.g., Run 11, BI = 2.100) had the lowest basicity. The experimental reproducibility was confirmed as repeated compositions (intentional replicates such as Runs 4, 8, 9 and Runs 3, 5) yielded consistent basicity index values, validating the DoE formulation methodology.</ns0:t>
      </ns0:r>
    </ns0:p>
    <ns0:p>
      <ns0:pPr>
        <ns0:spacing ns0:after="120" ns0:line="360" ns0:lineRule="auto"/>
      </ns0:pPr>
      <ns0:r>
        <ns0:rPr>
          <ns0:rFonts ns0:ascii="Times New Roman" ns0:hAnsi="Times New Roman"/>
          <ns0:sz ns0:val="24"/>
          <ns0:szCs ns0:val="24"/>
        </ns0:rPr>
        <ns0:t xml:space="preserve">Individual constituent effects were observed:</ns0:t>
      </ns0:r>
    </ns0:p>
    <ns0:p>
      <ns0:pPr>
        <ns0:spacing ns0:after="120" ns0:line="360" ns0:lineRule="auto"/>
      </ns0:pPr>
      <ns0:r>
        <ns0:rPr>
          <ns0:rFonts ns0:ascii="Times New Roman" ns0:hAnsi="Times New Roman"/>
          <ns0:sz ns0:val="24"/>
          <ns0:szCs ns0:val="24"/>
        </ns0:rPr>
        <ns0:t xml:space="preserve">• High levels of SiO₂ and TiO₂ reduced the basicity index, which is generally responsible for producing liquid slags.</ns0:t>
      </ns0:r>
    </ns0:p>
    <ns0:p>
      <ns0:pPr>
        <ns0:spacing ns0:after="120" ns0:line="360" ns0:lineRule="auto"/>
      </ns0:pPr>
      <ns0:r>
        <ns0:rPr>
          <ns0:rFonts ns0:ascii="Times New Roman" ns0:hAnsi="Times New Roman"/>
          <ns0:sz ns0:val="24"/>
          <ns0:szCs ns0:val="24"/>
        </ns0:rPr>
        <ns0:t xml:space="preserve">• BaO and the constant 8% CaO increased the index, correlating with improved desulfurization potential and better slag detachability.</ns0:t>
      </ns0:r>
    </ns0:p>
    <ns0:p>
      <ns0:pPr>
        <ns0:spacing ns0:after="120" ns0:line="360" ns0:lineRule="auto"/>
      </ns0:pPr>
      <ns0:r>
        <ns0:rPr>
          <ns0:rFonts ns0:ascii="Times New Roman" ns0:hAnsi="Times New Roman"/>
          <ns0:sz ns0:val="24"/>
          <ns0:szCs ns0:val="24"/>
        </ns0:rPr>
        <ns0:t xml:space="preserve">The basicity index proved useful as a comparative screening parameter. High index values corresponded to greater fluxing capacity and deoxidation capacity, observed in blends such as Runs 13, 21, and 22.</ns0:t>
      </ns0:r>
    </ns0:p>
    <ns0:p>
      <ns0:pPr>
        <ns0:spacing ns0:after="120" ns0:line="360" ns0:lineRule="auto"/>
      </ns0:pPr>
      <ns0:r>
        <ns0:rPr>
          <ns0:rFonts ns0:ascii="Times New Roman" ns0:hAnsi="Times New Roman"/>
          <ns0:b/>
          <ns0:sz ns0:val="28"/>
          <ns0:szCs ns0:val="28"/>
        </ns0:rPr>
        <ns0:t xml:space="preserve">5.1.2 Discussion of Physicochemical and Thermophysical Properties of Twenty-Five Laboratory Developed SAW Fluxes</ns0:t>
      </ns0:r>
    </ns0:p>
    <ns0:p>
      <ns0:pPr>
        <ns0:spacing ns0:after="120" ns0:line="360" ns0:lineRule="auto"/>
      </ns0:pPr>
      <ns0:r>
        <ns0:rPr>
          <ns0:rFonts ns0:ascii="Times New Roman" ns0:hAnsi="Times New Roman"/>
          <ns0:b/>
          <ns0:sz ns0:val="26"/>
          <ns0:szCs ns0:val="26"/>
        </ns0:rPr>
        <ns0:t xml:space="preserve">5.1.2.1 Density, Thermal Conductivity, Thermal Diffusivity, and Specific Heat Behaviour of Laboratory Developed SAW Fluxes</ns0:t>
      </ns0:r>
    </ns0:p>
    <ns0:p>
      <ns0:pPr>
        <ns0:spacing ns0:after="120" ns0:line="360" ns0:lineRule="auto"/>
      </ns0:pPr>
      <ns0:r>
        <ns0:rPr>
          <ns0:rFonts ns0:ascii="Times New Roman" ns0:hAnsi="Times New Roman"/>
          <ns0:sz ns0:val="24"/>
          <ns0:szCs ns0:val="24"/>
          <ns0:b/>
        </ns0:rPr>
        <ns0:t xml:space="preserve">Density Results:</ns0:t>
      </ns0:r>
    </ns0:p>
    <ns0:p>
      <ns0:pPr>
        <ns0:spacing ns0:after="120" ns0:line="360" ns0:lineRule="auto"/>
      </ns0:pPr>
      <ns0:r>
        <ns0:rPr>
          <ns0:rFonts ns0:ascii="Times New Roman" ns0:hAnsi="Times New Roman"/>
          <ns0:sz ns0:val="24"/>
          <ns0:szCs ns0:val="24"/>
        </ns0:rPr>
        <ns0:t xml:space="preserve">The complete thermophysical characterization of the twenty-five flux formulations showed bulk density values in the range of 1.40 to 1.54 g/cm³ (Fig. 5.1a), demonstrating good correlation with literature values for multicomponent flux systems. Similar density ranges of 1.35–1.58 g/cm³ and 1.42–1.56 g/cm³ have been reported for CaO–SiO₂–CaF₂ and TiO₂–SiO₂–MgO systems respectively in published literature.</ns0:t>
      </ns0:r>
    </ns0:p>
    <ns0:p>
      <ns0:pPr>
        <ns0:spacing ns0:after="120" ns0:line="360" ns0:lineRule="auto"/>
      </ns0:pPr>
      <ns0:r>
        <ns0:rPr>
          <ns0:rFonts ns0:ascii="Times New Roman" ns0:hAnsi="Times New Roman"/>
          <ns0:sz ns0:val="24"/>
          <ns0:szCs ns0:val="24"/>
        </ns0:rPr>
        <ns0:t xml:space="preserve">Formulations enriched in high-density oxides such as BaO (ρ = 5.72 g/cm³) and MnO (ρ = 5.03 g/cm³) exhibited maximum density values (Flux 14–16 and Flux 23–25), consistent with theoretical predictions based on rule-of-mixtures calculations. Conversely, silica-dominated (SiO₂, ρ = 2.65 g/cm³) and fluorspar-rich (CaF₂, ρ = 3.18 g/cm³) compositions displayed lower bulk densities (Flux 1–6).</ns0:t>
      </ns0:r>
    </ns0:p>
    <ns0:p>
      <ns0:pPr>
        <ns0:spacing ns0:after="120" ns0:line="360" ns0:lineRule="auto"/>
      </ns0:pPr>
      <ns0:r>
        <ns0:rPr>
          <ns0:rFonts ns0:ascii="Times New Roman" ns0:hAnsi="Times New Roman"/>
          <ns0:sz ns0:val="24"/>
          <ns0:szCs ns0:val="24"/>
        </ns0:rPr>
        <ns0:t xml:space="preserve">The mean density of 1.48 ± 0.04 g/cm³ lies in the optimal range (1.4–1.6 g/cm³) for SAW fluxes, providing appropriate flux flow and arc coverage. The low coefficient of variation (2.7%) indicates high manufacturing reproducibility and low porosity, attributed to the uniform CaO binder addition (8%) during agglomeration.</ns0:t>
      </ns0:r>
    </ns0:p>
    <ns0:p>
      <ns0:pPr>
        <ns0:spacing ns0:after="120" ns0:line="360" ns0:lineRule="auto"/>
      </ns0:pPr>
      <ns0:r>
        <ns0:rPr>
          <ns0:rFonts ns0:ascii="Times New Roman" ns0:hAnsi="Times New Roman"/>
          <ns0:sz ns0:val="24"/>
          <ns0:szCs ns0:val="24"/>
          <ns0:b/>
        </ns0:rPr>
        <ns0:t xml:space="preserve">Thermal Conductivity Results:</ns0:t>
      </ns0:r>
    </ns0:p>
    <ns0:p>
      <ns0:pPr>
        <ns0:spacing ns0:after="120" ns0:line="360" ns0:lineRule="auto"/>
      </ns0:pPr>
      <ns0:r>
        <ns0:rPr>
          <ns0:rFonts ns0:ascii="Times New Roman" ns0:hAnsi="Times New Roman"/>
          <ns0:sz ns0:val="24"/>
          <ns0:szCs ns0:val="24"/>
        </ns0:rPr>
        <ns0:t xml:space="preserve">Thermal conductivity values ranged from 0.34 to 0.52 W/m·K (Fig. 5.1b), with clear compositional dependence consistent with known structure–property relationships in ceramic flux systems. These values align with literature reports of 0.31–0.48 W/m·K for agglomerated flux composites and 0.38–0.55 W/m·K for TiO₂–SiO₂-based systems.</ns0:t>
      </ns0:r>
    </ns0:p>
    <ns0:p>
      <ns0:pPr>
        <ns0:spacing ns0:after="120" ns0:line="360" ns0:lineRule="auto"/>
      </ns0:pPr>
      <ns0:r>
        <ns0:rPr>
          <ns0:rFonts ns0:ascii="Times New Roman" ns0:hAnsi="Times New Roman"/>
          <ns0:sz ns0:val="24"/>
          <ns0:szCs ns0:val="24"/>
        </ns0:rPr>
        <ns0:t xml:space="preserve">Key observations:</ns0:t>
      </ns0:r>
    </ns0:p>
    <ns0:p>
      <ns0:pPr>
        <ns0:spacing ns0:after="120" ns0:line="360" ns0:lineRule="auto"/>
      </ns0:pPr>
      <ns0:r>
        <ns0:rPr>
          <ns0:rFonts ns0:ascii="Times New Roman" ns0:hAnsi="Times New Roman"/>
          <ns0:sz ns0:val="24"/>
          <ns0:szCs ns0:val="24"/>
        </ns0:rPr>
        <ns0:t xml:space="preserve">• A strong positive correlation exists between flux density and thermal conductivity, indicating underlying heat transfer mechanisms in heterogeneous oxides.</ns0:t>
      </ns0:r>
    </ns0:p>
    <ns0:p>
      <ns0:pPr>
        <ns0:spacing ns0:after="120" ns0:line="360" ns0:lineRule="auto"/>
      </ns0:pPr>
      <ns0:r>
        <ns0:rPr>
          <ns0:rFonts ns0:ascii="Times New Roman" ns0:hAnsi="Times New Roman"/>
          <ns0:sz ns0:val="24"/>
          <ns0:szCs ns0:val="24"/>
        </ns0:rPr>
        <ns0:t xml:space="preserve">• High concentrations of metallic oxides (MnO, BaO, TiO₂) in dense fluxes consistently exhibited higher thermal conductivity, enhanced by up to 53% over silicate-based formulations.</ns0:t>
      </ns0:r>
    </ns0:p>
    <ns0:p>
      <ns0:pPr>
        <ns0:spacing ns0:after="120" ns0:line="360" ns0:lineRule="auto"/>
      </ns0:pPr>
      <ns0:r>
        <ns0:rPr>
          <ns0:rFonts ns0:ascii="Times New Roman" ns0:hAnsi="Times New Roman"/>
          <ns0:sz ns0:val="24"/>
          <ns0:szCs ns0:val="24"/>
        </ns0:rPr>
        <ns0:t xml:space="preserve">• This improvement is attributed to improved phonon transport in crystalline metallic oxide phases compared to amorphous silicate networks.</ns0:t>
      </ns0:r>
    </ns0:p>
    <ns0:p>
      <ns0:pPr>
        <ns0:spacing ns0:after="120" ns0:line="360" ns0:lineRule="auto"/>
      </ns0:pPr>
      <ns0:r>
        <ns0:rPr>
          <ns0:rFonts ns0:ascii="Times New Roman" ns0:hAnsi="Times New Roman"/>
          <ns0:sz ns0:val="24"/>
          <ns0:szCs ns0:val="24"/>
        </ns0:rPr>
        <ns0:t xml:space="preserve">• Silica-based compositions (Flux 1–6) exhibited insulating properties with lower thermal conductivity, consistent with the known low thermal conductivity of amorphous SiO₂ (0.1–0.2 W/m·K).</ns0:t>
      </ns0:r>
    </ns0:p>
    <ns0:p>
      <ns0:pPr>
        <ns0:spacing ns0:after="120" ns0:line="360" ns0:lineRule="auto"/>
      </ns0:pPr>
      <ns0:r>
        <ns0:rPr>
          <ns0:rFonts ns0:ascii="Times New Roman" ns0:hAnsi="Times New Roman"/>
          <ns0:sz ns0:val="24"/>
          <ns0:szCs ns0:val="24"/>
          <ns0:b/>
        </ns0:rPr>
        <ns0:t xml:space="preserve">Specific Heat Capacity Results:</ns0:t>
      </ns0:r>
    </ns0:p>
    <ns0:p>
      <ns0:pPr>
        <ns0:spacing ns0:after="120" ns0:line="360" ns0:lineRule="auto"/>
      </ns0:pPr>
      <ns0:r>
        <ns0:rPr>
          <ns0:rFonts ns0:ascii="Times New Roman" ns0:hAnsi="Times New Roman"/>
          <ns0:sz ns0:val="24"/>
          <ns0:szCs ns0:val="24"/>
        </ns0:rPr>
        <ns0:t xml:space="preserve">Specific heat capacity measurements ranged from 0.902 to 1.192 MJ/m³·K (Fig. 5.1c). Flux 25 exhibited the highest specific heat capacity (1.28 MJ/m³·K), corresponding to the highest CaF₂ and MnO concentration.</ns0:t>
      </ns0:r>
    </ns0:p>
    <ns0:p>
      <ns0:pPr>
        <ns0:spacing ns0:after="120" ns0:line="360" ns0:lineRule="auto"/>
      </ns0:pPr>
      <ns0:r>
        <ns0:rPr>
          <ns0:rFonts ns0:ascii="Times New Roman" ns0:hAnsi="Times New Roman"/>
          <ns0:sz ns0:val="24"/>
          <ns0:szCs ns0:val="24"/>
        </ns0:rPr>
        <ns0:t xml:space="preserve">The dependence of specific heat on CaF₂ content follows thermodynamic principles: fluoride addition increases heat capacity by enhancing the vibrational modes of the lattice. For SAW applications, high specific heat capacity provides metallurgical benefits through greater thermal energy capture before temperature increase, maintaining arc control and regulating cooling rates in weld pools.</ns0:t>
      </ns0:r>
    </ns0:p>
    <ns0:p>
      <ns0:pPr>
        <ns0:spacing ns0:after="120" ns0:line="360" ns0:lineRule="auto"/>
      </ns0:pPr>
      <ns0:r>
        <ns0:rPr>
          <ns0:rFonts ns0:ascii="Times New Roman" ns0:hAnsi="Times New Roman"/>
          <ns0:sz ns0:val="24"/>
          <ns0:szCs ns0:val="24"/>
          <ns0:b/>
        </ns0:rPr>
        <ns0:t xml:space="preserve">Thermal Diffusivity Results:</ns0:t>
      </ns0:r>
    </ns0:p>
    <ns0:p>
      <ns0:pPr>
        <ns0:spacing ns0:after="120" ns0:line="360" ns0:lineRule="auto"/>
      </ns0:pPr>
      <ns0:r>
        <ns0:rPr>
          <ns0:rFonts ns0:ascii="Times New Roman" ns0:hAnsi="Times New Roman"/>
          <ns0:sz ns0:val="24"/>
          <ns0:szCs ns0:val="24"/>
        </ns0:rPr>
        <ns0:t xml:space="preserve">Thermal diffusivity measurements ranged from 0.202 to 0.351 mm²/s (Fig. 5.1d). Key findings:</ns0:t>
      </ns0:r>
    </ns0:p>
    <ns0:p>
      <ns0:pPr>
        <ns0:spacing ns0:after="120" ns0:line="360" ns0:lineRule="auto"/>
      </ns0:pPr>
      <ns0:r>
        <ns0:rPr>
          <ns0:rFonts ns0:ascii="Times New Roman" ns0:hAnsi="Times New Roman"/>
          <ns0:sz ns0:val="24"/>
          <ns0:szCs ns0:val="24"/>
        </ns0:rPr>
        <ns0:t xml:space="preserve">• Flux 3 and Flux 22 (high silica and fluorspar) had the lowest thermal diffusivity values (0.202–0.215 mm²/s), providing optimal thermal insulation for weld pool protection.</ns0:t>
      </ns0:r>
    </ns0:p>
    <ns0:p>
      <ns0:pPr>
        <ns0:spacing ns0:after="120" ns0:line="360" ns0:lineRule="auto"/>
      </ns0:pPr>
      <ns0:r>
        <ns0:rPr>
          <ns0:rFonts ns0:ascii="Times New Roman" ns0:hAnsi="Times New Roman"/>
          <ns0:sz ns0:val="24"/>
          <ns0:szCs ns0:val="24"/>
        </ns0:rPr>
        <ns0:t xml:space="preserve">• Compositions with high BaO or MnO (Flux 8, Flux 20) exhibited higher thermal diffusivity (0.335–0.351 mm²/s), indicating faster heat propagation.</ns0:t>
      </ns0:r>
    </ns0:p>
    <ns0:p>
      <ns0:pPr>
        <ns0:spacing ns0:after="120" ns0:line="360" ns0:lineRule="auto"/>
      </ns0:pPr>
      <ns0:r>
        <ns0:rPr>
          <ns0:rFonts ns0:ascii="Times New Roman" ns0:hAnsi="Times New Roman"/>
          <ns0:sz ns0:val="24"/>
          <ns0:szCs ns0:val="24"/>
        </ns0:rPr>
        <ns0:t xml:space="preserve">• Low thermal diffusivity fosters slow cooling and high ductility, whereas high thermal diffusivity promotes fast cooling and finer grain structures.</ns0:t>
      </ns0:r>
    </ns0:p>
    <ns0:p>
      <ns0:pPr>
        <ns0:spacing ns0:after="120" ns0:line="360" ns0:lineRule="auto"/>
      </ns0:pPr>
      <ns0:r>
        <ns0:rPr>
          <ns0:rFonts ns0:ascii="Times New Roman" ns0:hAnsi="Times New Roman"/>
          <ns0:sz ns0:val="24"/>
          <ns0:szCs ns0:val="24"/>
        </ns0:rPr>
        <ns0:t xml:space="preserve">Fig. 5.1: Variation of thermophysical properties with flux number: (a) density, (b) thermal conductivity, (c) specific heat capacity, and (d) thermal diffusivity. Error bars represent measurement uncertainty.</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26"/>
          <ns0:szCs ns0:val="26"/>
        </ns0:rPr>
        <ns0:t xml:space="preserve">5.1.2.2 Phase Analysis of Laboratory Developed SAW Fluxes</ns0:t>
      </ns0:r>
    </ns0:p>
    <ns0:p>
      <ns0:pPr>
        <ns0:spacing ns0:after="120" ns0:line="360" ns0:lineRule="auto"/>
      </ns0:pPr>
      <ns0:r>
        <ns0:rPr>
          <ns0:rFonts ns0:ascii="Times New Roman" ns0:hAnsi="Times New Roman"/>
          <ns0:sz ns0:val="24"/>
          <ns0:szCs ns0:val="24"/>
        </ns0:rPr>
        <ns0:t xml:space="preserve">X-ray diffraction analysis of four representative flux mixtures (Flux 2, 12, 16, and 20) revealed distinct crystalline phase assemblages providing information on thermal conduct and metallurgical workability.</ns0:t>
      </ns0:r>
    </ns0:p>
    <ns0:p>
      <ns0:pPr>
        <ns0:spacing ns0:after="120" ns0:line="360" ns0:lineRule="auto"/>
      </ns0:pPr>
      <ns0:r>
        <ns0:rPr>
          <ns0:rFonts ns0:ascii="Times New Roman" ns0:hAnsi="Times New Roman"/>
          <ns0:sz ns0:val="24"/>
          <ns0:szCs ns0:val="24"/>
        </ns0:rPr>
        <ns0:t xml:space="preserve">Flux 2 (35% CaF₂, 25% MnO): Exhibited strong, sharp fluorite reflections at 2θ = 28.3°, 32.2°, and 47.0°, corresponding to the (111), (200), and (220) planes respectively. High intensity and categorically small FWHM indicated high crystallinity and large crystallite size, confirming adequate thermal treatment during flux preparation for fluorite crystal growth.</ns0:t>
      </ns0:r>
    </ns0:p>
    <ns0:p>
      <ns0:pPr>
        <ns0:spacing ns0:after="120" ns0:line="360" ns0:lineRule="auto"/>
      </ns0:pPr>
      <ns0:r>
        <ns0:rPr>
          <ns0:rFonts ns0:ascii="Times New Roman" ns0:hAnsi="Times New Roman"/>
          <ns0:sz ns0:val="24"/>
          <ns0:szCs ns0:val="24"/>
        </ns0:rPr>
        <ns0:t xml:space="preserve">Flux 20 (31.3% CaF₂): Lower CaF₂ content resulted in reduced fluorite peak intensity with new peaks of MnO appearing at 30.1° and 50.5°. The negative correlation between fluorite and MnO peak intensities indicates a competitive crystallization effect.</ns0:t>
      </ns0:r>
    </ns0:p>
    <ns0:p>
      <ns0:pPr>
        <ns0:spacing ns0:after="120" ns0:line="360" ns0:lineRule="auto"/>
      </ns0:pPr>
      <ns0:r>
        <ns0:rPr>
          <ns0:rFonts ns0:ascii="Times New Roman" ns0:hAnsi="Times New Roman"/>
          <ns0:sz ns0:val="24"/>
          <ns0:szCs ns0:val="24"/>
        </ns0:rPr>
        <ns0:t xml:space="preserve">Flux 12: Displayed an intermediate phase assemblage with strong fluorite reflections accompanied by well-defined rutile peaks at 27.4°, 36.1°, and 54.4°, along with discrete MnO signatures. The enhanced rutile-to-fluorite intensity ratio compared to Flux 2 indicates improved titania retention in crystalline form, relevant for arc stabilization.</ns0:t>
      </ns0:r>
    </ns0:p>
    <ns0:p>
      <ns0:pPr>
        <ns0:spacing ns0:after="120" ns0:line="360" ns0:lineRule="auto"/>
      </ns0:pPr>
      <ns0:r>
        <ns0:rPr>
          <ns0:rFonts ns0:ascii="Times New Roman" ns0:hAnsi="Times New Roman"/>
          <ns0:sz ns0:val="24"/>
          <ns0:szCs ns0:val="24"/>
        </ns0:rPr>
        <ns0:t xml:space="preserve">Flux 16 (35% CaF₂, 11.4% TiO₂): Showed dominant CaF₂ and TiO₂ peaks with the highest overall crystallinity among the four samples analyzed.</ns0:t>
      </ns0:r>
    </ns0:p>
    <ns0:p>
      <ns0:pPr>
        <ns0:spacing ns0:after="120" ns0:line="360" ns0:lineRule="auto"/>
      </ns0:pPr>
      <ns0:r>
        <ns0:rPr>
          <ns0:rFonts ns0:ascii="Times New Roman" ns0:hAnsi="Times New Roman"/>
          <ns0:sz ns0:val="24"/>
          <ns0:szCs ns0:val="24"/>
        </ns0:rPr>
        <ns0:t xml:space="preserve">Fig. 5.2: X-ray diffraction patterns of flux samples showing intensity (arbitrary units) versus 2θ (degrees) for four different compositions: (a) Flux 2, (b) Flux 12, (c) Flux 16, and (d) Flux 20. Peak labels: 1-SiO₂, 2-TiO₂, 3-CaF₂, 4-BaO, 5-MnO, 6-CaO.</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26"/>
          <ns0:szCs ns0:val="26"/>
        </ns0:rPr>
        <ns0:t xml:space="preserve">5.1.2.3 Structural Behaviour of Laboratory Developed SAW Fluxes</ns0:t>
      </ns0:r>
    </ns0:p>
    <ns0:p>
      <ns0:pPr>
        <ns0:spacing ns0:after="120" ns0:line="360" ns0:lineRule="auto"/>
      </ns0:pPr>
      <ns0:r>
        <ns0:rPr>
          <ns0:rFonts ns0:ascii="Times New Roman" ns0:hAnsi="Times New Roman"/>
          <ns0:b/>
          <ns0:sz ns0:val="24"/>
          <ns0:szCs ns0:val="24"/>
        </ns0:rPr>
        <ns0:t xml:space="preserve">5.1.2.3.1 Structure–Property Correlations</ns0:t>
      </ns0:r>
    </ns0:p>
    <ns0:p>
      <ns0:pPr>
        <ns0:spacing ns0:after="120" ns0:line="360" ns0:lineRule="auto"/>
      </ns0:pPr>
      <ns0:r>
        <ns0:rPr>
          <ns0:rFonts ns0:ascii="Times New Roman" ns0:hAnsi="Times New Roman"/>
          <ns0:sz ns0:val="24"/>
          <ns0:szCs ns0:val="24"/>
        </ns0:rPr>
        <ns0:t xml:space="preserve">The XRD results correlate directly with thermophysical properties:</ns0:t>
      </ns0:r>
    </ns0:p>
    <ns0:p>
      <ns0:pPr>
        <ns0:spacing ns0:after="120" ns0:line="360" ns0:lineRule="auto"/>
      </ns0:pPr>
      <ns0:r>
        <ns0:rPr>
          <ns0:rFonts ns0:ascii="Times New Roman" ns0:hAnsi="Times New Roman"/>
          <ns0:sz ns0:val="24"/>
          <ns0:szCs ns0:val="24"/>
        </ns0:rPr>
        <ns0:t xml:space="preserve">1. Crystallinity vs. Thermal Diffusivity: Higher crystallinity in fluorite-rich compositions (Flux 2, 16) resulted in lower thermal diffusivity values (0.215–0.245 mm²/s) compared to MnO-rich Flux 20 (0.335 mm²/s). This is consistent with the known phonon scattering effect of fluorite-structured compounds, where fluorine vacancies disrupt heat-carrying phonon propagation.</ns0:t>
      </ns0:r>
    </ns0:p>
    <ns0:p>
      <ns0:pPr>
        <ns0:spacing ns0:after="120" ns0:line="360" ns0:lineRule="auto"/>
      </ns0:pPr>
      <ns0:r>
        <ns0:rPr>
          <ns0:rFonts ns0:ascii="Times New Roman" ns0:hAnsi="Times New Roman"/>
          <ns0:sz ns0:val="24"/>
          <ns0:szCs ns0:val="24"/>
        </ns0:rPr>
        <ns0:t xml:space="preserve">2. MnO and Thermal Conduction: The higher thermal diffusivity of MnO-rich compositions is attributed to the metallic nature of MnO's oxidation state, enabling electronic thermal conduction in addition to phonon transport.</ns0:t>
      </ns0:r>
    </ns0:p>
    <ns0:p>
      <ns0:pPr>
        <ns0:spacing ns0:after="120" ns0:line="360" ns0:lineRule="auto"/>
      </ns0:pPr>
      <ns0:r>
        <ns0:rPr>
          <ns0:rFonts ns0:ascii="Times New Roman" ns0:hAnsi="Times New Roman"/>
          <ns0:sz ns0:val="24"/>
          <ns0:szCs ns0:val="24"/>
        </ns0:rPr>
        <ns0:t xml:space="preserve">3. Crystallinity vs. Basicity Index: The degree of crystallinity (assessed from peak sharpness and intensity) correlates positively with basicity index. Higher basicity fluxes (Flux 2, BI = 4.622; Flux 13, BI = 3.799) showed more intense and sharp diffraction peaks, while lower basicity fluxes (Flux 11, BI = 2.100; Flux 18, BI = 2.100) exhibited broader and weaker peaks reflecting higher amorphous content. This relationship is mechanistically justified: basic oxides (CaO, BaO) and CaF₂ tend to form unique crystalline phases, while SiO₂ forms amorphous glassy networks.</ns0:t>
      </ns0:r>
    </ns0:p>
    <ns0:p>
      <ns0:pPr>
        <ns0:spacing ns0:after="120" ns0:line="360" ns0:lineRule="auto"/>
      </ns0:pPr>
      <ns0:r>
        <ns0:rPr>
          <ns0:rFonts ns0:ascii="Times New Roman" ns0:hAnsi="Times New Roman"/>
          <ns0:b/>
          <ns0:sz ns0:val="24"/>
          <ns0:szCs ns0:val="24"/>
        </ns0:rPr>
        <ns0:t xml:space="preserve">5.1.2.3.2 FTIR Spectral Interpretation and Network Depolymerization</ns0:t>
      </ns0:r>
    </ns0:p>
    <ns0:p>
      <ns0:pPr>
        <ns0:spacing ns0:after="120" ns0:line="360" ns0:lineRule="auto"/>
      </ns0:pPr>
      <ns0:r>
        <ns0:rPr>
          <ns0:rFonts ns0:ascii="Times New Roman" ns0:hAnsi="Times New Roman"/>
          <ns0:sz ns0:val="24"/>
          <ns0:szCs ns0:val="24"/>
        </ns0:rPr>
        <ns0:t xml:space="preserve">FTIR spectra for eight flux samples (divided into Set A: Flux 1, 6, 7, 11 and Set B: Flux 14, 19, 21, 25) revealed systematic structural differences related to compositional changes.</ns0:t>
      </ns0:r>
    </ns0:p>
    <ns0:p>
      <ns0:pPr>
        <ns0:spacing ns0:after="120" ns0:line="360" ns0:lineRule="auto"/>
      </ns0:pPr>
      <ns0:r>
        <ns0:rPr>
          <ns0:rFonts ns0:ascii="Times New Roman" ns0:hAnsi="Times New Roman"/>
          <ns0:sz ns0:val="24"/>
          <ns0:szCs ns0:val="24"/>
          <ns0:b/>
        </ns0:rPr>
        <ns0:t xml:space="preserve">Si–O–Si Asymmetric Stretching (1070–1120 cm⁻¹):</ns0:t>
      </ns0:r>
    </ns0:p>
    <ns0:p>
      <ns0:pPr>
        <ns0:spacing ns0:after="120" ns0:line="360" ns0:lineRule="auto"/>
      </ns0:pPr>
      <ns0:r>
        <ns0:rPr>
          <ns0:rFonts ns0:ascii="Times New Roman" ns0:hAnsi="Times New Roman"/>
          <ns0:sz ns0:val="24"/>
          <ns0:szCs ns0:val="24"/>
        </ns0:rPr>
        <ns0:t xml:space="preserve">The most prominent feature in all spectra was a broad, strong absorption band characteristic of asymmetric Si–O–Si stretching in silicate tetrahedra. A systematic shift toward lower wavenumbers was observed in Set B compared to Set A:</ns0:t>
      </ns0:r>
    </ns0:p>
    <ns0:p>
      <ns0:pPr>
        <ns0:spacing ns0:after="120" ns0:line="360" ns0:lineRule="auto"/>
      </ns0:pPr>
      <ns0:r>
        <ns0:rPr>
          <ns0:rFonts ns0:ascii="Times New Roman" ns0:hAnsi="Times New Roman"/>
          <ns0:sz ns0:val="24"/>
          <ns0:szCs ns0:val="24"/>
        </ns0:rPr>
        <ns0:t xml:space="preserve">• Set A average peak position: 1105 cm⁻¹</ns0:t>
      </ns0:r>
    </ns0:p>
    <ns0:p>
      <ns0:pPr>
        <ns0:spacing ns0:after="120" ns0:line="360" ns0:lineRule="auto"/>
      </ns0:pPr>
      <ns0:r>
        <ns0:rPr>
          <ns0:rFonts ns0:ascii="Times New Roman" ns0:hAnsi="Times New Roman"/>
          <ns0:sz ns0:val="24"/>
          <ns0:szCs ns0:val="24"/>
        </ns0:rPr>
        <ns0:t xml:space="preserve">• Set B average peak position: 1085 cm⁻¹</ns0:t>
      </ns0:r>
    </ns0:p>
    <ns0:p>
      <ns0:pPr>
        <ns0:spacing ns0:after="120" ns0:line="360" ns0:lineRule="auto"/>
      </ns0:pPr>
      <ns0:r>
        <ns0:rPr>
          <ns0:rFonts ns0:ascii="Times New Roman" ns0:hAnsi="Times New Roman"/>
          <ns0:sz ns0:val="24"/>
          <ns0:szCs ns0:val="24"/>
        </ns0:rPr>
        <ns0:t xml:space="preserve">This red shift (~20 cm⁻¹) indicates increased depolymerization of the silicate network. Lower wavenumbers correspond to a higher concentration of non-bridging oxygen atoms (NBOs), resulting from network modification by basic oxides (BaO, MnO, CaO).</ns0:t>
      </ns0:r>
    </ns0:p>
    <ns0:p>
      <ns0:pPr>
        <ns0:spacing ns0:after="120" ns0:line="360" ns0:lineRule="auto"/>
      </ns0:pPr>
      <ns0:r>
        <ns0:rPr>
          <ns0:rFonts ns0:ascii="Times New Roman" ns0:hAnsi="Times New Roman"/>
          <ns0:sz ns0:val="24"/>
          <ns0:szCs ns0:val="24"/>
          <ns0:b/>
        </ns0:rPr>
        <ns0:t xml:space="preserve">Non-Bridging Oxygen Vibrations (~950 cm⁻¹):</ns0:t>
      </ns0:r>
    </ns0:p>
    <ns0:p>
      <ns0:pPr>
        <ns0:spacing ns0:after="120" ns0:line="360" ns0:lineRule="auto"/>
      </ns0:pPr>
      <ns0:r>
        <ns0:rPr>
          <ns0:rFonts ns0:ascii="Times New Roman" ns0:hAnsi="Times New Roman"/>
          <ns0:sz ns0:val="24"/>
          <ns0:szCs ns0:val="24"/>
        </ns0:rPr>
        <ns0:t xml:space="preserve">A shoulder near 950 cm⁻¹ (Si–O non-bridging oxygen stretching) was stronger in Set B samples. The intensity ratio I₉₅₀/I₁₁₀₀ served as a semi-quantitative depolymerization index:</ns0:t>
      </ns0:r>
    </ns0:p>
    <ns0:p>
      <ns0:pPr>
        <ns0:spacing ns0:after="120" ns0:line="360" ns0:lineRule="auto"/>
      </ns0:pPr>
      <ns0:r>
        <ns0:rPr>
          <ns0:rFonts ns0:ascii="Times New Roman" ns0:hAnsi="Times New Roman"/>
          <ns0:sz ns0:val="24"/>
          <ns0:szCs ns0:val="24"/>
        </ns0:rPr>
        <ns0:t xml:space="preserve">• Set A: I₉₅₀/I₁₁₀₀ = 0.15–0.25</ns0:t>
      </ns0:r>
    </ns0:p>
    <ns0:p>
      <ns0:pPr>
        <ns0:spacing ns0:after="120" ns0:line="360" ns0:lineRule="auto"/>
      </ns0:pPr>
      <ns0:r>
        <ns0:rPr>
          <ns0:rFonts ns0:ascii="Times New Roman" ns0:hAnsi="Times New Roman"/>
          <ns0:sz ns0:val="24"/>
          <ns0:szCs ns0:val="24"/>
        </ns0:rPr>
        <ns0:t xml:space="preserve">• Set B: I₉₅₀/I₁₁₀₀ = 0.30–0.45</ns0:t>
      </ns0:r>
    </ns0:p>
    <ns0:p>
      <ns0:pPr>
        <ns0:spacing ns0:after="120" ns0:line="360" ns0:lineRule="auto"/>
      </ns0:pPr>
      <ns0:r>
        <ns0:rPr>
          <ns0:rFonts ns0:ascii="Times New Roman" ns0:hAnsi="Times New Roman"/>
          <ns0:sz ns0:val="24"/>
          <ns0:szCs ns0:val="24"/>
        </ns0:rPr>
        <ns0:t xml:space="preserve">This confirms greater network depolymerization in Set B caused by higher modifier content.</ns0:t>
      </ns0:r>
    </ns0:p>
    <ns0:p>
      <ns0:pPr>
        <ns0:spacing ns0:after="120" ns0:line="360" ns0:lineRule="auto"/>
      </ns0:pPr>
      <ns0:r>
        <ns0:rPr>
          <ns0:rFonts ns0:ascii="Times New Roman" ns0:hAnsi="Times New Roman"/>
          <ns0:sz ns0:val="24"/>
          <ns0:szCs ns0:val="24"/>
        </ns0:rPr>
        <ns0:t xml:space="preserve">Fig. 5.3: FTIR spectra of flux samples: (a) Set A — Flux 1, Flux 6, Flux 7, Flux 11 and (b) Set B — Flux 14, Flux 19, Flux 21, Flux 25, showing percent transmittance versus wavenumber (4000–500 cm⁻¹). Dashed lines indicate notable absorption band positions.</ns0:t>
      </ns0:r>
    </ns0:p>
    <ns0:p>
      <ns0:pPr>
        <ns0:spacing ns0:after="120" ns0:line="360" ns0:lineRule="auto"/>
      </ns0:pPr>
      <ns0:r>
        <ns0:rPr>
          <ns0:rFonts ns0:ascii="Times New Roman" ns0:hAnsi="Times New Roman"/>
          <ns0:b/>
          <ns0:sz ns0:val="24"/>
          <ns0:szCs ns0:val="24"/>
        </ns0:rPr>
        <ns0:t xml:space="preserve">5.1.2.3.3 Correlation with Thermal and Anticipated Slag Behaviour</ns0:t>
      </ns0:r>
    </ns0:p>
    <ns0:p>
      <ns0:pPr>
        <ns0:spacing ns0:after="120" ns0:line="360" ns0:lineRule="auto"/>
      </ns0:pPr>
      <ns0:r>
        <ns0:rPr>
          <ns0:rFonts ns0:ascii="Times New Roman" ns0:hAnsi="Times New Roman"/>
          <ns0:sz ns0:val="24"/>
          <ns0:szCs ns0:val="24"/>
        </ns0:rPr>
        <ns0:t xml:space="preserve">The depolymerization index obtained from FTIR confirms a positive correlation with specific heat capacity:</ns0:t>
      </ns0:r>
    </ns0:p>
    <ns0:p>
      <ns0:pPr>
        <ns0:spacing ns0:after="120" ns0:line="360" ns0:lineRule="auto"/>
      </ns0:pPr>
      <ns0:r>
        <ns0:rPr>
          <ns0:rFonts ns0:ascii="Times New Roman" ns0:hAnsi="Times New Roman"/>
          <ns0:sz ns0:val="24"/>
          <ns0:szCs ns0:val="24"/>
        </ns0:rPr>
        <ns0:t xml:space="preserve">• Set B (higher I₉₅₀/I₁₁₀₀): Specific heat capacities of 1.05–1.19 MJ/m³·K</ns0:t>
      </ns0:r>
    </ns0:p>
    <ns0:p>
      <ns0:pPr>
        <ns0:spacing ns0:after="120" ns0:line="360" ns0:lineRule="auto"/>
      </ns0:pPr>
      <ns0:r>
        <ns0:rPr>
          <ns0:rFonts ns0:ascii="Times New Roman" ns0:hAnsi="Times New Roman"/>
          <ns0:sz ns0:val="24"/>
          <ns0:szCs ns0:val="24"/>
        </ns0:rPr>
        <ns0:t xml:space="preserve">• Set A (lower I₉₅₀/I₁₁₀₀): Specific heat capacities of 0.90–0.98 MJ/m³·K</ns0:t>
      </ns0:r>
    </ns0:p>
    <ns0:p>
      <ns0:pPr>
        <ns0:spacing ns0:after="120" ns0:line="360" ns0:lineRule="auto"/>
      </ns0:pPr>
      <ns0:r>
        <ns0:rPr>
          <ns0:rFonts ns0:ascii="Times New Roman" ns0:hAnsi="Times New Roman"/>
          <ns0:sz ns0:val="24"/>
          <ns0:szCs ns0:val="24"/>
        </ns0:rPr>
        <ns0:t xml:space="preserve">This correlation is mechanistically sound: depolymerized silicate networks possess more vibrational modes and higher configurational entropy than polymerized species, providing greater heat absorption capacity.</ns0:t>
      </ns0:r>
    </ns0:p>
    <ns0:p>
      <ns0:pPr>
        <ns0:spacing ns0:after="120" ns0:line="360" ns0:lineRule="auto"/>
      </ns0:pPr>
      <ns0:r>
        <ns0:rPr>
          <ns0:rFonts ns0:ascii="Times New Roman" ns0:hAnsi="Times New Roman"/>
          <ns0:sz ns0:val="24"/>
          <ns0:szCs ns0:val="24"/>
        </ns0:rPr>
        <ns0:t xml:space="preserve">Based on established literature correlations between network depolymerization and slag viscosity, it may be reasonably anticipated that Set B formulations (particularly Flux 21 and Flux 25) would exhibit greater slag fluidity and lower viscosity compared to Set A formulations. However, direct verification through high-temperature viscosity measurements was not performed in the present investigation.</ns0:t>
      </ns0:r>
    </ns0:p>
    <ns0:p>
      <ns0:pPr>
        <ns0:spacing ns0:after="120" ns0:line="360" ns0:lineRule="auto"/>
      </ns0:pPr>
      <ns0:r>
        <ns0:rPr>
          <ns0:rFonts ns0:ascii="Times New Roman" ns0:hAnsi="Times New Roman"/>
          <ns0:b/>
          <ns0:sz ns0:val="24"/>
          <ns0:szCs ns0:val="24"/>
        </ns0:rPr>
        <ns0:t xml:space="preserve">5.1.2.3.4 Hydroxyl and Carbonate Species</ns0:t>
      </ns0:r>
    </ns0:p>
    <ns0:p>
      <ns0:pPr>
        <ns0:spacing ns0:after="120" ns0:line="360" ns0:lineRule="auto"/>
      </ns0:pPr>
      <ns0:r>
        <ns0:rPr>
          <ns0:rFonts ns0:ascii="Times New Roman" ns0:hAnsi="Times New Roman"/>
          <ns0:sz ns0:val="24"/>
          <ns0:szCs ns0:val="24"/>
        </ns0:rPr>
        <ns0:t xml:space="preserve">O–H stretching bands (broad band centered around 3400 cm⁻¹) were found in all spectra with varying intensity between samples. These hydroxyl groups are attributable to:</ns0:t>
      </ns0:r>
    </ns0:p>
    <ns0:p>
      <ns0:pPr>
        <ns0:spacing ns0:after="120" ns0:line="360" ns0:lineRule="auto"/>
      </ns0:pPr>
      <ns0:r>
        <ns0:rPr>
          <ns0:rFonts ns0:ascii="Times New Roman" ns0:hAnsi="Times New Roman"/>
          <ns0:sz ns0:val="24"/>
          <ns0:szCs ns0:val="24"/>
        </ns0:rPr>
        <ns0:t xml:space="preserve">• Surface moisture</ns0:t>
      </ns0:r>
    </ns0:p>
    <ns0:p>
      <ns0:pPr>
        <ns0:spacing ns0:after="120" ns0:line="360" ns0:lineRule="auto"/>
      </ns0:pPr>
      <ns0:r>
        <ns0:rPr>
          <ns0:rFonts ns0:ascii="Times New Roman" ns0:hAnsi="Times New Roman"/>
          <ns0:sz ns0:val="24"/>
          <ns0:szCs ns0:val="24"/>
        </ns0:rPr>
        <ns0:t xml:space="preserve">• Structural water in the potassium silicate binder</ns0:t>
      </ns0:r>
    </ns0:p>
    <ns0:p>
      <ns0:pPr>
        <ns0:spacing ns0:after="120" ns0:line="360" ns0:lineRule="auto"/>
      </ns0:pPr>
      <ns0:r>
        <ns0:rPr>
          <ns0:rFonts ns0:ascii="Times New Roman" ns0:hAnsi="Times New Roman"/>
          <ns0:sz ns0:val="24"/>
          <ns0:szCs ns0:val="24"/>
        </ns0:rPr>
        <ns0:t xml:space="preserve">Set A samples showed higher hydroxyl band intensity, suggesting greater moisture retention and potentially higher susceptibility to hydrogen-induced cracking. However, this observation is considered a qualitative indicator rather than a definitive predictor of weld metal hydrogen content, as quantitative hydrogen evolution assessment was beyond the scope of this investigation.</ns0:t>
      </ns0:r>
    </ns0:p>
    <ns0:p>
      <ns0:pPr>
        <ns0:spacing ns0:after="120" ns0:line="360" ns0:lineRule="auto"/>
      </ns0:pPr>
      <ns0:r>
        <ns0:rPr>
          <ns0:rFonts ns0:ascii="Times New Roman" ns0:hAnsi="Times New Roman"/>
          <ns0:sz ns0:val="24"/>
          <ns0:szCs ns0:val="24"/>
        </ns0:rPr>
        <ns0:t xml:space="preserve">Additional structural features identified:</ns0:t>
      </ns0:r>
    </ns0:p>
    <ns0:p>
      <ns0:pPr>
        <ns0:spacing ns0:after="120" ns0:line="360" ns0:lineRule="auto"/>
      </ns0:pPr>
      <ns0:r>
        <ns0:rPr>
          <ns0:rFonts ns0:ascii="Times New Roman" ns0:hAnsi="Times New Roman"/>
          <ns0:sz ns0:val="24"/>
          <ns0:szCs ns0:val="24"/>
        </ns0:rPr>
        <ns0:t xml:space="preserve">• Si–O–Si bending modes (400–600 cm⁻¹): Indicate ring structures and three-dimensional network connectivity</ns0:t>
      </ns0:r>
    </ns0:p>
    <ns0:p>
      <ns0:pPr>
        <ns0:spacing ns0:after="120" ns0:line="360" ns0:lineRule="auto"/>
      </ns0:pPr>
      <ns0:r>
        <ns0:rPr>
          <ns0:rFonts ns0:ascii="Times New Roman" ns0:hAnsi="Times New Roman"/>
          <ns0:sz ns0:val="24"/>
          <ns0:szCs ns0:val="24"/>
        </ns0:rPr>
        <ns0:t xml:space="preserve">• Ti–O lattice vibration bands (400–800 cm⁻¹): Complex coordination environments characteristic of multicomponent flux systems</ns0:t>
      </ns0:r>
    </ns0:p>
    <ns0:p>
      <ns0:pPr>
        <ns0:spacing ns0:after="120" ns0:line="360" ns0:lineRule="auto"/>
      </ns0:pPr>
      <ns0:r>
        <ns0:rPr>
          <ns0:rFonts ns0:ascii="Times New Roman" ns0:hAnsi="Times New Roman"/>
          <ns0:sz ns0:val="24"/>
          <ns0:szCs ns0:val="24"/>
        </ns0:rPr>
        <ns0:t xml:space="preserve">• Mn–O lattice modes (700–400 cm⁻¹): Overlapping with Ti–O and Si–O–Si bands, increasing in proportion to MnO content</ns0:t>
      </ns0:r>
    </ns0:p>
    <ns0:p>
      <ns0:pPr>
        <ns0:spacing ns0:after="120" ns0:line="360" ns0:lineRule="auto"/>
      </ns0:pPr>
      <ns0:r>
        <ns0:rPr>
          <ns0:rFonts ns0:ascii="Times New Roman" ns0:hAnsi="Times New Roman"/>
          <ns0:b/>
          <ns0:sz ns0:val="24"/>
          <ns0:szCs ns0:val="24"/>
        </ns0:rPr>
        <ns0:t xml:space="preserve">5.1.2.3.5 Scope of Physicochemical and Thermophysical Properties Characterization</ns0:t>
      </ns0:r>
    </ns0:p>
    <ns0:p>
      <ns0:pPr>
        <ns0:spacing ns0:after="120" ns0:line="360" ns0:lineRule="auto"/>
      </ns0:pPr>
      <ns0:r>
        <ns0:rPr>
          <ns0:rFonts ns0:ascii="Times New Roman" ns0:hAnsi="Times New Roman"/>
          <ns0:sz ns0:val="24"/>
          <ns0:szCs ns0:val="24"/>
        </ns0:rPr>
        <ns0:t xml:space="preserve">This characterization work successfully establishes quantitative relationships between flux composition and measured physical/thermophysical properties. The data provide a scientific foundation for preparing fluxes with specified bulk density, thermal conductivity, and specific heat.</ns0:t>
      </ns0:r>
    </ns0:p>
    <ns0:p>
      <ns0:pPr>
        <ns0:spacing ns0:after="120" ns0:line="360" ns0:lineRule="auto"/>
      </ns0:pPr>
      <ns0:r>
        <ns0:rPr>
          <ns0:rFonts ns0:ascii="Times New Roman" ns0:hAnsi="Times New Roman"/>
          <ns0:sz ns0:val="24"/>
          <ns0:szCs ns0:val="24"/>
          <ns0:b/>
        </ns0:rPr>
        <ns0:t xml:space="preserve">Important limitations noted:</ns0:t>
      </ns0:r>
    </ns0:p>
    <ns0:p>
      <ns0:pPr>
        <ns0:spacing ns0:after="120" ns0:line="360" ns0:lineRule="auto"/>
      </ns0:pPr>
      <ns0:r>
        <ns0:rPr>
          <ns0:rFonts ns0:ascii="Times New Roman" ns0:hAnsi="Times New Roman"/>
          <ns0:sz ns0:val="24"/>
          <ns0:szCs ns0:val="24"/>
        </ns0:rPr>
        <ns0:t xml:space="preserve">• The experimental scope encompasses room-temperature characterization of as-prepared fluxes only.</ns0:t>
      </ns0:r>
    </ns0:p>
    <ns0:p>
      <ns0:pPr>
        <ns0:spacing ns0:after="120" ns0:line="360" ns0:lineRule="auto"/>
      </ns0:pPr>
      <ns0:r>
        <ns0:rPr>
          <ns0:rFonts ns0:ascii="Times New Roman" ns0:hAnsi="Times New Roman"/>
          <ns0:sz ns0:val="24"/>
          <ns0:szCs ns0:val="24"/>
        </ns0:rPr>
        <ns0:t xml:space="preserve">• No direct measurements of slag viscosity, melting temperature, detachability, or weld metal hydrogen content were performed.</ns0:t>
      </ns0:r>
    </ns0:p>
    <ns0:p>
      <ns0:pPr>
        <ns0:spacing ns0:after="120" ns0:line="360" ns0:lineRule="auto"/>
      </ns0:pPr>
      <ns0:r>
        <ns0:rPr>
          <ns0:rFonts ns0:ascii="Times New Roman" ns0:hAnsi="Times New Roman"/>
          <ns0:sz ns0:val="24"/>
          <ns0:szCs ns0:val="24"/>
        </ns0:rPr>
        <ns0:t xml:space="preserve">• Statements regarding anticipated slag behavior are structure-based predictions supported by well-established literature correlations rather than verified performance characteristics.</ns0:t>
      </ns0:r>
    </ns0:p>
    <ns0:p>
      <ns0:pPr>
        <ns0:spacing ns0:after="120" ns0:line="360" ns0:lineRule="auto"/>
      </ns0:pPr>
      <ns0:r>
        <ns0:rPr>
          <ns0:rFonts ns0:ascii="Times New Roman" ns0:hAnsi="Times New Roman"/>
          <ns0:sz ns0:val="24"/>
          <ns0:szCs ns0:val="24"/>
        </ns0:rPr>
        <ns0:t xml:space="preserve">• Future studies should include high-temperature viscosity measurements, differential thermal analysis (DTA), slag detachment force tests, and weld metal hydrogen analysis.</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32"/>
          <ns0:szCs ns0:val="32"/>
        </ns0:rPr>
        <ns0:t xml:space="preserve">5.2 Multi-Pass Bead-on-Plate Experimentation for Twenty-Five Laboratory Developed SAW Fluxes</ns0:t>
      </ns0:r>
    </ns0:p>
    <ns0:p>
      <ns0:pPr>
        <ns0:spacing ns0:after="120" ns0:line="360" ns0:lineRule="auto"/>
      </ns0:pPr>
      <ns0:r>
        <ns0:rPr>
          <ns0:rFonts ns0:ascii="Times New Roman" ns0:hAnsi="Times New Roman"/>
          <ns0:b/>
          <ns0:sz ns0:val="28"/>
          <ns0:szCs ns0:val="28"/>
        </ns0:rPr>
        <ns0:t xml:space="preserve">5.2.1 Bead Profile Analysis</ns0:t>
      </ns0:r>
    </ns0:p>
    <ns0:p>
      <ns0:pPr>
        <ns0:spacing ns0:after="120" ns0:line="360" ns0:lineRule="auto"/>
      </ns0:pPr>
      <ns0:r>
        <ns0:rPr>
          <ns0:rFonts ns0:ascii="Times New Roman" ns0:hAnsi="Times New Roman"/>
          <ns0:sz ns0:val="24"/>
          <ns0:szCs ns0:val="24"/>
        </ns0:rPr>
        <ns0:t xml:space="preserve">Visual examination of the twenty-five multi-pass beads (Fig. 5.4) provided preliminary assessment of welding performance. Beads were rated on:</ns0:t>
      </ns0:r>
    </ns0:p>
    <ns0:p>
      <ns0:pPr>
        <ns0:spacing ns0:after="120" ns0:line="360" ns0:lineRule="auto"/>
      </ns0:pPr>
      <ns0:r>
        <ns0:rPr>
          <ns0:rFonts ns0:ascii="Times New Roman" ns0:hAnsi="Times New Roman"/>
          <ns0:sz ns0:val="24"/>
          <ns0:szCs ns0:val="24"/>
        </ns0:rPr>
        <ns0:t xml:space="preserve">• Bead morphology: Smoothness, uniformity, and regularity of ripple pattern</ns0:t>
      </ns0:r>
    </ns0:p>
    <ns0:p>
      <ns0:pPr>
        <ns0:spacing ns0:after="120" ns0:line="360" ns0:lineRule="auto"/>
      </ns0:pPr>
      <ns0:r>
        <ns0:rPr>
          <ns0:rFonts ns0:ascii="Times New Roman" ns0:hAnsi="Times New Roman"/>
          <ns0:sz ns0:val="24"/>
          <ns0:szCs ns0:val="24"/>
        </ns0:rPr>
        <ns0:t xml:space="preserve">• Porosity level: Surface porosity assessed as low, medium, or high</ns0:t>
      </ns0:r>
    </ns0:p>
    <ns0:p>
      <ns0:pPr>
        <ns0:spacing ns0:after="120" ns0:line="360" ns0:lineRule="auto"/>
      </ns0:pPr>
      <ns0:r>
        <ns0:rPr>
          <ns0:rFonts ns0:ascii="Times New Roman" ns0:hAnsi="Times New Roman"/>
          <ns0:sz ns0:val="24"/>
          <ns0:szCs ns0:val="24"/>
        </ns0:rPr>
        <ns0:t xml:space="preserve">• Slag detachability: Self-peeling, easy (manual), moderate, or difficult</ns0:t>
      </ns0:r>
    </ns0:p>
    <ns0:p>
      <ns0:pPr>
        <ns0:spacing ns0:after="120" ns0:line="360" ns0:lineRule="auto"/>
      </ns0:pPr>
      <ns0:r>
        <ns0:rPr>
          <ns0:rFonts ns0:ascii="Times New Roman" ns0:hAnsi="Times New Roman"/>
          <ns0:sz ns0:val="24"/>
          <ns0:szCs ns0:val="24"/>
        </ns0:rPr>
        <ns0:t xml:space="preserve">Fluxes with higher basicity indices generally produced beads with better slag detachability, which is attributed to the formation of more rigid, non-adherent slag layers. Fluxes with balanced CaF₂ content (28–32%) showed optimal bead morphology with smooth, uniform profiles.</ns0:t>
      </ns0:r>
    </ns0:p>
    <ns0:p>
      <ns0:pPr>
        <ns0:spacing ns0:after="120" ns0:line="360" ns0:lineRule="auto"/>
      </ns0:pPr>
      <ns0:r>
        <ns0:rPr>
          <ns0:rFonts ns0:ascii="Times New Roman" ns0:hAnsi="Times New Roman"/>
          <ns0:sz ns0:val="24"/>
          <ns0:szCs ns0:val="24"/>
        </ns0:rPr>
        <ns0:t xml:space="preserve">Fig. 5.4: Photograph of twenty-five multi-pass SAW beads showing variation in bead morphology, surface quality, and slag coverage across different flux compositions.</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28"/>
          <ns0:szCs ns0:val="28"/>
        </ns0:rPr>
        <ns0:t xml:space="preserve">5.2.2 Optimization of Bead Chemistry and Microhardness During Multi-Pass Weld Deposits</ns0:t>
      </ns0:r>
    </ns0:p>
    <ns0:p>
      <ns0:pPr>
        <ns0:spacing ns0:after="120" ns0:line="360" ns0:lineRule="auto"/>
      </ns0:pPr>
      <ns0:r>
        <ns0:rPr>
          <ns0:rFonts ns0:ascii="Times New Roman" ns0:hAnsi="Times New Roman"/>
          <ns0:b/>
          <ns0:sz ns0:val="26"/>
          <ns0:szCs ns0:val="26"/>
        </ns0:rPr>
        <ns0:t xml:space="preserve">5.2.2.1 Analysis of Chemical Composition and Microhardness for Twenty-Five SAW Multi-Pass Weld Beads</ns0:t>
      </ns0:r>
    </ns0:p>
    <ns0:p>
      <ns0:pPr>
        <ns0:spacing ns0:after="120" ns0:line="360" ns0:lineRule="auto"/>
      </ns0:pPr>
      <ns0:r>
        <ns0:rPr>
          <ns0:rFonts ns0:ascii="Times New Roman" ns0:hAnsi="Times New Roman"/>
          <ns0:sz ns0:val="24"/>
          <ns0:szCs ns0:val="24"/>
        </ns0:rPr>
        <ns0:t xml:space="preserve">The chemical analysis of twenty-five multipass weld beads (Table 5.1) revealed the following ranges:</ns0:t>
      </ns0:r>
    </ns0:p>
    <ns0:p>
      <ns0:pPr>
        <ns0:spacing ns0:after="120" ns0:line="360" ns0:lineRule="auto"/>
      </ns0:pPr>
      <ns0:r>
        <ns0:rPr>
          <ns0:rFonts ns0:ascii="Times New Roman" ns0:hAnsi="Times New Roman"/>
          <ns0:sz ns0:val="24"/>
          <ns0:szCs ns0:val="24"/>
        </ns0:rPr>
        <ns0:t xml:space="preserve">• Carbon (C): 0.032–0.050%</ns0:t>
      </ns0:r>
    </ns0:p>
    <ns0:p>
      <ns0:pPr>
        <ns0:spacing ns0:after="120" ns0:line="360" ns0:lineRule="auto"/>
      </ns0:pPr>
      <ns0:r>
        <ns0:rPr>
          <ns0:rFonts ns0:ascii="Times New Roman" ns0:hAnsi="Times New Roman"/>
          <ns0:sz ns0:val="24"/>
          <ns0:szCs ns0:val="24"/>
        </ns0:rPr>
        <ns0:t xml:space="preserve">• Silicon (Si): 0.123–0.268%</ns0:t>
      </ns0:r>
    </ns0:p>
    <ns0:p>
      <ns0:pPr>
        <ns0:spacing ns0:after="120" ns0:line="360" ns0:lineRule="auto"/>
      </ns0:pPr>
      <ns0:r>
        <ns0:rPr>
          <ns0:rFonts ns0:ascii="Times New Roman" ns0:hAnsi="Times New Roman"/>
          <ns0:sz ns0:val="24"/>
          <ns0:szCs ns0:val="24"/>
        </ns0:rPr>
        <ns0:t xml:space="preserve">• Manganese (Mn): 0.524–0.949%</ns0:t>
      </ns0:r>
    </ns0:p>
    <ns0:p>
      <ns0:pPr>
        <ns0:spacing ns0:after="120" ns0:line="360" ns0:lineRule="auto"/>
      </ns0:pPr>
      <ns0:r>
        <ns0:rPr>
          <ns0:rFonts ns0:ascii="Times New Roman" ns0:hAnsi="Times New Roman"/>
          <ns0:sz ns0:val="24"/>
          <ns0:szCs ns0:val="24"/>
        </ns0:rPr>
        <ns0:t xml:space="preserve">• Phosphorus (P): 0.011–0.019%</ns0:t>
      </ns0:r>
    </ns0:p>
    <ns0:p>
      <ns0:pPr>
        <ns0:spacing ns0:after="120" ns0:line="360" ns0:lineRule="auto"/>
      </ns0:pPr>
      <ns0:r>
        <ns0:rPr>
          <ns0:rFonts ns0:ascii="Times New Roman" ns0:hAnsi="Times New Roman"/>
          <ns0:sz ns0:val="24"/>
          <ns0:szCs ns0:val="24"/>
        </ns0:rPr>
        <ns0:t xml:space="preserve">• Sulfur (S): 0.002–0.012%</ns0:t>
      </ns0:r>
    </ns0:p>
    <ns0:p>
      <ns0:pPr>
        <ns0:spacing ns0:after="120" ns0:line="360" ns0:lineRule="auto"/>
      </ns0:pPr>
      <ns0:r>
        <ns0:rPr>
          <ns0:rFonts ns0:ascii="Times New Roman" ns0:hAnsi="Times New Roman"/>
          <ns0:sz ns0:val="24"/>
          <ns0:szCs ns0:val="24"/>
        </ns0:rPr>
        <ns0:t xml:space="preserve">• Molybdenum (Mo): 0.192–0.297%</ns0:t>
      </ns0:r>
    </ns0:p>
    <ns0:p>
      <ns0:pPr>
        <ns0:spacing ns0:after="120" ns0:line="360" ns0:lineRule="auto"/>
      </ns0:pPr>
      <ns0:r>
        <ns0:rPr>
          <ns0:rFonts ns0:ascii="Times New Roman" ns0:hAnsi="Times New Roman"/>
          <ns0:sz ns0:val="24"/>
          <ns0:szCs ns0:val="24"/>
        </ns0:rPr>
        <ns0:t xml:space="preserve">• Nickel (Ni): 0.010–0.100%</ns0:t>
      </ns0:r>
    </ns0:p>
    <ns0:p>
      <ns0:pPr>
        <ns0:spacing ns0:after="120" ns0:line="360" ns0:lineRule="auto"/>
      </ns0:pPr>
      <ns0:r>
        <ns0:rPr>
          <ns0:rFonts ns0:ascii="Times New Roman" ns0:hAnsi="Times New Roman"/>
          <ns0:sz ns0:val="24"/>
          <ns0:szCs ns0:val="24"/>
        </ns0:rPr>
        <ns0:t xml:space="preserve">• Chromium (Cr): 0.020–0.043%</ns0:t>
      </ns0:r>
    </ns0:p>
    <ns0:p>
      <ns0:pPr>
        <ns0:spacing ns0:after="120" ns0:line="360" ns0:lineRule="auto"/>
      </ns0:pPr>
      <ns0:r>
        <ns0:rPr>
          <ns0:rFonts ns0:ascii="Times New Roman" ns0:hAnsi="Times New Roman"/>
          <ns0:sz ns0:val="24"/>
          <ns0:szCs ns0:val="24"/>
        </ns0:rPr>
        <ns0:t xml:space="preserve">• Titanium (Ti): 0.0009–0.0030% (9–30 ppm)</ns0:t>
      </ns0:r>
    </ns0:p>
    <ns0:p>
      <ns0:pPr>
        <ns0:spacing ns0:after="120" ns0:line="360" ns0:lineRule="auto"/>
      </ns0:pPr>
      <ns0:r>
        <ns0:rPr>
          <ns0:rFonts ns0:ascii="Times New Roman" ns0:hAnsi="Times New Roman"/>
          <ns0:sz ns0:val="24"/>
          <ns0:szCs ns0:val="24"/>
        </ns0:rPr>
        <ns0:t xml:space="preserve">• Microhardness (MH): 175–226 HV</ns0:t>
      </ns0:r>
    </ns0:p>
    <ns0:p>
      <ns0:pPr>
        <ns0:spacing ns0:after="120" ns0:line="360" ns0:lineRule="auto"/>
      </ns0:pPr>
      <ns0:r>
        <ns0:rPr>
          <ns0:rFonts ns0:ascii="Times New Roman" ns0:hAnsi="Times New Roman"/>
          <ns0:sz ns0:val="24"/>
          <ns0:szCs ns0:val="24"/>
        </ns0:rPr>
        <ns0:t xml:space="preserve">• Carbon Equivalent (CE): 0.19–0.31</ns0:t>
      </ns0:r>
    </ns0:p>
    <ns0:p>
      <ns0:pPr>
        <ns0:spacing ns0:after="120" ns0:line="360" ns0:lineRule="auto"/>
      </ns0:pPr>
      <ns0:r>
        <ns0:rPr>
          <ns0:rFonts ns0:ascii="Times New Roman" ns0:hAnsi="Times New Roman"/>
          <ns0:sz ns0:val="24"/>
          <ns0:szCs ns0:val="24"/>
        </ns0:rPr>
        <ns0:t xml:space="preserve">Table 5.1: Chemical composition and microhardness analysis of twenty-five multipass weld beads</ns0:t>
      </ns0:r>
    </ns0:p>
    <ns0:p>
      <ns0:pPr>
        <ns0:spacing ns0:after="120" ns0:line="360" ns0:lineRule="auto"/>
      </ns0:pPr>
      <ns0:r>
        <ns0:rPr>
          <ns0:rFonts ns0:ascii="Times New Roman" ns0:hAnsi="Times New Roman"/>
          <ns0:sz ns0:val="24"/>
          <ns0:szCs ns0:val="24"/>
        </ns0:rPr>
        <ns0:t xml:space="preserve">Flux    C    Si    P    S    Mn    Ni    Cr    Mo    Ti    MH (HV)    CE</ns0:t>
      </ns0:r>
    </ns0:p>
    <ns0:p>
      <ns0:pPr>
        <ns0:spacing ns0:after="120" ns0:line="360" ns0:lineRule="auto"/>
      </ns0:pPr>
      <ns0:r>
        <ns0:rPr>
          <ns0:rFonts ns0:ascii="Times New Roman" ns0:hAnsi="Times New Roman"/>
          <ns0:sz ns0:val="24"/>
          <ns0:szCs ns0:val="24"/>
        </ns0:rPr>
        <ns0:t xml:space="preserve">F1    0.0425    0.167    0.0121    0.0115    0.788    0.010    0.033    0.239    0.0025    185    0.28</ns0:t>
      </ns0:r>
    </ns0:p>
    <ns0:p>
      <ns0:pPr>
        <ns0:spacing ns0:after="120" ns0:line="360" ns0:lineRule="auto"/>
      </ns0:pPr>
      <ns0:r>
        <ns0:rPr>
          <ns0:rFonts ns0:ascii="Times New Roman" ns0:hAnsi="Times New Roman"/>
          <ns0:sz ns0:val="24"/>
          <ns0:szCs ns0:val="24"/>
        </ns0:rPr>
        <ns0:t xml:space="preserve">F2    0.0361    0.233    0.0138    0.0020    0.785    0.100    0.043    0.192    0.0015    190    0.26</ns0:t>
      </ns0:r>
    </ns0:p>
    <ns0:p>
      <ns0:pPr>
        <ns0:spacing ns0:after="120" ns0:line="360" ns0:lineRule="auto"/>
      </ns0:pPr>
      <ns0:r>
        <ns0:rPr>
          <ns0:rFonts ns0:ascii="Times New Roman" ns0:hAnsi="Times New Roman"/>
          <ns0:sz ns0:val="24"/>
          <ns0:szCs ns0:val="24"/>
        </ns0:rPr>
        <ns0:t xml:space="preserve">F3    0.0412    0.268    0.0114    0.0020    0.672    0.011    0.030    0.201    0.0020    200    0.24</ns0:t>
      </ns0:r>
    </ns0:p>
    <ns0:p>
      <ns0:pPr>
        <ns0:spacing ns0:after="120" ns0:line="360" ns0:lineRule="auto"/>
      </ns0:pPr>
      <ns0:r>
        <ns0:rPr>
          <ns0:rFonts ns0:ascii="Times New Roman" ns0:hAnsi="Times New Roman"/>
          <ns0:sz ns0:val="24"/>
          <ns0:szCs ns0:val="24"/>
        </ns0:rPr>
        <ns0:t xml:space="preserve">F4    0.0401    0.184    0.0112    0.0027    0.524    0.090    0.028    0.271    0.0021    220    0.29</ns0:t>
      </ns0:r>
    </ns0:p>
    <ns0:p>
      <ns0:pPr>
        <ns0:spacing ns0:after="120" ns0:line="360" ns0:lineRule="auto"/>
      </ns0:pPr>
      <ns0:r>
        <ns0:rPr>
          <ns0:rFonts ns0:ascii="Times New Roman" ns0:hAnsi="Times New Roman"/>
          <ns0:sz ns0:val="24"/>
          <ns0:szCs ns0:val="24"/>
        </ns0:rPr>
        <ns0:t xml:space="preserve">F5    0.0500    0.212    0.0184    0.0026    0.673    0.080    0.042    0.204    0.0019    210    0.25</ns0:t>
      </ns0:r>
    </ns0:p>
    <ns0:p>
      <ns0:pPr>
        <ns0:spacing ns0:after="120" ns0:line="360" ns0:lineRule="auto"/>
      </ns0:pPr>
      <ns0:r>
        <ns0:rPr>
          <ns0:rFonts ns0:ascii="Times New Roman" ns0:hAnsi="Times New Roman"/>
          <ns0:sz ns0:val="24"/>
          <ns0:szCs ns0:val="24"/>
        </ns0:rPr>
        <ns0:t xml:space="preserve">F6    0.0503    0.175    0.0192    0.0036    0.664    0.069    0.034    0.246    0.0030    178    0.19</ns0:t>
      </ns0:r>
    </ns0:p>
    <ns0:p>
      <ns0:pPr>
        <ns0:spacing ns0:after="120" ns0:line="360" ns0:lineRule="auto"/>
      </ns0:pPr>
      <ns0:r>
        <ns0:rPr>
          <ns0:rFonts ns0:ascii="Times New Roman" ns0:hAnsi="Times New Roman"/>
          <ns0:sz ns0:val="24"/>
          <ns0:szCs ns0:val="24"/>
        </ns0:rPr>
        <ns0:t xml:space="preserve">F7    0.0480    0.193    0.0174    0.0040    0.745    0.069    0.033    0.284    0.0022    199    0.30</ns0:t>
      </ns0:r>
    </ns0:p>
    <ns0:p>
      <ns0:pPr>
        <ns0:spacing ns0:after="120" ns0:line="360" ns0:lineRule="auto"/>
      </ns0:pPr>
      <ns0:r>
        <ns0:rPr>
          <ns0:rFonts ns0:ascii="Times New Roman" ns0:hAnsi="Times New Roman"/>
          <ns0:sz ns0:val="24"/>
          <ns0:szCs ns0:val="24"/>
        </ns0:rPr>
        <ns0:t xml:space="preserve">F8    0.0423    0.155    0.0149    0.0035    0.545    0.088    0.025    0.223    0.0015    205    0.27</ns0:t>
      </ns0:r>
    </ns0:p>
    <ns0:p>
      <ns0:pPr>
        <ns0:spacing ns0:after="120" ns0:line="360" ns0:lineRule="auto"/>
      </ns0:pPr>
      <ns0:r>
        <ns0:rPr>
          <ns0:rFonts ns0:ascii="Times New Roman" ns0:hAnsi="Times New Roman"/>
          <ns0:sz ns0:val="24"/>
          <ns0:szCs ns0:val="24"/>
        </ns0:rPr>
        <ns0:t xml:space="preserve">F9    0.0483    0.198    0.0137    0.0022    0.645    0.100    0.027    0.289    0.0017    195    0.25</ns0:t>
      </ns0:r>
    </ns0:p>
    <ns0:p>
      <ns0:pPr>
        <ns0:spacing ns0:after="120" ns0:line="360" ns0:lineRule="auto"/>
      </ns0:pPr>
      <ns0:r>
        <ns0:rPr>
          <ns0:rFonts ns0:ascii="Times New Roman" ns0:hAnsi="Times New Roman"/>
          <ns0:sz ns0:val="24"/>
          <ns0:szCs ns0:val="24"/>
        </ns0:rPr>
        <ns0:t xml:space="preserve">F10    0.0445    0.169    0.0116    0.0037    0.756    0.011    0.025    0.297    0.0012    215    0.29</ns0:t>
      </ns0:r>
    </ns0:p>
    <ns0:p>
      <ns0:pPr>
        <ns0:spacing ns0:after="120" ns0:line="360" ns0:lineRule="auto"/>
      </ns0:pPr>
      <ns0:r>
        <ns0:rPr>
          <ns0:rFonts ns0:ascii="Times New Roman" ns0:hAnsi="Times New Roman"/>
          <ns0:sz ns0:val="24"/>
          <ns0:szCs ns0:val="24"/>
        </ns0:rPr>
        <ns0:t xml:space="preserve">F11    0.0322    0.157    0.0115    0.0034    0.881    0.010    0.030    0.215    0.0013    182    0.22</ns0:t>
      </ns0:r>
    </ns0:p>
    <ns0:p>
      <ns0:pPr>
        <ns0:spacing ns0:after="120" ns0:line="360" ns0:lineRule="auto"/>
      </ns0:pPr>
      <ns0:r>
        <ns0:rPr>
          <ns0:rFonts ns0:ascii="Times New Roman" ns0:hAnsi="Times New Roman"/>
          <ns0:sz ns0:val="24"/>
          <ns0:szCs ns0:val="24"/>
        </ns0:rPr>
        <ns0:t xml:space="preserve">F12    0.0456    0.179    0.0186    0.0030    0.827    0.090    0.023    0.226    0.0022    191    0.24</ns0:t>
      </ns0:r>
    </ns0:p>
    <ns0:p>
      <ns0:pPr>
        <ns0:spacing ns0:after="120" ns0:line="360" ns0:lineRule="auto"/>
      </ns0:pPr>
      <ns0:r>
        <ns0:rPr>
          <ns0:rFonts ns0:ascii="Times New Roman" ns0:hAnsi="Times New Roman"/>
          <ns0:sz ns0:val="24"/>
          <ns0:szCs ns0:val="24"/>
        </ns0:rPr>
        <ns0:t xml:space="preserve">F13    0.0483    0.152    0.0108    0.0042    0.684    0.010    0.025    0.284    0.0024    193    0.23</ns0:t>
      </ns0:r>
    </ns0:p>
    <ns0:p>
      <ns0:pPr>
        <ns0:spacing ns0:after="120" ns0:line="360" ns0:lineRule="auto"/>
      </ns0:pPr>
      <ns0:r>
        <ns0:rPr>
          <ns0:rFonts ns0:ascii="Times New Roman" ns0:hAnsi="Times New Roman"/>
          <ns0:sz ns0:val="24"/>
          <ns0:szCs ns0:val="24"/>
        </ns0:rPr>
        <ns0:t xml:space="preserve">F14    0.0392    0.152    0.0124    0.0039    0.761    0.014    0.027    0.218    0.0027    210    0.26</ns0:t>
      </ns0:r>
    </ns0:p>
    <ns0:p>
      <ns0:pPr>
        <ns0:spacing ns0:after="120" ns0:line="360" ns0:lineRule="auto"/>
      </ns0:pPr>
      <ns0:r>
        <ns0:rPr>
          <ns0:rFonts ns0:ascii="Times New Roman" ns0:hAnsi="Times New Roman"/>
          <ns0:sz ns0:val="24"/>
          <ns0:szCs ns0:val="24"/>
        </ns0:rPr>
        <ns0:t xml:space="preserve">F15    0.0462    0.136    0.0106    0.0024    0.689    0.011    0.028    0.218    0.0026    226    0.31</ns0:t>
      </ns0:r>
    </ns0:p>
    <ns0:p>
      <ns0:pPr>
        <ns0:spacing ns0:after="120" ns0:line="360" ns0:lineRule="auto"/>
      </ns0:pPr>
      <ns0:r>
        <ns0:rPr>
          <ns0:rFonts ns0:ascii="Times New Roman" ns0:hAnsi="Times New Roman"/>
          <ns0:sz ns0:val="24"/>
          <ns0:szCs ns0:val="24"/>
        </ns0:rPr>
        <ns0:t xml:space="preserve">F16    0.0401    0.174    0.0119    0.0053    0.865    0.011    0.030    0.277    0.0011    217    0.27</ns0:t>
      </ns0:r>
    </ns0:p>
    <ns0:p>
      <ns0:pPr>
        <ns0:spacing ns0:after="120" ns0:line="360" ns0:lineRule="auto"/>
      </ns0:pPr>
      <ns0:r>
        <ns0:rPr>
          <ns0:rFonts ns0:ascii="Times New Roman" ns0:hAnsi="Times New Roman"/>
          <ns0:sz ns0:val="24"/>
          <ns0:szCs ns0:val="24"/>
        </ns0:rPr>
        <ns0:t xml:space="preserve">F17    0.0499    0.133    0.0121    0.0045    0.711    0.011    0.027    0.292    0.0010    204    0.23</ns0:t>
      </ns0:r>
    </ns0:p>
    <ns0:p>
      <ns0:pPr>
        <ns0:spacing ns0:after="120" ns0:line="360" ns0:lineRule="auto"/>
      </ns0:pPr>
      <ns0:r>
        <ns0:rPr>
          <ns0:rFonts ns0:ascii="Times New Roman" ns0:hAnsi="Times New Roman"/>
          <ns0:sz ns0:val="24"/>
          <ns0:szCs ns0:val="24"/>
        </ns0:rPr>
        <ns0:t xml:space="preserve">F18    0.0488    0.169    0.0113    0.0057    0.882    0.011    0.022    0.213    0.0009    200    0.22</ns0:t>
      </ns0:r>
    </ns0:p>
    <ns0:p>
      <ns0:pPr>
        <ns0:spacing ns0:after="120" ns0:line="360" ns0:lineRule="auto"/>
      </ns0:pPr>
      <ns0:r>
        <ns0:rPr>
          <ns0:rFonts ns0:ascii="Times New Roman" ns0:hAnsi="Times New Roman"/>
          <ns0:sz ns0:val="24"/>
          <ns0:szCs ns0:val="24"/>
        </ns0:rPr>
        <ns0:t xml:space="preserve">F19    0.0469    0.162    0.0130    0.0031    0.812    0.011    0.030    0.276    0.0023    208    0.25</ns0:t>
      </ns0:r>
    </ns0:p>
    <ns0:p>
      <ns0:pPr>
        <ns0:spacing ns0:after="120" ns0:line="360" ns0:lineRule="auto"/>
      </ns0:pPr>
      <ns0:r>
        <ns0:rPr>
          <ns0:rFonts ns0:ascii="Times New Roman" ns0:hAnsi="Times New Roman"/>
          <ns0:sz ns0:val="24"/>
          <ns0:szCs ns0:val="24"/>
        </ns0:rPr>
        <ns0:t xml:space="preserve">F20    0.0471    0.148    0.0157    0.0039    0.759    0.012    0.020    0.261    0.0024    184    0.22</ns0:t>
      </ns0:r>
    </ns0:p>
    <ns0:p>
      <ns0:pPr>
        <ns0:spacing ns0:after="120" ns0:line="360" ns0:lineRule="auto"/>
      </ns0:pPr>
      <ns0:r>
        <ns0:rPr>
          <ns0:rFonts ns0:ascii="Times New Roman" ns0:hAnsi="Times New Roman"/>
          <ns0:sz ns0:val="24"/>
          <ns0:szCs ns0:val="24"/>
        </ns0:rPr>
        <ns0:t xml:space="preserve">F21    0.0416    0.165    0.0140    0.0040    0.849    0.019    0.022    0.273    0.0022    210    0.28</ns0:t>
      </ns0:r>
    </ns0:p>
    <ns0:p>
      <ns0:pPr>
        <ns0:spacing ns0:after="120" ns0:line="360" ns0:lineRule="auto"/>
      </ns0:pPr>
      <ns0:r>
        <ns0:rPr>
          <ns0:rFonts ns0:ascii="Times New Roman" ns0:hAnsi="Times New Roman"/>
          <ns0:sz ns0:val="24"/>
          <ns0:szCs ns0:val="24"/>
        </ns0:rPr>
        <ns0:t xml:space="preserve">F22    0.0476    0.123    0.0120    0.0020    0.649    0.017    0.021    0.213    0.0025    175    0.21</ns0:t>
      </ns0:r>
    </ns0:p>
    <ns0:p>
      <ns0:pPr>
        <ns0:spacing ns0:after="120" ns0:line="360" ns0:lineRule="auto"/>
      </ns0:pPr>
      <ns0:r>
        <ns0:rPr>
          <ns0:rFonts ns0:ascii="Times New Roman" ns0:hAnsi="Times New Roman"/>
          <ns0:sz ns0:val="24"/>
          <ns0:szCs ns0:val="24"/>
        </ns0:rPr>
        <ns0:t xml:space="preserve">F23    0.0455    0.145    0.0110    0.0020    0.659    0.013    0.022    0.222    0.0018    196    0.29</ns0:t>
      </ns0:r>
    </ns0:p>
    <ns0:p>
      <ns0:pPr>
        <ns0:spacing ns0:after="120" ns0:line="360" ns0:lineRule="auto"/>
      </ns0:pPr>
      <ns0:r>
        <ns0:rPr>
          <ns0:rFonts ns0:ascii="Times New Roman" ns0:hAnsi="Times New Roman"/>
          <ns0:sz ns0:val="24"/>
          <ns0:szCs ns0:val="24"/>
        </ns0:rPr>
        <ns0:t xml:space="preserve">F24    0.0483    0.142    0.0127    0.0118    0.949    0.019    0.024    0.225    0.0020    189    0.25</ns0:t>
      </ns0:r>
    </ns0:p>
    <ns0:p>
      <ns0:pPr>
        <ns0:spacing ns0:after="120" ns0:line="360" ns0:lineRule="auto"/>
      </ns0:pPr>
      <ns0:r>
        <ns0:rPr>
          <ns0:rFonts ns0:ascii="Times New Roman" ns0:hAnsi="Times New Roman"/>
          <ns0:sz ns0:val="24"/>
          <ns0:szCs ns0:val="24"/>
        </ns0:rPr>
        <ns0:t xml:space="preserve">F25    0.0413    0.125    0.0152    0.0120    0.649    0.019    0.023    0.273    0.0019    184    0.26</ns0:t>
      </ns0:r>
    </ns0:p>
    <ns0:p>
      <ns0:pPr>
        <ns0:spacing ns0:after="120" ns0:line="360" ns0:lineRule="auto"/>
      </ns0:pPr>
      <ns0:r>
        <ns0:rPr>
          <ns0:rFonts ns0:ascii="Times New Roman" ns0:hAnsi="Times New Roman"/>
          <ns0:sz ns0:val="24"/>
          <ns0:szCs ns0:val="24"/>
        </ns0:rPr>
        <ns0:t xml:space="preserve">The results demonstrate that individual flux ingredients (SiO₂, TiO₂, CaF₂, MnO, CaO) enhance carbon content compared to binary and ternary mixtures. The F4 optimized flux yielded a microhardness of 220 HV, CE of 0.29, and fine acicular ferrite microstructure at low Ti levels (9–30 ppm). F22 flux produced the lowest microhardness value of 175 HV with CE of 0.21.</ns0:t>
      </ns0:r>
    </ns0:p>
    <ns0:p>
      <ns0:pPr>
        <ns0:spacing ns0:after="120" ns0:line="360" ns0:lineRule="auto"/>
      </ns0:pPr>
      <ns0:r>
        <ns0:rPr>
          <ns0:rFonts ns0:ascii="Times New Roman" ns0:hAnsi="Times New Roman"/>
          <ns0:sz ns0:val="24"/>
          <ns0:szCs ns0:val="24"/>
        </ns0:rPr>
        <ns0:t xml:space="preserve">The titanium content range (9–30 ppm) is highly significant for acicular ferrite formation. Ti in this optimal low concentration range forms fine, dispersed Ti-rich oxide particles that serve as intragranular nucleation sites for acicular ferrite.</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26"/>
          <ns0:szCs ns0:val="26"/>
        </ns0:rPr>
        <ns0:t xml:space="preserve">5.2.2.1.1 Regression Models of Chemical Composition and Microhardness</ns0:t>
      </ns0:r>
    </ns0:p>
    <ns0:p>
      <ns0:pPr>
        <ns0:spacing ns0:after="120" ns0:line="360" ns0:lineRule="auto"/>
      </ns0:pPr>
      <ns0:r>
        <ns0:rPr>
          <ns0:rFonts ns0:ascii="Times New Roman" ns0:hAnsi="Times New Roman"/>
          <ns0:sz ns0:val="24"/>
          <ns0:szCs ns0:val="24"/>
        </ns0:rPr>
        <ns0:t xml:space="preserve">Least squares regression models were developed for all responses (Eqs. 5.1–5.10) incorporating linear, binary, and ternary interaction terms:</ns0:t>
      </ns0:r>
    </ns0:p>
    <ns0:p>
      <ns0:pPr>
        <ns0:spacing ns0:after="120" ns0:line="360" ns0:lineRule="auto"/>
      </ns0:pPr>
      <ns0:r>
        <ns0:rPr>
          <ns0:rFonts ns0:ascii="Times New Roman" ns0:hAnsi="Times New Roman"/>
          <ns0:sz ns0:val="24"/>
          <ns0:szCs ns0:val="24"/>
          <ns0:b/>
        </ns0:rPr>
        <ns0:t xml:space="preserve">Carbon (C) — Equation 5.1:</ns0:t>
      </ns0:r>
    </ns0:p>
    <ns0:p>
      <ns0:pPr>
        <ns0:spacing ns0:after="120" ns0:line="360" ns0:lineRule="auto"/>
      </ns0:pPr>
      <ns0:r>
        <ns0:rPr>
          <ns0:rFonts ns0:ascii="Times New Roman" ns0:hAnsi="Times New Roman"/>
          <ns0:sz ns0:val="24"/>
          <ns0:szCs ns0:val="24"/>
        </ns0:rPr>
        <ns0:t xml:space="preserve">$$C = 0.00505 \cdot TiO_2 + 0.01646 \cdot SiO_2 + 0.00929 \cdot CaF_2 + 0.15137 \cdot BaO$$</ns0:t>
      </ns0:r>
    </ns0:p>
    <ns0:p>
      <ns0:pPr>
        <ns0:spacing ns0:after="120" ns0:line="360" ns0:lineRule="auto"/>
      </ns0:pPr>
      <ns0:r>
        <ns0:rPr>
          <ns0:rFonts ns0:ascii="Times New Roman" ns0:hAnsi="Times New Roman"/>
          <ns0:sz ns0:val="24"/>
          <ns0:szCs ns0:val="24"/>
        </ns0:rPr>
        <ns0:t xml:space="preserve">$$- 0.000352(BaO \cdot SiO_2) - 0.000116(MnO \cdot CaF_2) - 0.00216(CaO \cdot MnO)$$</ns0:t>
      </ns0:r>
    </ns0:p>
    <ns0:p>
      <ns0:pPr>
        <ns0:spacing ns0:after="120" ns0:line="360" ns0:lineRule="auto"/>
      </ns0:pPr>
      <ns0:r>
        <ns0:rPr>
          <ns0:rFonts ns0:ascii="Times New Roman" ns0:hAnsi="Times New Roman"/>
          <ns0:sz ns0:val="24"/>
          <ns0:szCs ns0:val="24"/>
        </ns0:rPr>
        <ns0:t xml:space="preserve">$$- 0.000524(SiO_2 \cdot TiO_2) - 0.00486(SiO_2 \cdot CaO) - 0.00317(CaF_2 \cdot MnO)$$</ns0:t>
      </ns0:r>
    </ns0:p>
    <ns0:p>
      <ns0:pPr>
        <ns0:spacing ns0:after="120" ns0:line="360" ns0:lineRule="auto"/>
      </ns0:pPr>
      <ns0:r>
        <ns0:rPr>
          <ns0:rFonts ns0:ascii="Times New Roman" ns0:hAnsi="Times New Roman"/>
          <ns0:sz ns0:val="24"/>
          <ns0:szCs ns0:val="24"/>
        </ns0:rPr>
        <ns0:t xml:space="preserve">$$+ ternary\ interaction\ terms$$</ns0:t>
      </ns0:r>
    </ns0:p>
    <ns0:p>
      <ns0:pPr>
        <ns0:spacing ns0:after="120" ns0:line="360" ns0:lineRule="auto"/>
      </ns0:pPr>
      <ns0:r>
        <ns0:rPr>
          <ns0:rFonts ns0:ascii="Times New Roman" ns0:hAnsi="Times New Roman"/>
          <ns0:sz ns0:val="24"/>
          <ns0:szCs ns0:val="24"/>
          <ns0:b/>
        </ns0:rPr>
        <ns0:t xml:space="preserve">Silicon (Si) — Equation 5.2:</ns0:t>
      </ns0:r>
    </ns0:p>
    <ns0:p>
      <ns0:pPr>
        <ns0:spacing ns0:after="120" ns0:line="360" ns0:lineRule="auto"/>
      </ns0:pPr>
      <ns0:r>
        <ns0:rPr>
          <ns0:rFonts ns0:ascii="Times New Roman" ns0:hAnsi="Times New Roman"/>
          <ns0:sz ns0:val="24"/>
          <ns0:szCs ns0:val="24"/>
        </ns0:rPr>
        <ns0:t xml:space="preserve">$$Si = -0.04415 \cdot TiO_2 - 0.02340 \cdot SiO_2 - 0.00966 \cdot CaF_2 - 0.15227 \cdot MnO$$</ns0:t>
      </ns0:r>
    </ns0:p>
    <ns0:p>
      <ns0:pPr>
        <ns0:spacing ns0:after="120" ns0:line="360" ns0:lineRule="auto"/>
      </ns0:pPr>
      <ns0:r>
        <ns0:rPr>
          <ns0:rFonts ns0:ascii="Times New Roman" ns0:hAnsi="Times New Roman"/>
          <ns0:sz ns0:val="24"/>
          <ns0:szCs ns0:val="24"/>
        </ns0:rPr>
        <ns0:t xml:space="preserve">$$+ 0.000251(TiO_2 \cdot SiO_2) + 0.000447(MnO \cdot CaF_2) + 0.00397(CaO \cdot BaO)$$</ns0:t>
      </ns0:r>
    </ns0:p>
    <ns0:p>
      <ns0:pPr>
        <ns0:spacing ns0:after="120" ns0:line="360" ns0:lineRule="auto"/>
      </ns0:pPr>
      <ns0:r>
        <ns0:rPr>
          <ns0:rFonts ns0:ascii="Times New Roman" ns0:hAnsi="Times New Roman"/>
          <ns0:sz ns0:val="24"/>
          <ns0:szCs ns0:val="24"/>
        </ns0:rPr>
        <ns0:t xml:space="preserve">$$+ 0.000556(BaO \cdot CaF_2) + 0.00755(SiO_2 \cdot BaO) + 0.00321(CaF_2 \cdot SiO_2)$$</ns0:t>
      </ns0:r>
    </ns0:p>
    <ns0:p>
      <ns0:pPr>
        <ns0:spacing ns0:after="120" ns0:line="360" ns0:lineRule="auto"/>
      </ns0:pPr>
      <ns0:r>
        <ns0:rPr>
          <ns0:rFonts ns0:ascii="Times New Roman" ns0:hAnsi="Times New Roman"/>
          <ns0:sz ns0:val="24"/>
          <ns0:szCs ns0:val="24"/>
          <ns0:b/>
        </ns0:rPr>
        <ns0:t xml:space="preserve">Manganese (Mn) — Equation 5.3:</ns0:t>
      </ns0:r>
    </ns0:p>
    <ns0:p>
      <ns0:pPr>
        <ns0:spacing ns0:after="120" ns0:line="360" ns0:lineRule="auto"/>
      </ns0:pPr>
      <ns0:r>
        <ns0:rPr>
          <ns0:rFonts ns0:ascii="Times New Roman" ns0:hAnsi="Times New Roman"/>
          <ns0:sz ns0:val="24"/>
          <ns0:szCs ns0:val="24"/>
        </ns0:rPr>
        <ns0:t xml:space="preserve">$$Mn = 0.32448 \cdot CaO + 0.23349 \cdot SiO_2 + 0.34037 \cdot CaF_2 + 3.11349 \cdot BaO$$</ns0:t>
      </ns0:r>
    </ns0:p>
    <ns0:p>
      <ns0:pPr>
        <ns0:spacing ns0:after="120" ns0:line="360" ns0:lineRule="auto"/>
      </ns0:pPr>
      <ns0:r>
        <ns0:rPr>
          <ns0:rFonts ns0:ascii="Times New Roman" ns0:hAnsi="Times New Roman"/>
          <ns0:sz ns0:val="24"/>
          <ns0:szCs ns0:val="24"/>
        </ns0:rPr>
        <ns0:t xml:space="preserve">$$- binary\ and\ ternary\ interaction\ terms$$</ns0:t>
      </ns0:r>
    </ns0:p>
    <ns0:p>
      <ns0:pPr>
        <ns0:spacing ns0:after="120" ns0:line="360" ns0:lineRule="auto"/>
      </ns0:pPr>
      <ns0:r>
        <ns0:rPr>
          <ns0:rFonts ns0:ascii="Times New Roman" ns0:hAnsi="Times New Roman"/>
          <ns0:sz ns0:val="24"/>
          <ns0:szCs ns0:val="24"/>
          <ns0:b/>
        </ns0:rPr>
        <ns0:t xml:space="preserve">Phosphorus (P) — Equation 5.4:</ns0:t>
      </ns0:r>
    </ns0:p>
    <ns0:p>
      <ns0:pPr>
        <ns0:spacing ns0:after="120" ns0:line="360" ns0:lineRule="auto"/>
      </ns0:pPr>
      <ns0:r>
        <ns0:rPr>
          <ns0:rFonts ns0:ascii="Times New Roman" ns0:hAnsi="Times New Roman"/>
          <ns0:sz ns0:val="24"/>
          <ns0:szCs ns0:val="24"/>
        </ns0:rPr>
        <ns0:t xml:space="preserve">$$P = 0.00158 \cdot CaO + 0.00423 \cdot SiO_2 + 0.00280 \cdot CaF_2 - 0.02503 \cdot BaO$$</ns0:t>
      </ns0:r>
    </ns0:p>
    <ns0:p>
      <ns0:pPr>
        <ns0:spacing ns0:after="120" ns0:line="360" ns0:lineRule="auto"/>
      </ns0:pPr>
      <ns0:r>
        <ns0:rPr>
          <ns0:rFonts ns0:ascii="Times New Roman" ns0:hAnsi="Times New Roman"/>
          <ns0:sz ns0:val="24"/>
          <ns0:szCs ns0:val="24"/>
        </ns0:rPr>
        <ns0:t xml:space="preserve">$$+ interaction\ terms$$</ns0:t>
      </ns0:r>
    </ns0:p>
    <ns0:p>
      <ns0:pPr>
        <ns0:spacing ns0:after="120" ns0:line="360" ns0:lineRule="auto"/>
      </ns0:pPr>
      <ns0:r>
        <ns0:rPr>
          <ns0:rFonts ns0:ascii="Times New Roman" ns0:hAnsi="Times New Roman"/>
          <ns0:sz ns0:val="24"/>
          <ns0:szCs ns0:val="24"/>
          <ns0:b/>
        </ns0:rPr>
        <ns0:t xml:space="preserve">Sulfur (S) — Equation 5.5:</ns0:t>
      </ns0:r>
    </ns0:p>
    <ns0:p>
      <ns0:pPr>
        <ns0:spacing ns0:after="120" ns0:line="360" ns0:lineRule="auto"/>
      </ns0:pPr>
      <ns0:r>
        <ns0:rPr>
          <ns0:rFonts ns0:ascii="Times New Roman" ns0:hAnsi="Times New Roman"/>
          <ns0:sz ns0:val="24"/>
          <ns0:szCs ns0:val="24"/>
        </ns0:rPr>
        <ns0:t xml:space="preserve">$$S = -1.213E{-3} \cdot CaO - 1.235E{-3} \cdot SiO_2 - 1.015E{-3} \cdot CaF_2 - 0.02433 \cdot BaO$$</ns0:t>
      </ns0:r>
    </ns0:p>
    <ns0:p>
      <ns0:pPr>
        <ns0:spacing ns0:after="120" ns0:line="360" ns0:lineRule="auto"/>
      </ns0:pPr>
      <ns0:r>
        <ns0:rPr>
          <ns0:rFonts ns0:ascii="Times New Roman" ns0:hAnsi="Times New Roman"/>
          <ns0:sz ns0:val="24"/>
          <ns0:szCs ns0:val="24"/>
        </ns0:rPr>
        <ns0:t xml:space="preserve">$$+ interaction\ terms$$</ns0:t>
      </ns0:r>
    </ns0:p>
    <ns0:p>
      <ns0:pPr>
        <ns0:spacing ns0:after="120" ns0:line="360" ns0:lineRule="auto"/>
      </ns0:pPr>
      <ns0:r>
        <ns0:rPr>
          <ns0:rFonts ns0:ascii="Times New Roman" ns0:hAnsi="Times New Roman"/>
          <ns0:sz ns0:val="24"/>
          <ns0:szCs ns0:val="24"/>
          <ns0:b/>
        </ns0:rPr>
        <ns0:t xml:space="preserve">Molybdenum (Mo) — Equation 5.6:</ns0:t>
      </ns0:r>
    </ns0:p>
    <ns0:p>
      <ns0:pPr>
        <ns0:spacing ns0:after="120" ns0:line="360" ns0:lineRule="auto"/>
      </ns0:pPr>
      <ns0:r>
        <ns0:rPr>
          <ns0:rFonts ns0:ascii="Times New Roman" ns0:hAnsi="Times New Roman"/>
          <ns0:sz ns0:val="24"/>
          <ns0:szCs ns0:val="24"/>
        </ns0:rPr>
        <ns0:t xml:space="preserve">$$Mo = 0.02351 \cdot CaO + 0.03611 \cdot SiO_2 - 0.23425 \cdot CaF_2 - 0.34562 \cdot BaO$$</ns0:t>
      </ns0:r>
    </ns0:p>
    <ns0:p>
      <ns0:pPr>
        <ns0:spacing ns0:after="120" ns0:line="360" ns0:lineRule="auto"/>
      </ns0:pPr>
      <ns0:r>
        <ns0:rPr>
          <ns0:rFonts ns0:ascii="Times New Roman" ns0:hAnsi="Times New Roman"/>
          <ns0:sz ns0:val="24"/>
          <ns0:szCs ns0:val="24"/>
        </ns0:rPr>
        <ns0:t xml:space="preserve">$$+ interaction\ terms$$</ns0:t>
      </ns0:r>
    </ns0:p>
    <ns0:p>
      <ns0:pPr>
        <ns0:spacing ns0:after="120" ns0:line="360" ns0:lineRule="auto"/>
      </ns0:pPr>
      <ns0:r>
        <ns0:rPr>
          <ns0:rFonts ns0:ascii="Times New Roman" ns0:hAnsi="Times New Roman"/>
          <ns0:sz ns0:val="24"/>
          <ns0:szCs ns0:val="24"/>
          <ns0:b/>
        </ns0:rPr>
        <ns0:t xml:space="preserve">Nickel (Ni) — Equation 5.7:</ns0:t>
      </ns0:r>
    </ns0:p>
    <ns0:p>
      <ns0:pPr>
        <ns0:spacing ns0:after="120" ns0:line="360" ns0:lineRule="auto"/>
      </ns0:pPr>
      <ns0:r>
        <ns0:rPr>
          <ns0:rFonts ns0:ascii="Times New Roman" ns0:hAnsi="Times New Roman"/>
          <ns0:sz ns0:val="24"/>
          <ns0:szCs ns0:val="24"/>
        </ns0:rPr>
        <ns0:t xml:space="preserve">$$Ni = -0.02014 \cdot BaO - 0.02346 \cdot SiO_2 - 0.06833 \cdot CaF_2 + 0.35525 \cdot CaO$$</ns0:t>
      </ns0:r>
    </ns0:p>
    <ns0:p>
      <ns0:pPr>
        <ns0:spacing ns0:after="120" ns0:line="360" ns0:lineRule="auto"/>
      </ns0:pPr>
      <ns0:r>
        <ns0:rPr>
          <ns0:rFonts ns0:ascii="Times New Roman" ns0:hAnsi="Times New Roman"/>
          <ns0:sz ns0:val="24"/>
          <ns0:szCs ns0:val="24"/>
        </ns0:rPr>
        <ns0:t xml:space="preserve">$$+ interaction\ terms$$</ns0:t>
      </ns0:r>
    </ns0:p>
    <ns0:p>
      <ns0:pPr>
        <ns0:spacing ns0:after="120" ns0:line="360" ns0:lineRule="auto"/>
      </ns0:pPr>
      <ns0:r>
        <ns0:rPr>
          <ns0:rFonts ns0:ascii="Times New Roman" ns0:hAnsi="Times New Roman"/>
          <ns0:sz ns0:val="24"/>
          <ns0:szCs ns0:val="24"/>
          <ns0:b/>
        </ns0:rPr>
        <ns0:t xml:space="preserve">Chromium (Cr) — Equation 5.8:</ns0:t>
      </ns0:r>
    </ns0:p>
    <ns0:p>
      <ns0:pPr>
        <ns0:spacing ns0:after="120" ns0:line="360" ns0:lineRule="auto"/>
      </ns0:pPr>
      <ns0:r>
        <ns0:rPr>
          <ns0:rFonts ns0:ascii="Times New Roman" ns0:hAnsi="Times New Roman"/>
          <ns0:sz ns0:val="24"/>
          <ns0:szCs ns0:val="24"/>
        </ns0:rPr>
        <ns0:t xml:space="preserve">$$Cr = 5.42E{-3} \cdot BaO + 4.35E{-3} \cdot SiO_2 + 0.06426 \cdot CaF_2 + 5.46E{-3} \cdot MnO$$</ns0:t>
      </ns0:r>
    </ns0:p>
    <ns0:p>
      <ns0:pPr>
        <ns0:spacing ns0:after="120" ns0:line="360" ns0:lineRule="auto"/>
      </ns0:pPr>
      <ns0:r>
        <ns0:rPr>
          <ns0:rFonts ns0:ascii="Times New Roman" ns0:hAnsi="Times New Roman"/>
          <ns0:sz ns0:val="24"/>
          <ns0:szCs ns0:val="24"/>
        </ns0:rPr>
        <ns0:t xml:space="preserve">$$+ interaction\ terms$$</ns0:t>
      </ns0:r>
    </ns0:p>
    <ns0:p>
      <ns0:pPr>
        <ns0:spacing ns0:after="120" ns0:line="360" ns0:lineRule="auto"/>
      </ns0:pPr>
      <ns0:r>
        <ns0:rPr>
          <ns0:rFonts ns0:ascii="Times New Roman" ns0:hAnsi="Times New Roman"/>
          <ns0:sz ns0:val="24"/>
          <ns0:szCs ns0:val="24"/>
          <ns0:b/>
        </ns0:rPr>
        <ns0:t xml:space="preserve">Microhardness (MH) — Equation 5.9:</ns0:t>
      </ns0:r>
    </ns0:p>
    <ns0:p>
      <ns0:pPr>
        <ns0:spacing ns0:after="120" ns0:line="360" ns0:lineRule="auto"/>
      </ns0:pPr>
      <ns0:r>
        <ns0:rPr>
          <ns0:rFonts ns0:ascii="Times New Roman" ns0:hAnsi="Times New Roman"/>
          <ns0:sz ns0:val="24"/>
          <ns0:szCs ns0:val="24"/>
        </ns0:rPr>
        <ns0:t xml:space="preserve">$$MH = -0.01464 \cdot CaO - 0.01444 \cdot SiO_2 - 0.09113 \cdot CaF_2 + 0.63325 \cdot CaO$$</ns0:t>
      </ns0:r>
    </ns0:p>
    <ns0:p>
      <ns0:pPr>
        <ns0:spacing ns0:after="120" ns0:line="360" ns0:lineRule="auto"/>
      </ns0:pPr>
      <ns0:r>
        <ns0:rPr>
          <ns0:rFonts ns0:ascii="Times New Roman" ns0:hAnsi="Times New Roman"/>
          <ns0:sz ns0:val="24"/>
          <ns0:szCs ns0:val="24"/>
        </ns0:rPr>
        <ns0:t xml:space="preserve">$$+ interaction\ terms$$</ns0:t>
      </ns0:r>
    </ns0:p>
    <ns0:p>
      <ns0:pPr>
        <ns0:spacing ns0:after="120" ns0:line="360" ns0:lineRule="auto"/>
      </ns0:pPr>
      <ns0:r>
        <ns0:rPr>
          <ns0:rFonts ns0:ascii="Times New Roman" ns0:hAnsi="Times New Roman"/>
          <ns0:sz ns0:val="24"/>
          <ns0:szCs ns0:val="24"/>
          <ns0:b/>
        </ns0:rPr>
        <ns0:t xml:space="preserve">Carbon Equivalent (CE) — Equation 5.10:</ns0:t>
      </ns0:r>
    </ns0:p>
    <ns0:p>
      <ns0:pPr>
        <ns0:spacing ns0:after="120" ns0:line="360" ns0:lineRule="auto"/>
      </ns0:pPr>
      <ns0:r>
        <ns0:rPr>
          <ns0:rFonts ns0:ascii="Times New Roman" ns0:hAnsi="Times New Roman"/>
          <ns0:sz ns0:val="24"/>
          <ns0:szCs ns0:val="24"/>
        </ns0:rPr>
        <ns0:t xml:space="preserve">$$CE = 0.13331 \cdot CaO + 0.02441 \cdot SiO_2 - 0.51315 \cdot CaF_2 - 0.41142 \cdot BaO$$</ns0:t>
      </ns0:r>
    </ns0:p>
    <ns0:p>
      <ns0:pPr>
        <ns0:spacing ns0:after="120" ns0:line="360" ns0:lineRule="auto"/>
      </ns0:pPr>
      <ns0:r>
        <ns0:rPr>
          <ns0:rFonts ns0:ascii="Times New Roman" ns0:hAnsi="Times New Roman"/>
          <ns0:sz ns0:val="24"/>
          <ns0:szCs ns0:val="24"/>
        </ns0:rPr>
        <ns0:t xml:space="preserve">$$+ interaction\ terms$$</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26"/>
          <ns0:szCs ns0:val="26"/>
        </ns0:rPr>
        <ns0:t xml:space="preserve">5.2.2.1.2 Analysis of Variance for Chemical Composition and Microhardness</ns0:t>
      </ns0:r>
    </ns0:p>
    <ns0:p>
      <ns0:pPr>
        <ns0:spacing ns0:after="120" ns0:line="360" ns0:lineRule="auto"/>
      </ns0:pPr>
      <ns0:r>
        <ns0:rPr>
          <ns0:rFonts ns0:ascii="Times New Roman" ns0:hAnsi="Times New Roman"/>
          <ns0:sz ns0:val="24"/>
          <ns0:szCs ns0:val="24"/>
        </ns0:rPr>
        <ns0:t xml:space="preserve">ANOVA results confirmed the statistical significance of all developed models at the 95% confidence level (Table 5.2).</ns0:t>
      </ns0:r>
    </ns0:p>
    <ns0:p>
      <ns0:pPr>
        <ns0:spacing ns0:after="120" ns0:line="360" ns0:lineRule="auto"/>
      </ns0:pPr>
      <ns0:r>
        <ns0:rPr>
          <ns0:rFonts ns0:ascii="Times New Roman" ns0:hAnsi="Times New Roman"/>
          <ns0:sz ns0:val="24"/>
          <ns0:szCs ns0:val="24"/>
        </ns0:rPr>
        <ns0:t xml:space="preserve">Table 5.2: Summary of ANOVA results for regression models</ns0:t>
      </ns0:r>
    </ns0:p>
    <ns0:p>
      <ns0:pPr>
        <ns0:spacing ns0:after="120" ns0:line="360" ns0:lineRule="auto"/>
      </ns0:pPr>
      <ns0:r>
        <ns0:rPr>
          <ns0:rFonts ns0:ascii="Times New Roman" ns0:hAnsi="Times New Roman"/>
          <ns0:sz ns0:val="24"/>
          <ns0:szCs ns0:val="24"/>
        </ns0:rPr>
        <ns0:t xml:space="preserve">Response    Model Type    R²    F-value    P-value    Significance</ns0:t>
      </ns0:r>
    </ns0:p>
    <ns0:p>
      <ns0:pPr>
        <ns0:spacing ns0:after="120" ns0:line="360" ns0:lineRule="auto"/>
      </ns0:pPr>
      <ns0:r>
        <ns0:rPr>
          <ns0:rFonts ns0:ascii="Times New Roman" ns0:hAnsi="Times New Roman"/>
          <ns0:sz ns0:val="24"/>
          <ns0:szCs ns0:val="24"/>
        </ns0:rPr>
        <ns0:t xml:space="preserve">C    Special Cubic    0.88    2.02    0.0318    Significant</ns0:t>
      </ns0:r>
    </ns0:p>
    <ns0:p>
      <ns0:pPr>
        <ns0:spacing ns0:after="120" ns0:line="360" ns0:lineRule="auto"/>
      </ns0:pPr>
      <ns0:r>
        <ns0:rPr>
          <ns0:rFonts ns0:ascii="Times New Roman" ns0:hAnsi="Times New Roman"/>
          <ns0:sz ns0:val="24"/>
          <ns0:szCs ns0:val="24"/>
        </ns0:rPr>
        <ns0:t xml:space="preserve">Si    Quadratic    0.81    2.32    0.0050    Significant</ns0:t>
      </ns0:r>
    </ns0:p>
    <ns0:p>
      <ns0:pPr>
        <ns0:spacing ns0:after="120" ns0:line="360" ns0:lineRule="auto"/>
      </ns0:pPr>
      <ns0:r>
        <ns0:rPr>
          <ns0:rFonts ns0:ascii="Times New Roman" ns0:hAnsi="Times New Roman"/>
          <ns0:sz ns0:val="24"/>
          <ns0:szCs ns0:val="24"/>
        </ns0:rPr>
        <ns0:t xml:space="preserve">Mn    Special Cubic    0.90    3.63    0.0228    Significant</ns0:t>
      </ns0:r>
    </ns0:p>
    <ns0:p>
      <ns0:pPr>
        <ns0:spacing ns0:after="120" ns0:line="360" ns0:lineRule="auto"/>
      </ns0:pPr>
      <ns0:r>
        <ns0:rPr>
          <ns0:rFonts ns0:ascii="Times New Roman" ns0:hAnsi="Times New Roman"/>
          <ns0:sz ns0:val="24"/>
          <ns0:szCs ns0:val="24"/>
        </ns0:rPr>
        <ns0:t xml:space="preserve">P    Special Cubic    0.94    1.23    0.0123    Significant</ns0:t>
      </ns0:r>
    </ns0:p>
    <ns0:p>
      <ns0:pPr>
        <ns0:spacing ns0:after="120" ns0:line="360" ns0:lineRule="auto"/>
      </ns0:pPr>
      <ns0:r>
        <ns0:rPr>
          <ns0:rFonts ns0:ascii="Times New Roman" ns0:hAnsi="Times New Roman"/>
          <ns0:sz ns0:val="24"/>
          <ns0:szCs ns0:val="24"/>
        </ns0:rPr>
        <ns0:t xml:space="preserve">S    Quadratic    0.76    2.22    0.0310    Significant</ns0:t>
      </ns0:r>
    </ns0:p>
    <ns0:p>
      <ns0:pPr>
        <ns0:spacing ns0:after="120" ns0:line="360" ns0:lineRule="auto"/>
      </ns0:pPr>
      <ns0:r>
        <ns0:rPr>
          <ns0:rFonts ns0:ascii="Times New Roman" ns0:hAnsi="Times New Roman"/>
          <ns0:sz ns0:val="24"/>
          <ns0:szCs ns0:val="24"/>
        </ns0:rPr>
        <ns0:t xml:space="preserve">Mo    Special Cubic    0.95    3.10    0.0030    Significant</ns0:t>
      </ns0:r>
    </ns0:p>
    <ns0:p>
      <ns0:pPr>
        <ns0:spacing ns0:after="120" ns0:line="360" ns0:lineRule="auto"/>
      </ns0:pPr>
      <ns0:r>
        <ns0:rPr>
          <ns0:rFonts ns0:ascii="Times New Roman" ns0:hAnsi="Times New Roman"/>
          <ns0:sz ns0:val="24"/>
          <ns0:szCs ns0:val="24"/>
        </ns0:rPr>
        <ns0:t xml:space="preserve">Ni    Special Cubic    0.82    2.28    0.0230    Significant</ns0:t>
      </ns0:r>
    </ns0:p>
    <ns0:p>
      <ns0:pPr>
        <ns0:spacing ns0:after="120" ns0:line="360" ns0:lineRule="auto"/>
      </ns0:pPr>
      <ns0:r>
        <ns0:rPr>
          <ns0:rFonts ns0:ascii="Times New Roman" ns0:hAnsi="Times New Roman"/>
          <ns0:sz ns0:val="24"/>
          <ns0:szCs ns0:val="24"/>
        </ns0:rPr>
        <ns0:t xml:space="preserve">Cr    Special Cubic    0.91    2.63    0.0444    Significant</ns0:t>
      </ns0:r>
    </ns0:p>
    <ns0:p>
      <ns0:pPr>
        <ns0:spacing ns0:after="120" ns0:line="360" ns0:lineRule="auto"/>
      </ns0:pPr>
      <ns0:r>
        <ns0:rPr>
          <ns0:rFonts ns0:ascii="Times New Roman" ns0:hAnsi="Times New Roman"/>
          <ns0:sz ns0:val="24"/>
          <ns0:szCs ns0:val="24"/>
        </ns0:rPr>
        <ns0:t xml:space="preserve">MH    Special Cubic    0.92    2.36    0.0452    Significant</ns0:t>
      </ns0:r>
    </ns0:p>
    <ns0:p>
      <ns0:pPr>
        <ns0:spacing ns0:after="120" ns0:line="360" ns0:lineRule="auto"/>
      </ns0:pPr>
      <ns0:r>
        <ns0:rPr>
          <ns0:rFonts ns0:ascii="Times New Roman" ns0:hAnsi="Times New Roman"/>
          <ns0:sz ns0:val="24"/>
          <ns0:szCs ns0:val="24"/>
        </ns0:rPr>
        <ns0:t xml:space="preserve">CE    Special Cubic    0.89    2.20    0.0318    Significant</ns0:t>
      </ns0:r>
    </ns0:p>
    <ns0:p>
      <ns0:pPr>
        <ns0:spacing ns0:after="120" ns0:line="360" ns0:lineRule="auto"/>
      </ns0:pPr>
      <ns0:r>
        <ns0:rPr>
          <ns0:rFonts ns0:ascii="Times New Roman" ns0:hAnsi="Times New Roman"/>
          <ns0:sz ns0:val="24"/>
          <ns0:szCs ns0:val="24"/>
        </ns0:rPr>
        <ns0:t xml:space="preserve">The Molybdenum model achieved the best fit (R² = 0.95), confirming a dominant linear impact of CaF₂ and BaO on Mo transfer. The Sulfur model had the lowest R² (0.76) but remained statistically significant.</ns0:t>
      </ns0:r>
    </ns0:p>
    <ns0:p>
      <ns0:pPr>
        <ns0:spacing ns0:after="120" ns0:line="360" ns0:lineRule="auto"/>
      </ns0:pPr>
      <ns0:r>
        <ns0:rPr>
          <ns0:rFonts ns0:ascii="Times New Roman" ns0:hAnsi="Times New Roman"/>
          <ns0:sz ns0:val="24"/>
          <ns0:szCs ns0:val="24"/>
        </ns0:rPr>
        <ns0:t xml:space="preserve">Fig. 5.5: Predicted versus actual values for (a) Carbon, (b) Silicon, (c) Phosphorus, (d) Sulfur, (e) Manganese, (f) Nickel, (g) Chromium, (h) Molybdenum, (i) Microhardness, and (j) Carbon Equivalent. Points clustered along the 45° reference line confirm good model fit.</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26"/>
          <ns0:szCs ns0:val="26"/>
        </ns0:rPr>
        <ns0:t xml:space="preserve">5.2.2.1.3 Discussion of Regression Analysis — Role of Flux Components on Chemical Composition and Microhardness</ns0:t>
      </ns0:r>
    </ns0:p>
    <ns0:p>
      <ns0:pPr>
        <ns0:spacing ns0:after="120" ns0:line="360" ns0:lineRule="auto"/>
      </ns0:pPr>
      <ns0:r>
        <ns0:rPr>
          <ns0:rFonts ns0:ascii="Times New Roman" ns0:hAnsi="Times New Roman"/>
          <ns0:sz ns0:val="24"/>
          <ns0:szCs ns0:val="24"/>
          <ns0:b/>
        </ns0:rPr>
        <ns0:t xml:space="preserve">Slag–Metal Reaction Mechanisms:</ns0:t>
      </ns0:r>
    </ns0:p>
    <ns0:p>
      <ns0:pPr>
        <ns0:spacing ns0:after="120" ns0:line="360" ns0:lineRule="auto"/>
      </ns0:pPr>
      <ns0:r>
        <ns0:rPr>
          <ns0:rFonts ns0:ascii="Times New Roman" ns0:hAnsi="Times New Roman"/>
          <ns0:sz ns0:val="24"/>
          <ns0:szCs ns0:val="24"/>
        </ns0:rPr>
        <ns0:t xml:space="preserve">During SAW, free oxygen ions (O²⁻) generated by basic oxides (CaO, BaO, MnO) play a critical role in controlling element transfer. The following equilibria govern the reactions:</ns0:t>
      </ns0:r>
    </ns0:p>
    <ns0:p>
      <ns0:pPr>
        <ns0:spacing ns0:after="120" ns0:line="360" ns0:lineRule="auto"/>
      </ns0:pPr>
      <ns0:r>
        <ns0:rPr>
          <ns0:rFonts ns0:ascii="Times New Roman" ns0:hAnsi="Times New Roman"/>
          <ns0:sz ns0:val="24"/>
          <ns0:szCs ns0:val="24"/>
        </ns0:rPr>
        <ns0:t xml:space="preserve">• SiO₂ (slag) ⇌ [Si] (metal) + 2[O] (metal) — Eq. 5.11</ns0:t>
      </ns0:r>
    </ns0:p>
    <ns0:p>
      <ns0:pPr>
        <ns0:spacing ns0:after="120" ns0:line="360" ns0:lineRule="auto"/>
      </ns0:pPr>
      <ns0:r>
        <ns0:rPr>
          <ns0:rFonts ns0:ascii="Times New Roman" ns0:hAnsi="Times New Roman"/>
          <ns0:sz ns0:val="24"/>
          <ns0:szCs ns0:val="24"/>
        </ns0:rPr>
        <ns0:t xml:space="preserve">• MnO (slag) ⇌ [Mn] (metal) + [O] (metal) — Eq. 5.12</ns0:t>
      </ns0:r>
    </ns0:p>
    <ns0:p>
      <ns0:pPr>
        <ns0:spacing ns0:after="120" ns0:line="360" ns0:lineRule="auto"/>
      </ns0:pPr>
      <ns0:r>
        <ns0:rPr>
          <ns0:rFonts ns0:ascii="Times New Roman" ns0:hAnsi="Times New Roman"/>
          <ns0:sz ns0:val="24"/>
          <ns0:szCs ns0:val="24"/>
        </ns0:rPr>
        <ns0:t xml:space="preserve">• [S] (metal) + O²⁻ (slag) ⇌ S²⁻ (slag) + [O] (metal) — Eq. 5.13</ns0:t>
      </ns0:r>
    </ns0:p>
    <ns0:p>
      <ns0:pPr>
        <ns0:spacing ns0:after="120" ns0:line="360" ns0:lineRule="auto"/>
      </ns0:pPr>
      <ns0:r>
        <ns0:rPr>
          <ns0:rFonts ns0:ascii="Times New Roman" ns0:hAnsi="Times New Roman"/>
          <ns0:sz ns0:val="24"/>
          <ns0:szCs ns0:val="24"/>
        </ns0:rPr>
        <ns0:t xml:space="preserve">• CO (gas) + O²⁻ (slag) ⇌ CO₃²⁻ (slag) — Eq. 5.14</ns0:t>
      </ns0:r>
    </ns0:p>
    <ns0:p>
      <ns0:pPr>
        <ns0:spacing ns0:after="120" ns0:line="360" ns0:lineRule="auto"/>
      </ns0:pPr>
      <ns0:r>
        <ns0:rPr>
          <ns0:rFonts ns0:ascii="Times New Roman" ns0:hAnsi="Times New Roman"/>
          <ns0:sz ns0:val="24"/>
          <ns0:szCs ns0:val="24"/>
          <ns0:b/>
        </ns0:rPr>
        <ns0:t xml:space="preserve">Key mechanistic findings from regression analysis:</ns0:t>
      </ns0:r>
    </ns0:p>
    <ns0:p>
      <ns0:pPr>
        <ns0:spacing ns0:after="120" ns0:line="360" ns0:lineRule="auto"/>
      </ns0:pPr>
      <ns0:r>
        <ns0:rPr>
          <ns0:rFonts ns0:ascii="Times New Roman" ns0:hAnsi="Times New Roman"/>
          <ns0:sz ns0:val="24"/>
          <ns0:szCs ns0:val="24"/>
        </ns0:rPr>
        <ns0:t xml:space="preserve">1. CaO and BaO positive effects on Mn: Dissociated CaO and BaO provide free O²⁻ ions that raise MnO activity in slag, pushing equilibrium rightward and improving manganese extraction to weld metal (positive coefficients in Eq. 5.3).</ns0:t>
      </ns0:r>
    </ns0:p>
    <ns0:p>
      <ns0:pPr>
        <ns0:spacing ns0:after="120" ns0:line="360" ns0:lineRule="auto"/>
      </ns0:pPr>
      <ns0:r>
        <ns0:rPr>
          <ns0:rFonts ns0:ascii="Times New Roman" ns0:hAnsi="Times New Roman"/>
          <ns0:sz ns0:val="24"/>
          <ns0:szCs ns0:val="24"/>
        </ns0:rPr>
        <ns0:t xml:space="preserve">2. Desulfurization by basic oxides: Negative coefficients in the sulfur model (Eq. 5.5) confirm the known desulfurizing effect—O²⁻ ions react with dissolved sulfur to form stable sulfide ions (S²⁻) in the slag.</ns0:t>
      </ns0:r>
    </ns0:p>
    <ns0:p>
      <ns0:pPr>
        <ns0:spacing ns0:after="120" ns0:line="360" ns0:lineRule="auto"/>
      </ns0:pPr>
      <ns0:r>
        <ns0:rPr>
          <ns0:rFonts ns0:ascii="Times New Roman" ns0:hAnsi="Times New Roman"/>
          <ns0:sz ns0:val="24"/>
          <ns0:szCs ns0:val="24"/>
        </ns0:rPr>
        <ns0:t xml:space="preserve">3. Carbon enhancement by individual oxides: Individual flux ingredients enhance carbon content compared to binary/ternary mixtures due to carbonate species stabilization through O²⁻ ions.</ns0:t>
      </ns0:r>
    </ns0:p>
    <ns0:p>
      <ns0:pPr>
        <ns0:spacing ns0:after="120" ns0:line="360" ns0:lineRule="auto"/>
      </ns0:pPr>
      <ns0:r>
        <ns0:rPr>
          <ns0:rFonts ns0:ascii="Times New Roman" ns0:hAnsi="Times New Roman"/>
          <ns0:sz ns0:val="24"/>
          <ns0:szCs ns0:val="24"/>
        </ns0:rPr>
        <ns0:t xml:space="preserve">4. Negative binary interactions: CaO·CaF₂ and BaO·SiO₂ interactions form stable slag complexes that inhibit alloy transfer, explaining reduced element recovery in certain compositions.</ns0:t>
      </ns0:r>
    </ns0:p>
    <ns0:p>
      <ns0:pPr>
        <ns0:spacing ns0:after="120" ns0:line="360" ns0:lineRule="auto"/>
      </ns0:pPr>
      <ns0:r>
        <ns0:rPr>
          <ns0:rFonts ns0:ascii="Times New Roman" ns0:hAnsi="Times New Roman"/>
          <ns0:sz ns0:val="24"/>
          <ns0:szCs ns0:val="24"/>
        </ns0:rPr>
        <ns0:t xml:space="preserve">5. MnO dual behaviour: MnO provides Mn retention at moderate concentrations but forms slag complexes with CaF₂ or TiO₂ at higher levels (negative MnO·CaF₂ and TiO₂·MnO terms).</ns0:t>
      </ns0:r>
    </ns0:p>
    <ns0:p>
      <ns0:pPr>
        <ns0:spacing ns0:after="120" ns0:line="360" ns0:lineRule="auto"/>
      </ns0:pPr>
      <ns0:r>
        <ns0:rPr>
          <ns0:rFonts ns0:ascii="Times New Roman" ns0:hAnsi="Times New Roman"/>
          <ns0:sz ns0:val="24"/>
          <ns0:szCs ns0:val="24"/>
          <ns0:b/>
        </ns0:rPr>
        <ns0:t xml:space="preserve">Trace (Piepel) Plot Analysis:</ns0:t>
      </ns0:r>
    </ns0:p>
    <ns0:p>
      <ns0:pPr>
        <ns0:spacing ns0:after="120" ns0:line="360" ns0:lineRule="auto"/>
      </ns0:pPr>
      <ns0:r>
        <ns0:rPr>
          <ns0:rFonts ns0:ascii="Times New Roman" ns0:hAnsi="Times New Roman"/>
          <ns0:sz ns0:val="24"/>
          <ns0:szCs ns0:val="24"/>
        </ns0:rPr>
        <ns0:t xml:space="preserve">Trace plots (Fig. 5.6) illustrate the sensitivity of each response to individual flux components, varying from the reference blend (overall centroid, Flux F25).</ns0:t>
      </ns0:r>
    </ns0:p>
    <ns0:p>
      <ns0:pPr>
        <ns0:spacing ns0:after="120" ns0:line="360" ns0:lineRule="auto"/>
      </ns0:pPr>
      <ns0:r>
        <ns0:rPr>
          <ns0:rFonts ns0:ascii="Times New Roman" ns0:hAnsi="Times New Roman"/>
          <ns0:sz ns0:val="24"/>
          <ns0:szCs ns0:val="24"/>
        </ns0:rPr>
        <ns0:t xml:space="preserve">Key observations from trace plots:</ns0:t>
      </ns0:r>
    </ns0:p>
    <ns0:p>
      <ns0:pPr>
        <ns0:spacing ns0:after="120" ns0:line="360" ns0:lineRule="auto"/>
      </ns0:pPr>
      <ns0:r>
        <ns0:rPr>
          <ns0:rFonts ns0:ascii="Times New Roman" ns0:hAnsi="Times New Roman"/>
          <ns0:sz ns0:val="24"/>
          <ns0:szCs ns0:val="24"/>
        </ns0:rPr>
        <ns0:t xml:space="preserve">• Microhardness (Fig. 5.6i): CaO exhibits the steepest positive slope, indicating it is the most influential component for increasing microhardness through Mn and Mo recovery. CaF₂ shows a negative slope, reducing alloy element recovery.</ns0:t>
      </ns0:r>
    </ns0:p>
    <ns0:p>
      <ns0:pPr>
        <ns0:spacing ns0:after="120" ns0:line="360" ns0:lineRule="auto"/>
      </ns0:pPr>
      <ns0:r>
        <ns0:rPr>
          <ns0:rFonts ns0:ascii="Times New Roman" ns0:hAnsi="Times New Roman"/>
          <ns0:sz ns0:val="24"/>
          <ns0:szCs ns0:val="24"/>
        </ns0:rPr>
        <ns0:t xml:space="preserve">• Carbon Equivalent (Fig. 5.6j): CaO and MnO dominate as positive-slope components; CaF₂ and BaO exert negative influences through complex-forming interactions.</ns0:t>
      </ns0:r>
    </ns0:p>
    <ns0:p>
      <ns0:pPr>
        <ns0:spacing ns0:after="120" ns0:line="360" ns0:lineRule="auto"/>
      </ns0:pPr>
      <ns0:r>
        <ns0:rPr>
          <ns0:rFonts ns0:ascii="Times New Roman" ns0:hAnsi="Times New Roman"/>
          <ns0:sz ns0:val="24"/>
          <ns0:szCs ns0:val="24"/>
        </ns0:rPr>
        <ns0:t xml:space="preserve">• Manganese (Fig. 5.6e): BaO is the dominant single-component driver (coefficient = 3.113 in Eq. 5.3).</ns0:t>
      </ns0:r>
    </ns0:p>
    <ns0:p>
      <ns0:pPr>
        <ns0:spacing ns0:after="120" ns0:line="360" ns0:lineRule="auto"/>
      </ns0:pPr>
      <ns0:r>
        <ns0:rPr>
          <ns0:rFonts ns0:ascii="Times New Roman" ns0:hAnsi="Times New Roman"/>
          <ns0:sz ns0:val="24"/>
          <ns0:szCs ns0:val="24"/>
        </ns0:rPr>
        <ns0:t xml:space="preserve">• Molybdenum (Fig. 5.6h): CaO and SiO₂ are positive-slope components; CaF₂ and BaO are strongly negative.</ns0:t>
      </ns0:r>
    </ns0:p>
    <ns0:p>
      <ns0:pPr>
        <ns0:spacing ns0:after="120" ns0:line="360" ns0:lineRule="auto"/>
      </ns0:pPr>
      <ns0:r>
        <ns0:rPr>
          <ns0:rFonts ns0:ascii="Times New Roman" ns0:hAnsi="Times New Roman"/>
          <ns0:sz ns0:val="24"/>
          <ns0:szCs ns0:val="24"/>
        </ns0:rPr>
        <ns0:t xml:space="preserve">Fig. 5.6: Trace (Piepel) plots showing the effect of deviation of individual mixture components from the reference blend on predicted responses: (a) C, (b) Si, (c) P, (d) S, (e) Mn, (f) Ni, (g) Cr, (h) Mo, (i) Microhardness (MH), and (j) Carbon Equivalent (CE). Component labels: A=SiO₂, B=TiO₂, C=CaF₂, D=BaO, E=MnO.</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26"/>
          <ns0:szCs ns0:val="26"/>
        </ns0:rPr>
        <ns0:t xml:space="preserve">5.2.2.1.4 Contour Plots of Chemical Composition and Microhardness</ns0:t>
      </ns0:r>
    </ns0:p>
    <ns0:p>
      <ns0:pPr>
        <ns0:spacing ns0:after="120" ns0:line="360" ns0:lineRule="auto"/>
      </ns0:pPr>
      <ns0:r>
        <ns0:rPr>
          <ns0:rFonts ns0:ascii="Times New Roman" ns0:hAnsi="Times New Roman"/>
          <ns0:sz ns0:val="24"/>
          <ns0:szCs ns0:val="24"/>
        </ns0:rPr>
        <ns0:t xml:space="preserve">Three-dimensional response surface and contour plots (Fig. 5.7) illustrate the complex multi-variable relationships across the triangular mixture space. The response surfaces show sharper curvature and more defined interior optima than commonly monotonic trends reported previously in polynomial blend models.</ns0:t>
      </ns0:r>
    </ns0:p>
    <ns0:p>
      <ns0:pPr>
        <ns0:spacing ns0:after="120" ns0:line="360" ns0:lineRule="auto"/>
      </ns0:pPr>
      <ns0:r>
        <ns0:rPr>
          <ns0:rFonts ns0:ascii="Times New Roman" ns0:hAnsi="Times New Roman"/>
          <ns0:sz ns0:val="24"/>
          <ns0:szCs ns0:val="24"/>
        </ns0:rPr>
        <ns0:t xml:space="preserve">Key features:</ns0:t>
      </ns0:r>
    </ns0:p>
    <ns0:p>
      <ns0:pPr>
        <ns0:spacing ns0:after="120" ns0:line="360" ns0:lineRule="auto"/>
      </ns0:pPr>
      <ns0:r>
        <ns0:rPr>
          <ns0:rFonts ns0:ascii="Times New Roman" ns0:hAnsi="Times New Roman"/>
          <ns0:sz ns0:val="24"/>
          <ns0:szCs ns0:val="24"/>
        </ns0:rPr>
        <ns0:t xml:space="preserve">• MH surface (Fig. 5.7i): Shows a clear interior maximum (~220–240 HV) in the high-A (SiO₂), moderate-B (TiO₂), moderate-C (CaF₂) region.</ns0:t>
      </ns0:r>
    </ns0:p>
    <ns0:p>
      <ns0:pPr>
        <ns0:spacing ns0:after="120" ns0:line="360" ns0:lineRule="auto"/>
      </ns0:pPr>
      <ns0:r>
        <ns0:rPr>
          <ns0:rFonts ns0:ascii="Times New Roman" ns0:hAnsi="Times New Roman"/>
          <ns0:sz ns0:val="24"/>
          <ns0:szCs ns0:val="24"/>
        </ns0:rPr>
        <ns0:t xml:space="preserve">• CE surface (Fig. 5.7j): Exhibits a maximum in the high-C region with progressive decrease toward high-B compositions.</ns0:t>
      </ns0:r>
    </ns0:p>
    <ns0:p>
      <ns0:pPr>
        <ns0:spacing ns0:after="120" ns0:line="360" ns0:lineRule="auto"/>
      </ns0:pPr>
      <ns0:r>
        <ns0:rPr>
          <ns0:rFonts ns0:ascii="Times New Roman" ns0:hAnsi="Times New Roman"/>
          <ns0:sz ns0:val="24"/>
          <ns0:szCs ns0:val="24"/>
        </ns0:rPr>
        <ns0:t xml:space="preserve">• Mn surface (Fig. 5.7e): Shows a pronounced minimum in the design space, with Mn recovery highly sensitive to the B–C interaction.</ns0:t>
      </ns0:r>
    </ns0:p>
    <ns0:p>
      <ns0:pPr>
        <ns0:spacing ns0:after="120" ns0:line="360" ns0:lineRule="auto"/>
      </ns0:pPr>
      <ns0:r>
        <ns0:rPr>
          <ns0:rFonts ns0:ascii="Times New Roman" ns0:hAnsi="Times New Roman"/>
          <ns0:sz ns0:val="24"/>
          <ns0:szCs ns0:val="24"/>
        </ns0:rPr>
        <ns0:t xml:space="preserve">Fig. 5.7: Three-dimensional mixture surface and contour plots for (a) C, (b) Si, (c) P, (d) S, (e) Mn, (f) Ni, (g) Cr, (h) Mo, (i) Microhardness (MH), and (j) Carbon Equivalent (CE). Axes represent components A (SiO₂), B (TiO₂), and C (CaF₂) in pseudo-units.</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32"/>
          <ns0:szCs ns0:val="32"/>
        </ns0:rPr>
        <ns0:t xml:space="preserve">5.3 Corrosion Analysis and Discussion</ns0:t>
      </ns0:r>
    </ns0:p>
    <ns0:p>
      <ns0:pPr>
        <ns0:spacing ns0:after="120" ns0:line="360" ns0:lineRule="auto"/>
      </ns0:pPr>
      <ns0:r>
        <ns0:rPr>
          <ns0:rFonts ns0:ascii="Times New Roman" ns0:hAnsi="Times New Roman"/>
          <ns0:sz ns0:val="24"/>
          <ns0:szCs ns0:val="24"/>
        </ns0:rPr>
        <ns0:t xml:space="preserve">Electrochemical corrosion analysis was performed on selected weld specimens to evaluate the effect of flux composition on corrosion resistance. The corrosion behavior of the weld metal is influenced by the elemental transfer controlled by flux chemistry, particularly:</ns0:t>
      </ns0:r>
    </ns0:p>
    <ns0:p>
      <ns0:pPr>
        <ns0:spacing ns0:after="120" ns0:line="360" ns0:lineRule="auto"/>
      </ns0:pPr>
      <ns0:r>
        <ns0:rPr>
          <ns0:rFonts ns0:ascii="Times New Roman" ns0:hAnsi="Times New Roman"/>
          <ns0:sz ns0:val="24"/>
          <ns0:szCs ns0:val="24"/>
        </ns0:rPr>
        <ns0:t xml:space="preserve">• Chromium and molybdenum content (passive film stability)</ns0:t>
      </ns0:r>
    </ns0:p>
    <ns0:p>
      <ns0:pPr>
        <ns0:spacing ns0:after="120" ns0:line="360" ns0:lineRule="auto"/>
      </ns0:pPr>
      <ns0:r>
        <ns0:rPr>
          <ns0:rFonts ns0:ascii="Times New Roman" ns0:hAnsi="Times New Roman"/>
          <ns0:sz ns0:val="24"/>
          <ns0:szCs ns0:val="24"/>
        </ns0:rPr>
        <ns0:t xml:space="preserve">• Sulfur and phosphorus content (pitting susceptibility)</ns0:t>
      </ns0:r>
    </ns0:p>
    <ns0:p>
      <ns0:pPr>
        <ns0:spacing ns0:after="120" ns0:line="360" ns0:lineRule="auto"/>
      </ns0:pPr>
      <ns0:r>
        <ns0:rPr>
          <ns0:rFonts ns0:ascii="Times New Roman" ns0:hAnsi="Times New Roman"/>
          <ns0:sz ns0:val="24"/>
          <ns0:szCs ns0:val="24"/>
        </ns0:rPr>
        <ns0:t xml:space="preserve">• Manganese content (deoxidation quality and inclusion characteristics)</ns0:t>
      </ns0:r>
    </ns0:p>
    <ns0:p>
      <ns0:pPr>
        <ns0:spacing ns0:after="120" ns0:line="360" ns0:lineRule="auto"/>
      </ns0:pPr>
      <ns0:r>
        <ns0:rPr>
          <ns0:rFonts ns0:ascii="Times New Roman" ns0:hAnsi="Times New Roman"/>
          <ns0:sz ns0:val="24"/>
          <ns0:szCs ns0:val="24"/>
        </ns0:rPr>
        <ns0:t xml:space="preserve">Results from potentiodynamic polarization tests indicated that weld metals produced with higher basicity fluxes (promoting lower S and higher Cr/Mo transfer) exhibited improved corrosion resistance compared to those produced with acidic flux compositions.</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32"/>
          <ns0:szCs ns0:val="32"/>
        </ns0:rPr>
        <ns0:t xml:space="preserve">5.4 Selection of Adequate Flux (From Twenty-Five Laboratory Developed SAW Fluxes)</ns0:t>
      </ns0:r>
    </ns0:p>
    <ns0:p>
      <ns0:pPr>
        <ns0:spacing ns0:after="120" ns0:line="360" ns0:lineRule="auto"/>
      </ns0:pPr>
      <ns0:r>
        <ns0:rPr>
          <ns0:rFonts ns0:ascii="Times New Roman" ns0:hAnsi="Times New Roman"/>
          <ns0:b/>
          <ns0:sz ns0:val="28"/>
          <ns0:szCs ns0:val="28"/>
        </ns0:rPr>
        <ns0:t xml:space="preserve">5.4.1 Selection of Suitable Fluxes from Twenty-Five Laboratory Developed SAW Fluxes</ns0:t>
      </ns0:r>
    </ns0:p>
    <ns0:p>
      <ns0:pPr>
        <ns0:spacing ns0:after="120" ns0:line="360" ns0:lineRule="auto"/>
      </ns0:pPr>
      <ns0:r>
        <ns0:rPr>
          <ns0:rFonts ns0:ascii="Times New Roman" ns0:hAnsi="Times New Roman"/>
          <ns0:sz ns0:val="24"/>
          <ns0:szCs ns0:val="24"/>
        </ns0:rPr>
        <ns0:t xml:space="preserve">Based on comprehensive multi-criteria screening including:</ns0:t>
      </ns0:r>
    </ns0:p>
    <ns0:p>
      <ns0:pPr>
        <ns0:spacing ns0:after="120" ns0:line="360" ns0:lineRule="auto"/>
      </ns0:pPr>
      <ns0:r>
        <ns0:rPr>
          <ns0:rFonts ns0:ascii="Times New Roman" ns0:hAnsi="Times New Roman"/>
          <ns0:sz ns0:val="24"/>
          <ns0:szCs ns0:val="24"/>
        </ns0:rPr>
        <ns0:t xml:space="preserve">1. Bead morphology and surface quality</ns0:t>
      </ns0:r>
    </ns0:p>
    <ns0:p>
      <ns0:pPr>
        <ns0:spacing ns0:after="120" ns0:line="360" ns0:lineRule="auto"/>
      </ns0:pPr>
      <ns0:r>
        <ns0:rPr>
          <ns0:rFonts ns0:ascii="Times New Roman" ns0:hAnsi="Times New Roman"/>
          <ns0:sz ns0:val="24"/>
          <ns0:szCs ns0:val="24"/>
        </ns0:rPr>
        <ns0:t xml:space="preserve">2. Porosity level (minimum)</ns0:t>
      </ns0:r>
    </ns0:p>
    <ns0:p>
      <ns0:pPr>
        <ns0:spacing ns0:after="120" ns0:line="360" ns0:lineRule="auto"/>
      </ns0:pPr>
      <ns0:r>
        <ns0:rPr>
          <ns0:rFonts ns0:ascii="Times New Roman" ns0:hAnsi="Times New Roman"/>
          <ns0:sz ns0:val="24"/>
          <ns0:szCs ns0:val="24"/>
        </ns0:rPr>
        <ns0:t xml:space="preserve">3. Slag detachability (satisfactory to excellent)</ns0:t>
      </ns0:r>
    </ns0:p>
    <ns0:p>
      <ns0:pPr>
        <ns0:spacing ns0:after="120" ns0:line="360" ns0:lineRule="auto"/>
      </ns0:pPr>
      <ns0:r>
        <ns0:rPr>
          <ns0:rFonts ns0:ascii="Times New Roman" ns0:hAnsi="Times New Roman"/>
          <ns0:sz ns0:val="24"/>
          <ns0:szCs ns0:val="24"/>
        </ns0:rPr>
        <ns0:t xml:space="preserve">4. Acceptable microhardness range (180–220 HV)</ns0:t>
      </ns0:r>
    </ns0:p>
    <ns0:p>
      <ns0:pPr>
        <ns0:spacing ns0:after="120" ns0:line="360" ns0:lineRule="auto"/>
      </ns0:pPr>
      <ns0:r>
        <ns0:rPr>
          <ns0:rFonts ns0:ascii="Times New Roman" ns0:hAnsi="Times New Roman"/>
          <ns0:sz ns0:val="24"/>
          <ns0:szCs ns0:val="24"/>
        </ns0:rPr>
        <ns0:t xml:space="preserve">5. Carbon equivalent within API X70 specifications (CE &lt; 0.43)</ns0:t>
      </ns0:r>
    </ns0:p>
    <ns0:p>
      <ns0:pPr>
        <ns0:spacing ns0:after="120" ns0:line="360" ns0:lineRule="auto"/>
      </ns0:pPr>
      <ns0:r>
        <ns0:rPr>
          <ns0:rFonts ns0:ascii="Times New Roman" ns0:hAnsi="Times New Roman"/>
          <ns0:sz ns0:val="24"/>
          <ns0:szCs ns0:val="24"/>
        </ns0:rPr>
        <ns0:t xml:space="preserve">6. Acicular ferrite promoting composition</ns0:t>
      </ns0:r>
    </ns0:p>
    <ns0:p>
      <ns0:pPr>
        <ns0:spacing ns0:after="120" ns0:line="360" ns0:lineRule="auto"/>
      </ns0:pPr>
      <ns0:r>
        <ns0:rPr>
          <ns0:rFonts ns0:ascii="Times New Roman" ns0:hAnsi="Times New Roman"/>
          <ns0:sz ns0:val="24"/>
          <ns0:szCs ns0:val="24"/>
        </ns0:rPr>
        <ns0:t xml:space="preserve">Three fluxes were selected from the basic flux system for final butt-joint weld fabrication:</ns0:t>
      </ns0:r>
    </ns0:p>
    <ns0:p>
      <ns0:pPr>
        <ns0:spacing ns0:after="120" ns0:line="360" ns0:lineRule="auto"/>
      </ns0:pPr>
      <ns0:r>
        <ns0:rPr>
          <ns0:rFonts ns0:ascii="Times New Roman" ns0:hAnsi="Times New Roman"/>
          <ns0:sz ns0:val="24"/>
          <ns0:szCs ns0:val="24"/>
        </ns0:rPr>
        <ns0:t xml:space="preserve">• F6B (TiO₂: 20%, SiO₂: 5.2%, CaF₂: 27.4%, BaO: 7.3%, MnO: 25%, CaO: 8%)</ns0:t>
      </ns0:r>
    </ns0:p>
    <ns0:p>
      <ns0:pPr>
        <ns0:spacing ns0:after="120" ns0:line="360" ns0:lineRule="auto"/>
      </ns0:pPr>
      <ns0:r>
        <ns0:rPr>
          <ns0:rFonts ns0:ascii="Times New Roman" ns0:hAnsi="Times New Roman"/>
          <ns0:sz ns0:val="24"/>
          <ns0:szCs ns0:val="24"/>
        </ns0:rPr>
        <ns0:t xml:space="preserve">• F20B (TiO₂: 16.8%, SiO₂: 10%, CaF₂: 31.3%, BaO: 7.9%, MnO: 18.9%, CaO: 8%)</ns0:t>
      </ns0:r>
    </ns0:p>
    <ns0:p>
      <ns0:pPr>
        <ns0:spacing ns0:after="120" ns0:line="360" ns0:lineRule="auto"/>
      </ns0:pPr>
      <ns0:r>
        <ns0:rPr>
          <ns0:rFonts ns0:ascii="Times New Roman" ns0:hAnsi="Times New Roman"/>
          <ns0:sz ns0:val="24"/>
          <ns0:szCs ns0:val="24"/>
        </ns0:rPr>
        <ns0:t xml:space="preserve">• F22B (TiO₂: 10%, SiO₂: 10%, CaF₂: 34.1%, BaO: 10%, MnO: 20.9%, CaO: 8%)</ns0:t>
      </ns0:r>
    </ns0:p>
    <ns0:p>
      <ns0:pPr>
        <ns0:spacing ns0:after="120" ns0:line="360" ns0:lineRule="auto"/>
      </ns0:pPr>
      <ns0:r>
        <ns0:rPr>
          <ns0:rFonts ns0:ascii="Times New Roman" ns0:hAnsi="Times New Roman"/>
          <ns0:sz ns0:val="24"/>
          <ns0:szCs ns0:val="24"/>
        </ns0:rPr>
        <ns0:t xml:space="preserve">A commercial flux (C.F.) was used as the reference for comparative evaluation.</ns0:t>
      </ns0:r>
    </ns0:p>
    <ns0:p>
      <ns0:pPr>
        <ns0:spacing ns0:after="120" ns0:line="360" ns0:lineRule="auto"/>
      </ns0:pPr>
      <ns0:r>
        <ns0:rPr>
          <ns0:rFonts ns0:ascii="Times New Roman" ns0:hAnsi="Times New Roman"/>
          <ns0:b/>
          <ns0:sz ns0:val="28"/>
          <ns0:szCs ns0:val="28"/>
        </ns0:rPr>
        <ns0:t xml:space="preserve">5.4.2 Weld Specimen Chemical Analysis</ns0:t>
      </ns0:r>
    </ns0:p>
    <ns0:p>
      <ns0:pPr>
        <ns0:spacing ns0:after="120" ns0:line="360" ns0:lineRule="auto"/>
      </ns0:pPr>
      <ns0:r>
        <ns0:rPr>
          <ns0:rFonts ns0:ascii="Times New Roman" ns0:hAnsi="Times New Roman"/>
          <ns0:sz ns0:val="24"/>
          <ns0:szCs ns0:val="24"/>
        </ns0:rPr>
        <ns0:t xml:space="preserve">Chemical analysis of the butt-joint weld metal produced with selected fluxes and commercial flux is presented in Table 5.3.</ns0:t>
      </ns0:r>
    </ns0:p>
    <ns0:p>
      <ns0:pPr>
        <ns0:spacing ns0:after="120" ns0:line="360" ns0:lineRule="auto"/>
      </ns0:pPr>
      <ns0:r>
        <ns0:rPr>
          <ns0:rFonts ns0:ascii="Times New Roman" ns0:hAnsi="Times New Roman"/>
          <ns0:sz ns0:val="24"/>
          <ns0:szCs ns0:val="24"/>
        </ns0:rPr>
        <ns0:t xml:space="preserve">Table 5.3: Chemical analysis of parent metal, filler wire, and weld metals</ns0:t>
      </ns0:r>
    </ns0:p>
    <ns0:p>
      <ns0:pPr>
        <ns0:spacing ns0:after="120" ns0:line="360" ns0:lineRule="auto"/>
      </ns0:pPr>
      <ns0:r>
        <ns0:rPr>
          <ns0:rFonts ns0:ascii="Times New Roman" ns0:hAnsi="Times New Roman"/>
          <ns0:sz ns0:val="24"/>
          <ns0:szCs ns0:val="24"/>
        </ns0:rPr>
        <ns0:t xml:space="preserve">Specimen    %C    %Si    %Mn    %P    %S    %Cr    %Mo    %Ni    %Cu    %Nb    %Ti    %CE</ns0:t>
      </ns0:r>
    </ns0:p>
    <ns0:p>
      <ns0:pPr>
        <ns0:spacing ns0:after="120" ns0:line="360" ns0:lineRule="auto"/>
      </ns0:pPr>
      <ns0:r>
        <ns0:rPr>
          <ns0:rFonts ns0:ascii="Times New Roman" ns0:hAnsi="Times New Roman"/>
          <ns0:sz ns0:val="24"/>
          <ns0:szCs ns0:val="24"/>
        </ns0:rPr>
        <ns0:t xml:space="preserve">X70 (BM)    0.059    0.331    1.70    0.0068    0.0032    0.007    0.002    0.299    0.006    0.062    0.02    0.33</ns0:t>
      </ns0:r>
    </ns0:p>
    <ns0:p>
      <ns0:pPr>
        <ns0:spacing ns0:after="120" ns0:line="360" ns0:lineRule="auto"/>
      </ns0:pPr>
      <ns0:r>
        <ns0:rPr>
          <ns0:rFonts ns0:ascii="Times New Roman" ns0:hAnsi="Times New Roman"/>
          <ns0:sz ns0:val="24"/>
          <ns0:szCs ns0:val="24"/>
        </ns0:rPr>
        <ns0:t xml:space="preserve">FW (EA2TiB)    0.028    0.089    0.92    0.0112    0.0080    0.042    0.312    0.091    0.150    0.025    0.01    0.25</ns0:t>
      </ns0:r>
    </ns0:p>
    <ns0:p>
      <ns0:pPr>
        <ns0:spacing ns0:after="120" ns0:line="360" ns0:lineRule="auto"/>
      </ns0:pPr>
      <ns0:r>
        <ns0:rPr>
          <ns0:rFonts ns0:ascii="Times New Roman" ns0:hAnsi="Times New Roman"/>
          <ns0:sz ns0:val="24"/>
          <ns0:szCs ns0:val="24"/>
        </ns0:rPr>
        <ns0:t xml:space="preserve">C.F.    0.059    0.374    1.62    0.0164    0.0070    0.039    0.412    0.068    0.081    0.008    0.02    0.38</ns0:t>
      </ns0:r>
    </ns0:p>
    <ns0:p>
      <ns0:pPr>
        <ns0:spacing ns0:after="120" ns0:line="360" ns0:lineRule="auto"/>
      </ns0:pPr>
      <ns0:r>
        <ns0:rPr>
          <ns0:rFonts ns0:ascii="Times New Roman" ns0:hAnsi="Times New Roman"/>
          <ns0:sz ns0:val="24"/>
          <ns0:szCs ns0:val="24"/>
        </ns0:rPr>
        <ns0:t xml:space="preserve">F6B    0.042    0.397    0.80    0.0119    0.0024    0.029    0.392    0.052    0.070    0.006    0.02    0.31</ns0:t>
      </ns0:r>
    </ns0:p>
    <ns0:p>
      <ns0:pPr>
        <ns0:spacing ns0:after="120" ns0:line="360" ns0:lineRule="auto"/>
      </ns0:pPr>
      <ns0:r>
        <ns0:rPr>
          <ns0:rFonts ns0:ascii="Times New Roman" ns0:hAnsi="Times New Roman"/>
          <ns0:sz ns0:val="24"/>
          <ns0:szCs ns0:val="24"/>
        </ns0:rPr>
        <ns0:t xml:space="preserve">F20B    0.051    0.441    0.67    0.0211    0.0019    0.030    0.401    0.049    0.070    0.012    0.03    0.28</ns0:t>
      </ns0:r>
    </ns0:p>
    <ns0:p>
      <ns0:pPr>
        <ns0:spacing ns0:after="120" ns0:line="360" ns0:lineRule="auto"/>
      </ns0:pPr>
      <ns0:r>
        <ns0:rPr>
          <ns0:rFonts ns0:ascii="Times New Roman" ns0:hAnsi="Times New Roman"/>
          <ns0:sz ns0:val="24"/>
          <ns0:szCs ns0:val="24"/>
        </ns0:rPr>
        <ns0:t xml:space="preserve">F22B    0.061    0.451    0.71    0.0222    0.0011    0.022    0.355    0.050    0.056    0.018    0.02    0.27</ns0:t>
      </ns0:r>
    </ns0:p>
    <ns0:p>
      <ns0:pPr>
        <ns0:spacing ns0:after="120" ns0:line="360" ns0:lineRule="auto"/>
      </ns0:pPr>
      <ns0:r>
        <ns0:rPr>
          <ns0:rFonts ns0:ascii="Times New Roman" ns0:hAnsi="Times New Roman"/>
          <ns0:sz ns0:val="24"/>
          <ns0:szCs ns0:val="24"/>
          <ns0:b/>
        </ns0:rPr>
        <ns0:t xml:space="preserve">Key findings:</ns0:t>
      </ns0:r>
    </ns0:p>
    <ns0:p>
      <ns0:pPr>
        <ns0:spacing ns0:after="120" ns0:line="360" ns0:lineRule="auto"/>
      </ns0:pPr>
      <ns0:r>
        <ns0:rPr>
          <ns0:rFonts ns0:ascii="Times New Roman" ns0:hAnsi="Times New Roman"/>
          <ns0:sz ns0:val="24"/>
          <ns0:szCs ns0:val="24"/>
        </ns0:rPr>
        <ns0:t xml:space="preserve">• Sulfur content in all weld joints was reduced considerably compared to base material, filler wire, and commercial flux, demonstrating effective desulfurization by the basic fluxes.</ns0:t>
      </ns0:r>
    </ns0:p>
    <ns0:p>
      <ns0:pPr>
        <ns0:spacing ns0:after="120" ns0:line="360" ns0:lineRule="auto"/>
      </ns0:pPr>
      <ns0:r>
        <ns0:rPr>
          <ns0:rFonts ns0:ascii="Times New Roman" ns0:hAnsi="Times New Roman"/>
          <ns0:sz ns0:val="24"/>
          <ns0:szCs ns0:val="24"/>
        </ns0:rPr>
        <ns0:t xml:space="preserve">• Maximum CE (0.38%) was observed for the commercial flux joint; F6B's CE (0.31) was closest to the base metal (0.33).</ns0:t>
      </ns0:r>
    </ns0:p>
    <ns0:p>
      <ns0:pPr>
        <ns0:spacing ns0:after="120" ns0:line="360" ns0:lineRule="auto"/>
      </ns0:pPr>
      <ns0:r>
        <ns0:rPr>
          <ns0:rFonts ns0:ascii="Times New Roman" ns0:hAnsi="Times New Roman"/>
          <ns0:sz ns0:val="24"/>
          <ns0:szCs ns0:val="24"/>
        </ns0:rPr>
        <ns0:t xml:space="preserve">• F20B and F22B showed lower CE values (0.28, 0.27), indicating reduced hardenability but improved weldability.</ns0:t>
      </ns0:r>
    </ns0:p>
    <ns0:p>
      <ns0:pPr>
        <ns0:spacing ns0:after="120" ns0:line="360" ns0:lineRule="auto"/>
      </ns0:pPr>
      <ns0:r>
        <ns0:rPr>
          <ns0:rFonts ns0:ascii="Times New Roman" ns0:hAnsi="Times New Roman"/>
          <ns0:sz ns0:val="24"/>
          <ns0:szCs ns0:val="24"/>
        </ns0:rPr>
        <ns0:t xml:space="preserve">• Significant pickup of Ti, Cu, and Cr (carbide formers) was observed from the filler wire contribution.</ns0:t>
      </ns0:r>
    </ns0:p>
    <ns0:p>
      <ns0:pPr>
        <ns0:spacing ns0:after="120" ns0:line="360" ns0:lineRule="auto"/>
      </ns0:pPr>
      <ns0:r>
        <ns0:rPr>
          <ns0:rFonts ns0:ascii="Times New Roman" ns0:hAnsi="Times New Roman"/>
          <ns0:sz ns0:val="24"/>
          <ns0:szCs ns0:val="24"/>
        </ns0:rPr>
        <ns0:t xml:space="preserve">• Ni and Nb content in weld metal was reduced compared to the parent metal.</ns0:t>
      </ns0:r>
    </ns0:p>
    <ns0:p>
      <ns0:pPr>
        <ns0:spacing ns0:after="120" ns0:line="360" ns0:lineRule="auto"/>
      </ns0:pPr>
      <ns0:r>
        <ns0:rPr>
          <ns0:rFonts ns0:ascii="Times New Roman" ns0:hAnsi="Times New Roman"/>
          <ns0:b/>
          <ns0:sz ns0:val="28"/>
          <ns0:szCs ns0:val="28"/>
        </ns0:rPr>
        <ns0:t xml:space="preserve">5.4.3 Weld Specimen Impact Toughness Analysis</ns0:t>
      </ns0:r>
    </ns0:p>
    <ns0:p>
      <ns0:pPr>
        <ns0:spacing ns0:after="120" ns0:line="360" ns0:lineRule="auto"/>
      </ns0:pPr>
      <ns0:r>
        <ns0:rPr>
          <ns0:rFonts ns0:ascii="Times New Roman" ns0:hAnsi="Times New Roman"/>
          <ns0:sz ns0:val="24"/>
          <ns0:szCs ns0:val="24"/>
        </ns0:rPr>
        <ns0:t xml:space="preserve">Impact toughness measurements at room temperature and -55°C for fusion zone and HAZ are presented in Table 5.4 and Fig. 5.8.</ns0:t>
      </ns0:r>
    </ns0:p>
    <ns0:p>
      <ns0:pPr>
        <ns0:spacing ns0:after="120" ns0:line="360" ns0:lineRule="auto"/>
      </ns0:pPr>
      <ns0:r>
        <ns0:rPr>
          <ns0:rFonts ns0:ascii="Times New Roman" ns0:hAnsi="Times New Roman"/>
          <ns0:sz ns0:val="24"/>
          <ns0:szCs ns0:val="24"/>
        </ns0:rPr>
        <ns0:t xml:space="preserve">Table 5.4: Impact toughness values for weld joints</ns0:t>
      </ns0:r>
    </ns0:p>
    <ns0:p>
      <ns0:pPr>
        <ns0:spacing ns0:after="120" ns0:line="360" ns0:lineRule="auto"/>
      </ns0:pPr>
      <ns0:r>
        <ns0:rPr>
          <ns0:rFonts ns0:ascii="Times New Roman" ns0:hAnsi="Times New Roman"/>
          <ns0:sz ns0:val="24"/>
          <ns0:szCs ns0:val="24"/>
        </ns0:rPr>
        <ns0:t xml:space="preserve">Specimen    Weld Metal RT (J)    Weld Metal -55°C (J)    HAZ RT (J)    HAZ -55°C (J)</ns0:t>
      </ns0:r>
    </ns0:p>
    <ns0:p>
      <ns0:pPr>
        <ns0:spacing ns0:after="120" ns0:line="360" ns0:lineRule="auto"/>
      </ns0:pPr>
      <ns0:r>
        <ns0:rPr>
          <ns0:rFonts ns0:ascii="Times New Roman" ns0:hAnsi="Times New Roman"/>
          <ns0:sz ns0:val="24"/>
          <ns0:szCs ns0:val="24"/>
        </ns0:rPr>
        <ns0:t xml:space="preserve">Parent Metal    350    35    —    —</ns0:t>
      </ns0:r>
    </ns0:p>
    <ns0:p>
      <ns0:pPr>
        <ns0:spacing ns0:after="120" ns0:line="360" ns0:lineRule="auto"/>
      </ns0:pPr>
      <ns0:r>
        <ns0:rPr>
          <ns0:rFonts ns0:ascii="Times New Roman" ns0:hAnsi="Times New Roman"/>
          <ns0:sz ns0:val="24"/>
          <ns0:szCs ns0:val="24"/>
        </ns0:rPr>
        <ns0:t xml:space="preserve">F6B    171    21    385    28</ns0:t>
      </ns0:r>
    </ns0:p>
    <ns0:p>
      <ns0:pPr>
        <ns0:spacing ns0:after="120" ns0:line="360" ns0:lineRule="auto"/>
      </ns0:pPr>
      <ns0:r>
        <ns0:rPr>
          <ns0:rFonts ns0:ascii="Times New Roman" ns0:hAnsi="Times New Roman"/>
          <ns0:sz ns0:val="24"/>
          <ns0:szCs ns0:val="24"/>
        </ns0:rPr>
        <ns0:t xml:space="preserve">F20B    125    11    355    19</ns0:t>
      </ns0:r>
    </ns0:p>
    <ns0:p>
      <ns0:pPr>
        <ns0:spacing ns0:after="120" ns0:line="360" ns0:lineRule="auto"/>
      </ns0:pPr>
      <ns0:r>
        <ns0:rPr>
          <ns0:rFonts ns0:ascii="Times New Roman" ns0:hAnsi="Times New Roman"/>
          <ns0:sz ns0:val="24"/>
          <ns0:szCs ns0:val="24"/>
        </ns0:rPr>
        <ns0:t xml:space="preserve">F22B    131    14    360    20</ns0:t>
      </ns0:r>
    </ns0:p>
    <ns0:p>
      <ns0:pPr>
        <ns0:spacing ns0:after="120" ns0:line="360" ns0:lineRule="auto"/>
      </ns0:pPr>
      <ns0:r>
        <ns0:rPr>
          <ns0:rFonts ns0:ascii="Times New Roman" ns0:hAnsi="Times New Roman"/>
          <ns0:sz ns0:val="24"/>
          <ns0:szCs ns0:val="24"/>
        </ns0:rPr>
        <ns0:t xml:space="preserve">C.F.    159    18    390    30</ns0:t>
      </ns0:r>
    </ns0:p>
    <ns0:p>
      <ns0:pPr>
        <ns0:spacing ns0:after="120" ns0:line="360" ns0:lineRule="auto"/>
      </ns0:pPr>
      <ns0:r>
        <ns0:rPr>
          <ns0:rFonts ns0:ascii="Times New Roman" ns0:hAnsi="Times New Roman"/>
          <ns0:sz ns0:val="24"/>
          <ns0:szCs ns0:val="24"/>
          <ns0:b/>
        </ns0:rPr>
        <ns0:t xml:space="preserve">Key observations:</ns0:t>
      </ns0:r>
    </ns0:p>
    <ns0:p>
      <ns0:pPr>
        <ns0:spacing ns0:after="120" ns0:line="360" ns0:lineRule="auto"/>
      </ns0:pPr>
      <ns0:r>
        <ns0:rPr>
          <ns0:rFonts ns0:ascii="Times New Roman" ns0:hAnsi="Times New Roman"/>
          <ns0:sz ns0:val="24"/>
          <ns0:szCs ns0:val="24"/>
        </ns0:rPr>
        <ns0:t xml:space="preserve">• The F6B flux weld joint exhibited the greatest impact toughness (171 J at RT, 21 J at -55°C) among all joints, exceeding even the commercial flux (159 J at RT, 18 J at -55°C).</ns0:t>
      </ns0:r>
    </ns0:p>
    <ns0:p>
      <ns0:pPr>
        <ns0:spacing ns0:after="120" ns0:line="360" ns0:lineRule="auto"/>
      </ns0:pPr>
      <ns0:r>
        <ns0:rPr>
          <ns0:rFonts ns0:ascii="Times New Roman" ns0:hAnsi="Times New Roman"/>
          <ns0:sz ns0:val="24"/>
          <ns0:szCs ns0:val="24"/>
        </ns0:rPr>
        <ns0:t xml:space="preserve">• All HAZ specimens showed higher impact toughness at room temperature than the corresponding fusion zone specimens.</ns0:t>
      </ns0:r>
    </ns0:p>
    <ns0:p>
      <ns0:pPr>
        <ns0:spacing ns0:after="120" ns0:line="360" ns0:lineRule="auto"/>
      </ns0:pPr>
      <ns0:r>
        <ns0:rPr>
          <ns0:rFonts ns0:ascii="Times New Roman" ns0:hAnsi="Times New Roman"/>
          <ns0:sz ns0:val="24"/>
          <ns0:szCs ns0:val="24"/>
        </ns0:rPr>
        <ns0:t xml:space="preserve">• The parent metal exhibited the highest toughness (350 J at RT, 35 J at -55°C).</ns0:t>
      </ns0:r>
    </ns0:p>
    <ns0:p>
      <ns0:pPr>
        <ns0:spacing ns0:after="120" ns0:line="360" ns0:lineRule="auto"/>
      </ns0:pPr>
      <ns0:r>
        <ns0:rPr>
          <ns0:rFonts ns0:ascii="Times New Roman" ns0:hAnsi="Times New Roman"/>
          <ns0:sz ns0:val="24"/>
          <ns0:szCs ns0:val="24"/>
        </ns0:rPr>
        <ns0:t xml:space="preserve">• F20B and F22B showed moderate impact toughness, lower than the commercial flux but within acceptable limits.</ns0:t>
      </ns0:r>
    </ns0:p>
    <ns0:p>
      <ns0:pPr>
        <ns0:spacing ns0:after="120" ns0:line="360" ns0:lineRule="auto"/>
      </ns0:pPr>
      <ns0:r>
        <ns0:rPr>
          <ns0:rFonts ns0:ascii="Times New Roman" ns0:hAnsi="Times New Roman"/>
          <ns0:sz ns0:val="24"/>
          <ns0:szCs ns0:val="24"/>
        </ns0:rPr>
        <ns0:t xml:space="preserve">The superior performance of F6B is attributed to its basic characteristics promoting lower oxygen pick-up, finer inclusions, and enhanced acicular ferrite formation.</ns0:t>
      </ns0:r>
    </ns0:p>
    <ns0:p>
      <ns0:pPr>
        <ns0:spacing ns0:after="120" ns0:line="360" ns0:lineRule="auto"/>
      </ns0:pPr>
      <ns0:r>
        <ns0:rPr>
          <ns0:rFonts ns0:ascii="Times New Roman" ns0:hAnsi="Times New Roman"/>
          <ns0:sz ns0:val="24"/>
          <ns0:szCs ns0:val="24"/>
        </ns0:rPr>
        <ns0:t xml:space="preserve">Fig. 5.8: Bar chart comparing impact toughness values for parent metal and weld joints (F6B, F20B, F22B, CF) in both fusion zone and HAZ at room temperature and -55°C.</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28"/>
          <ns0:szCs ns0:val="28"/>
        </ns0:rPr>
        <ns0:t xml:space="preserve">5.4.4 Weld Impact Specimen Fractography Analysis</ns0:t>
      </ns0:r>
    </ns0:p>
    <ns0:p>
      <ns0:pPr>
        <ns0:spacing ns0:after="120" ns0:line="360" ns0:lineRule="auto"/>
      </ns0:pPr>
      <ns0:r>
        <ns0:rPr>
          <ns0:rFonts ns0:ascii="Times New Roman" ns0:hAnsi="Times New Roman"/>
          <ns0:sz ns0:val="24"/>
          <ns0:szCs ns0:val="24"/>
        </ns0:rPr>
        <ns0:t xml:space="preserve">SEM fractography of impact-tested specimens (Fig. 5.9a–m) revealed distinct fracture mechanisms across different weld zones and flux types.</ns0:t>
      </ns0:r>
    </ns0:p>
    <ns0:p>
      <ns0:pPr>
        <ns0:spacing ns0:after="120" ns0:line="360" ns0:lineRule="auto"/>
      </ns0:pPr>
      <ns0:r>
        <ns0:rPr>
          <ns0:rFonts ns0:ascii="Times New Roman" ns0:hAnsi="Times New Roman"/>
          <ns0:sz ns0:val="24"/>
          <ns0:szCs ns0:val="24"/>
          <ns0:b/>
        </ns0:rPr>
        <ns0:t xml:space="preserve">Parent Metal (Fig. 5.9a):</ns0:t>
      </ns0:r>
    </ns0:p>
    <ns0:p>
      <ns0:pPr>
        <ns0:spacing ns0:after="120" ns0:line="360" ns0:lineRule="auto"/>
      </ns0:pPr>
      <ns0:r>
        <ns0:rPr>
          <ns0:rFonts ns0:ascii="Times New Roman" ns0:hAnsi="Times New Roman"/>
          <ns0:sz ns0:val="24"/>
          <ns0:szCs ns0:val="24"/>
        </ns0:rPr>
        <ns0:t xml:space="preserve">• Extensive ductile fracture features with microvoid coalescence and well-developed dimple structures</ns0:t>
      </ns0:r>
    </ns0:p>
    <ns0:p>
      <ns0:pPr>
        <ns0:spacing ns0:after="120" ns0:line="360" ns0:lineRule="auto"/>
      </ns0:pPr>
      <ns0:r>
        <ns0:rPr>
          <ns0:rFonts ns0:ascii="Times New Roman" ns0:hAnsi="Times New Roman"/>
          <ns0:sz ns0:val="24"/>
          <ns0:szCs ns0:val="24"/>
        </ns0:rPr>
        <ns0:t xml:space="preserve">• Significant plastic deformation before failure</ns0:t>
      </ns0:r>
    </ns0:p>
    <ns0:p>
      <ns0:pPr>
        <ns0:spacing ns0:after="120" ns0:line="360" ns0:lineRule="auto"/>
      </ns0:pPr>
      <ns0:r>
        <ns0:rPr>
          <ns0:rFonts ns0:ascii="Times New Roman" ns0:hAnsi="Times New Roman"/>
          <ns0:sz ns0:val="24"/>
          <ns0:szCs ns0:val="24"/>
        </ns0:rPr>
        <ns0:t xml:space="preserve">• Consistent with the highest impact energy (350 J)</ns0:t>
      </ns0:r>
    </ns0:p>
    <ns0:p>
      <ns0:pPr>
        <ns0:spacing ns0:after="120" ns0:line="360" ns0:lineRule="auto"/>
      </ns0:pPr>
      <ns0:r>
        <ns0:rPr>
          <ns0:rFonts ns0:ascii="Times New Roman" ns0:hAnsi="Times New Roman"/>
          <ns0:sz ns0:val="24"/>
          <ns0:szCs ns0:val="24"/>
          <ns0:b/>
        </ns0:rPr>
        <ns0:t xml:space="preserve">Fusion Zone — F6B (Fig. 5.9b–c):</ns0:t>
      </ns0:r>
    </ns0:p>
    <ns0:p>
      <ns0:pPr>
        <ns0:spacing ns0:after="120" ns0:line="360" ns0:lineRule="auto"/>
      </ns0:pPr>
      <ns0:r>
        <ns0:rPr>
          <ns0:rFonts ns0:ascii="Times New Roman" ns0:hAnsi="Times New Roman"/>
          <ns0:sz ns0:val="24"/>
          <ns0:szCs ns0:val="24"/>
        </ns0:rPr>
        <ns0:t xml:space="preserve">• Room temperature: Mixture of ductile features including fibrous dimples, sharp tearing, and facets with ductile fracture regions</ns0:t>
      </ns0:r>
    </ns0:p>
    <ns0:p>
      <ns0:pPr>
        <ns0:spacing ns0:after="120" ns0:line="360" ns0:lineRule="auto"/>
      </ns0:pPr>
      <ns0:r>
        <ns0:rPr>
          <ns0:rFonts ns0:ascii="Times New Roman" ns0:hAnsi="Times New Roman"/>
          <ns0:sz ns0:val="24"/>
          <ns0:szCs ns0:val="24"/>
        </ns0:rPr>
        <ns0:t xml:space="preserve">• At -55°C: Brittle fracture with facet tearing, fibrous rupture, and uneven tearing surfaces</ns0:t>
      </ns0:r>
    </ns0:p>
    <ns0:p>
      <ns0:pPr>
        <ns0:spacing ns0:after="120" ns0:line="360" ns0:lineRule="auto"/>
      </ns0:pPr>
      <ns0:r>
        <ns0:rPr>
          <ns0:rFonts ns0:ascii="Times New Roman" ns0:hAnsi="Times New Roman"/>
          <ns0:sz ns0:val="24"/>
          <ns0:szCs ns0:val="24"/>
          <ns0:b/>
        </ns0:rPr>
        <ns0:t xml:space="preserve">Fusion Zone — F20B (Fig. 5.9d–e):</ns0:t>
      </ns0:r>
    </ns0:p>
    <ns0:p>
      <ns0:pPr>
        <ns0:spacing ns0:after="120" ns0:line="360" ns0:lineRule="auto"/>
      </ns0:pPr>
      <ns0:r>
        <ns0:rPr>
          <ns0:rFonts ns0:ascii="Times New Roman" ns0:hAnsi="Times New Roman"/>
          <ns0:sz ns0:val="24"/>
          <ns0:szCs ns0:val="24"/>
        </ns0:rPr>
        <ns0:t xml:space="preserve">• Room temperature: Mixed mode with sharp dendrites, ductile fracture regions, and fibrous rupture</ns0:t>
      </ns0:r>
    </ns0:p>
    <ns0:p>
      <ns0:pPr>
        <ns0:spacing ns0:after="120" ns0:line="360" ns0:lineRule="auto"/>
      </ns0:pPr>
      <ns0:r>
        <ns0:rPr>
          <ns0:rFonts ns0:ascii="Times New Roman" ns0:hAnsi="Times New Roman"/>
          <ns0:sz ns0:val="24"/>
          <ns0:szCs ns0:val="24"/>
        </ns0:rPr>
        <ns0:t xml:space="preserve">• At -55°C: Predominantly brittle with facet tearing, river patterns, uneven ridges, and brittle surfaces</ns0:t>
      </ns0:r>
    </ns0:p>
    <ns0:p>
      <ns0:pPr>
        <ns0:spacing ns0:after="120" ns0:line="360" ns0:lineRule="auto"/>
      </ns0:pPr>
      <ns0:r>
        <ns0:rPr>
          <ns0:rFonts ns0:ascii="Times New Roman" ns0:hAnsi="Times New Roman"/>
          <ns0:sz ns0:val="24"/>
          <ns0:szCs ns0:val="24"/>
          <ns0:b/>
        </ns0:rPr>
        <ns0:t xml:space="preserve">Fusion Zone — F22B (Fig. 5.9f–g):</ns0:t>
      </ns0:r>
    </ns0:p>
    <ns0:p>
      <ns0:pPr>
        <ns0:spacing ns0:after="120" ns0:line="360" ns0:lineRule="auto"/>
      </ns0:pPr>
      <ns0:r>
        <ns0:rPr>
          <ns0:rFonts ns0:ascii="Times New Roman" ns0:hAnsi="Times New Roman"/>
          <ns0:sz ns0:val="24"/>
          <ns0:szCs ns0:val="24"/>
        </ns0:rPr>
        <ns0:t xml:space="preserve">• Room temperature: Fine dimples with facets, micro voids, and cleavage facets; mixed ductile-brittle mode</ns0:t>
      </ns0:r>
    </ns0:p>
    <ns0:p>
      <ns0:pPr>
        <ns0:spacing ns0:after="120" ns0:line="360" ns0:lineRule="auto"/>
      </ns0:pPr>
      <ns0:r>
        <ns0:rPr>
          <ns0:rFonts ns0:ascii="Times New Roman" ns0:hAnsi="Times New Roman"/>
          <ns0:sz ns0:val="24"/>
          <ns0:szCs ns0:val="24"/>
        </ns0:rPr>
        <ns0:t xml:space="preserve">• At -55°C: Predominantly brittle with ridges, facets, brittle rupture, and cleavage facets</ns0:t>
      </ns0:r>
    </ns0:p>
    <ns0:p>
      <ns0:pPr>
        <ns0:spacing ns0:after="120" ns0:line="360" ns0:lineRule="auto"/>
      </ns0:pPr>
      <ns0:r>
        <ns0:rPr>
          <ns0:rFonts ns0:ascii="Times New Roman" ns0:hAnsi="Times New Roman"/>
          <ns0:sz ns0:val="24"/>
          <ns0:szCs ns0:val="24"/>
          <ns0:b/>
        </ns0:rPr>
        <ns0:t xml:space="preserve">Fusion Zone — C.F. (Fig. 5.9h–i):</ns0:t>
      </ns0:r>
    </ns0:p>
    <ns0:p>
      <ns0:pPr>
        <ns0:spacing ns0:after="120" ns0:line="360" ns0:lineRule="auto"/>
      </ns0:pPr>
      <ns0:r>
        <ns0:rPr>
          <ns0:rFonts ns0:ascii="Times New Roman" ns0:hAnsi="Times New Roman"/>
          <ns0:sz ns0:val="24"/>
          <ns0:szCs ns0:val="24"/>
        </ns0:rPr>
        <ns0:t xml:space="preserve">• Room temperature: Ductile rupture features with voids, uneven surface, micro voids, and fibrous dimples</ns0:t>
      </ns0:r>
    </ns0:p>
    <ns0:p>
      <ns0:pPr>
        <ns0:spacing ns0:after="120" ns0:line="360" ns0:lineRule="auto"/>
      </ns0:pPr>
      <ns0:r>
        <ns0:rPr>
          <ns0:rFonts ns0:ascii="Times New Roman" ns0:hAnsi="Times New Roman"/>
          <ns0:sz ns0:val="24"/>
          <ns0:szCs ns0:val="24"/>
        </ns0:rPr>
        <ns0:t xml:space="preserve">• At -55°C: River patterns, uneven ridges, facets, and dimples indicating mixed-mode fracture</ns0:t>
      </ns0:r>
    </ns0:p>
    <ns0:p>
      <ns0:pPr>
        <ns0:spacing ns0:after="120" ns0:line="360" ns0:lineRule="auto"/>
      </ns0:pPr>
      <ns0:r>
        <ns0:rPr>
          <ns0:rFonts ns0:ascii="Times New Roman" ns0:hAnsi="Times New Roman"/>
          <ns0:sz ns0:val="24"/>
          <ns0:szCs ns0:val="24"/>
          <ns0:b/>
        </ns0:rPr>
        <ns0:t xml:space="preserve">HAZ — F6B (Fig. 5.9j–k):</ns0:t>
      </ns0:r>
    </ns0:p>
    <ns0:p>
      <ns0:pPr>
        <ns0:spacing ns0:after="120" ns0:line="360" ns0:lineRule="auto"/>
      </ns0:pPr>
      <ns0:r>
        <ns0:rPr>
          <ns0:rFonts ns0:ascii="Times New Roman" ns0:hAnsi="Times New Roman"/>
          <ns0:sz ns0:val="24"/>
          <ns0:szCs ns0:val="24"/>
        </ns0:rPr>
        <ns0:t xml:space="preserve">• Room temperature: Facets, sharp ridges, brittle rupture regions, voids, and irregular surfaces</ns0:t>
      </ns0:r>
    </ns0:p>
    <ns0:p>
      <ns0:pPr>
        <ns0:spacing ns0:after="120" ns0:line="360" ns0:lineRule="auto"/>
      </ns0:pPr>
      <ns0:r>
        <ns0:rPr>
          <ns0:rFonts ns0:ascii="Times New Roman" ns0:hAnsi="Times New Roman"/>
          <ns0:sz ns0:val="24"/>
          <ns0:szCs ns0:val="24"/>
        </ns0:rPr>
        <ns0:t xml:space="preserve">• At -55°C: Cleavage cracks, macro voids, facets, and brittle rupture features</ns0:t>
      </ns0:r>
    </ns0:p>
    <ns0:p>
      <ns0:pPr>
        <ns0:spacing ns0:after="120" ns0:line="360" ns0:lineRule="auto"/>
      </ns0:pPr>
      <ns0:r>
        <ns0:rPr>
          <ns0:rFonts ns0:ascii="Times New Roman" ns0:hAnsi="Times New Roman"/>
          <ns0:sz ns0:val="24"/>
          <ns0:szCs ns0:val="24"/>
          <ns0:b/>
        </ns0:rPr>
        <ns0:t xml:space="preserve">HAZ — C.F. (Fig. 5.9l–m):</ns0:t>
      </ns0:r>
    </ns0:p>
    <ns0:p>
      <ns0:pPr>
        <ns0:spacing ns0:after="120" ns0:line="360" ns0:lineRule="auto"/>
      </ns0:pPr>
      <ns0:r>
        <ns0:rPr>
          <ns0:rFonts ns0:ascii="Times New Roman" ns0:hAnsi="Times New Roman"/>
          <ns0:sz ns0:val="24"/>
          <ns0:szCs ns0:val="24"/>
        </ns0:rPr>
        <ns0:t xml:space="preserve">• Room temperature: River patterns, fibrous dimples, ductile rupture, uneven surface, and facet ridges</ns0:t>
      </ns0:r>
    </ns0:p>
    <ns0:p>
      <ns0:pPr>
        <ns0:spacing ns0:after="120" ns0:line="360" ns0:lineRule="auto"/>
      </ns0:pPr>
      <ns0:r>
        <ns0:rPr>
          <ns0:rFonts ns0:ascii="Times New Roman" ns0:hAnsi="Times New Roman"/>
          <ns0:sz ns0:val="24"/>
          <ns0:szCs ns0:val="24"/>
        </ns0:rPr>
        <ns0:t xml:space="preserve">• At -55°C: Facets, voids, ductile tearing, cleavage cracks, and micro voids</ns0:t>
      </ns0:r>
    </ns0:p>
    <ns0:p>
      <ns0:pPr>
        <ns0:spacing ns0:after="120" ns0:line="360" ns0:lineRule="auto"/>
      </ns0:pPr>
      <ns0:r>
        <ns0:rPr>
          <ns0:rFonts ns0:ascii="Times New Roman" ns0:hAnsi="Times New Roman"/>
          <ns0:sz ns0:val="24"/>
          <ns0:szCs ns0:val="24"/>
        </ns0:rPr>
        <ns0:t xml:space="preserve">Fig. 5.9: SEM fractographs (1000×) of API X70 SAW weldments: (a) Parent metal, (b) F6B fusion zone RT, (c) F6B fusion zone -55°C, (d) F20B fusion zone RT, (e) F20B fusion zone -55°C, (f) F22B fusion zone RT, (g) F22B fusion zone -55°C, (h) CF fusion zone RT, (i) CF fusion zone -55°C, (j) F6B HAZ RT, (k) F6B HAZ -55°C, (l) CF HAZ RT, (m) CF HAZ -55°C.</ns0:t>
      </ns0:r>
    </ns0:p>
    <ns0:p>
      <ns0:pPr>
        <ns0:spacing ns0:after="120" ns0:line="360" ns0:lineRule="auto"/>
      </ns0:pPr>
      <ns0:r>
        <ns0:rPr>
          <ns0:rFonts ns0:ascii="Times New Roman" ns0:hAnsi="Times New Roman"/>
          <ns0:sz ns0:val="24"/>
          <ns0:szCs ns0:val="24"/>
        </ns0:rPr>
        <ns0:t xml:space="preserve">The fractographic analysis confirms that:</ns0:t>
      </ns0:r>
    </ns0:p>
    <ns0:p>
      <ns0:pPr>
        <ns0:spacing ns0:after="120" ns0:line="360" ns0:lineRule="auto"/>
      </ns0:pPr>
      <ns0:r>
        <ns0:rPr>
          <ns0:rFonts ns0:ascii="Times New Roman" ns0:hAnsi="Times New Roman"/>
          <ns0:sz ns0:val="24"/>
          <ns0:szCs ns0:val="24"/>
        </ns0:rPr>
        <ns0:t xml:space="preserve">• F6B and CF produce fusion zone fractures with significant ductile components at room temperature</ns0:t>
      </ns0:r>
    </ns0:p>
    <ns0:p>
      <ns0:pPr>
        <ns0:spacing ns0:after="120" ns0:line="360" ns0:lineRule="auto"/>
      </ns0:pPr>
      <ns0:r>
        <ns0:rPr>
          <ns0:rFonts ns0:ascii="Times New Roman" ns0:hAnsi="Times New Roman"/>
          <ns0:sz ns0:val="24"/>
          <ns0:szCs ns0:val="24"/>
        </ns0:rPr>
        <ns0:t xml:space="preserve">• F20B and F22B show larger cleavage facets indicating lower fracture resistance</ns0:t>
      </ns0:r>
    </ns0:p>
    <ns0:p>
      <ns0:pPr>
        <ns0:spacing ns0:after="120" ns0:line="360" ns0:lineRule="auto"/>
      </ns0:pPr>
      <ns0:r>
        <ns0:rPr>
          <ns0:rFonts ns0:ascii="Times New Roman" ns0:hAnsi="Times New Roman"/>
          <ns0:sz ns0:val="24"/>
          <ns0:szCs ns0:val="24"/>
        </ns0:rPr>
        <ns0:t xml:space="preserve">• HAZ specimens from basic fluxes show improved ductile fracture area due to refined inclusion characteristics</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28"/>
          <ns0:szCs ns0:val="28"/>
        </ns0:rPr>
        <ns0:t xml:space="preserve">5.4.5 Weld Specimen Microhardness and Microstructure Analysis</ns0:t>
      </ns0:r>
    </ns0:p>
    <ns0:p>
      <ns0:pPr>
        <ns0:spacing ns0:after="120" ns0:line="360" ns0:lineRule="auto"/>
      </ns0:pPr>
      <ns0:r>
        <ns0:rPr>
          <ns0:rFonts ns0:ascii="Times New Roman" ns0:hAnsi="Times New Roman"/>
          <ns0:sz ns0:val="24"/>
          <ns0:szCs ns0:val="24"/>
          <ns0:b/>
        </ns0:rPr>
        <ns0:t xml:space="preserve">Microhardness Results:</ns0:t>
      </ns0:r>
    </ns0:p>
    <ns0:p>
      <ns0:pPr>
        <ns0:spacing ns0:after="120" ns0:line="360" ns0:lineRule="auto"/>
      </ns0:pPr>
      <ns0:r>
        <ns0:rPr>
          <ns0:rFonts ns0:ascii="Times New Roman" ns0:hAnsi="Times New Roman"/>
          <ns0:sz ns0:val="24"/>
          <ns0:szCs ns0:val="24"/>
        </ns0:rPr>
        <ns0:t xml:space="preserve">Microhardness profiles across the weld cross-sections are presented in Table 5.5.</ns0:t>
      </ns0:r>
    </ns0:p>
    <ns0:p>
      <ns0:pPr>
        <ns0:spacing ns0:after="120" ns0:line="360" ns0:lineRule="auto"/>
      </ns0:pPr>
      <ns0:r>
        <ns0:rPr>
          <ns0:rFonts ns0:ascii="Times New Roman" ns0:hAnsi="Times New Roman"/>
          <ns0:sz ns0:val="24"/>
          <ns0:szCs ns0:val="24"/>
        </ns0:rPr>
        <ns0:t xml:space="preserve">Table 5.5: Microhardness of SAW weldments in fusion zone and HAZ</ns0:t>
      </ns0:r>
    </ns0:p>
    <ns0:p>
      <ns0:pPr>
        <ns0:spacing ns0:after="120" ns0:line="360" ns0:lineRule="auto"/>
      </ns0:pPr>
      <ns0:r>
        <ns0:rPr>
          <ns0:rFonts ns0:ascii="Times New Roman" ns0:hAnsi="Times New Roman"/>
          <ns0:sz ns0:val="24"/>
          <ns0:szCs ns0:val="24"/>
        </ns0:rPr>
        <ns0:t xml:space="preserve">Flux    FZ Max (HV)    FZ Min (HV)    HAZ Max (HV)    HAZ Min (HV)</ns0:t>
      </ns0:r>
    </ns0:p>
    <ns0:p>
      <ns0:pPr>
        <ns0:spacing ns0:after="120" ns0:line="360" ns0:lineRule="auto"/>
      </ns0:pPr>
      <ns0:r>
        <ns0:rPr>
          <ns0:rFonts ns0:ascii="Times New Roman" ns0:hAnsi="Times New Roman"/>
          <ns0:sz ns0:val="24"/>
          <ns0:szCs ns0:val="24"/>
        </ns0:rPr>
        <ns0:t xml:space="preserve">F6B    224    205    251    208</ns0:t>
      </ns0:r>
    </ns0:p>
    <ns0:p>
      <ns0:pPr>
        <ns0:spacing ns0:after="120" ns0:line="360" ns0:lineRule="auto"/>
      </ns0:pPr>
      <ns0:r>
        <ns0:rPr>
          <ns0:rFonts ns0:ascii="Times New Roman" ns0:hAnsi="Times New Roman"/>
          <ns0:sz ns0:val="24"/>
          <ns0:szCs ns0:val="24"/>
        </ns0:rPr>
        <ns0:t xml:space="preserve">F20B    215    195    229    201</ns0:t>
      </ns0:r>
    </ns0:p>
    <ns0:p>
      <ns0:pPr>
        <ns0:spacing ns0:after="120" ns0:line="360" ns0:lineRule="auto"/>
      </ns0:pPr>
      <ns0:r>
        <ns0:rPr>
          <ns0:rFonts ns0:ascii="Times New Roman" ns0:hAnsi="Times New Roman"/>
          <ns0:sz ns0:val="24"/>
          <ns0:szCs ns0:val="24"/>
        </ns0:rPr>
        <ns0:t xml:space="preserve">F22B    202    184    225    205</ns0:t>
      </ns0:r>
    </ns0:p>
    <ns0:p>
      <ns0:pPr>
        <ns0:spacing ns0:after="120" ns0:line="360" ns0:lineRule="auto"/>
      </ns0:pPr>
      <ns0:r>
        <ns0:rPr>
          <ns0:rFonts ns0:ascii="Times New Roman" ns0:hAnsi="Times New Roman"/>
          <ns0:sz ns0:val="24"/>
          <ns0:szCs ns0:val="24"/>
        </ns0:rPr>
        <ns0:t xml:space="preserve">C.F.    233    210    257    211</ns0:t>
      </ns0:r>
    </ns0:p>
    <ns0:p>
      <ns0:pPr>
        <ns0:spacing ns0:after="120" ns0:line="360" ns0:lineRule="auto"/>
      </ns0:pPr>
      <ns0:r>
        <ns0:rPr>
          <ns0:rFonts ns0:ascii="Times New Roman" ns0:hAnsi="Times New Roman"/>
          <ns0:sz ns0:val="24"/>
          <ns0:szCs ns0:val="24"/>
          <ns0:b/>
        </ns0:rPr>
        <ns0:t xml:space="preserve">Key observations:</ns0:t>
      </ns0:r>
    </ns0:p>
    <ns0:p>
      <ns0:pPr>
        <ns0:spacing ns0:after="120" ns0:line="360" ns0:lineRule="auto"/>
      </ns0:pPr>
      <ns0:r>
        <ns0:rPr>
          <ns0:rFonts ns0:ascii="Times New Roman" ns0:hAnsi="Times New Roman"/>
          <ns0:sz ns0:val="24"/>
          <ns0:szCs ns0:val="24"/>
        </ns0:rPr>
        <ns0:t xml:space="preserve">• The commercial flux (CF) produced the highest fusion zone hardness (233 HV max), slightly exceeding laboratory fluxes.</ns0:t>
      </ns0:r>
    </ns0:p>
    <ns0:p>
      <ns0:pPr>
        <ns0:spacing ns0:after="120" ns0:line="360" ns0:lineRule="auto"/>
      </ns0:pPr>
      <ns0:r>
        <ns0:rPr>
          <ns0:rFonts ns0:ascii="Times New Roman" ns0:hAnsi="Times New Roman"/>
          <ns0:sz ns0:val="24"/>
          <ns0:szCs ns0:val="24"/>
        </ns0:rPr>
        <ns0:t xml:space="preserve">• F6B showed consistent hardness distribution (205–224 HV) attributable to predominantly acicular ferrite with fine-dispersed bainitic constituents.</ns0:t>
      </ns0:r>
    </ns0:p>
    <ns0:p>
      <ns0:pPr>
        <ns0:spacing ns0:after="120" ns0:line="360" ns0:lineRule="auto"/>
      </ns0:pPr>
      <ns0:r>
        <ns0:rPr>
          <ns0:rFonts ns0:ascii="Times New Roman" ns0:hAnsi="Times New Roman"/>
          <ns0:sz ns0:val="24"/>
          <ns0:szCs ns0:val="24"/>
        </ns0:rPr>
        <ns0:t xml:space="preserve">• F20B and F22B (CaO/CaF₂-rich) produced lower weld-metal hardness due to enhanced deoxidation and microstructural refinement consistent with lower carbon equivalent.</ns0:t>
      </ns0:r>
    </ns0:p>
    <ns0:p>
      <ns0:pPr>
        <ns0:spacing ns0:after="120" ns0:line="360" ns0:lineRule="auto"/>
      </ns0:pPr>
      <ns0:r>
        <ns0:rPr>
          <ns0:rFonts ns0:ascii="Times New Roman" ns0:hAnsi="Times New Roman"/>
          <ns0:sz ns0:val="24"/>
          <ns0:szCs ns0:val="24"/>
        </ns0:rPr>
        <ns0:t xml:space="preserve">• HAZ hardness values were slightly higher than FZ in all cases due to thermal cycling effects, with M-A constituent and fine bainite formation near the fusion line.</ns0:t>
      </ns0:r>
    </ns0:p>
    <ns0:p>
      <ns0:pPr>
        <ns0:spacing ns0:after="120" ns0:line="360" ns0:lineRule="auto"/>
      </ns0:pPr>
      <ns0:r>
        <ns0:rPr>
          <ns0:rFonts ns0:ascii="Times New Roman" ns0:hAnsi="Times New Roman"/>
          <ns0:sz ns0:val="24"/>
          <ns0:szCs ns0:val="24"/>
        </ns0:rPr>
        <ns0:t xml:space="preserve">• All values fall within the acceptable range for API X70 pipeline applications (180–250 HV in FZ, &lt;275 HV in HAZ to avoid cracking susceptibility).</ns0:t>
      </ns0:r>
    </ns0:p>
    <ns0:p>
      <ns0:pPr>
        <ns0:spacing ns0:after="120" ns0:line="360" ns0:lineRule="auto"/>
      </ns0:pPr>
      <ns0:r>
        <ns0:rPr>
          <ns0:rFonts ns0:ascii="Times New Roman" ns0:hAnsi="Times New Roman"/>
          <ns0:sz ns0:val="24"/>
          <ns0:szCs ns0:val="24"/>
          <ns0:b/>
        </ns0:rPr>
        <ns0:t xml:space="preserve">Microstructure Analysis:</ns0:t>
      </ns0:r>
    </ns0:p>
    <ns0:p>
      <ns0:pPr>
        <ns0:spacing ns0:after="120" ns0:line="360" ns0:lineRule="auto"/>
      </ns0:pPr>
      <ns0:r>
        <ns0:rPr>
          <ns0:rFonts ns0:ascii="Times New Roman" ns0:hAnsi="Times New Roman"/>
          <ns0:sz ns0:val="24"/>
          <ns0:szCs ns0:val="24"/>
        </ns0:rPr>
        <ns0:t xml:space="preserve">Optical micrographs (50× magnification, 50 µm scale bar) of the parent metal and weld zones are presented in Fig. 5.10.</ns0:t>
      </ns0:r>
    </ns0:p>
    <ns0:p>
      <ns0:pPr>
        <ns0:spacing ns0:after="120" ns0:line="360" ns0:lineRule="auto"/>
      </ns0:pPr>
      <ns0:r>
        <ns0:rPr>
          <ns0:rFonts ns0:ascii="Times New Roman" ns0:hAnsi="Times New Roman"/>
          <ns0:sz ns0:val="24"/>
          <ns0:szCs ns0:val="24"/>
          <ns0:b/>
        </ns0:rPr>
        <ns0:t xml:space="preserve">Parent Metal (Fig. 5.10a):</ns0:t>
      </ns0:r>
    </ns0:p>
    <ns0:p>
      <ns0:pPr>
        <ns0:spacing ns0:after="120" ns0:line="360" ns0:lineRule="auto"/>
      </ns0:pPr>
      <ns0:r>
        <ns0:rPr>
          <ns0:rFonts ns0:ascii="Times New Roman" ns0:hAnsi="Times New Roman"/>
          <ns0:sz ns0:val="24"/>
          <ns0:szCs ns0:val="24"/>
        </ns0:rPr>
        <ns0:t xml:space="preserve">• Fine-grained ferrite-pearlite microstructure</ns0:t>
      </ns0:r>
    </ns0:p>
    <ns0:p>
      <ns0:pPr>
        <ns0:spacing ns0:after="120" ns0:line="360" ns0:lineRule="auto"/>
      </ns0:pPr>
      <ns0:r>
        <ns0:rPr>
          <ns0:rFonts ns0:ascii="Times New Roman" ns0:hAnsi="Times New Roman"/>
          <ns0:sz ns0:val="24"/>
          <ns0:szCs ns0:val="24"/>
        </ns0:rPr>
        <ns0:t xml:space="preserve">• Ferrite grains appear equiaxed with pearlite colonies at grain boundaries</ns0:t>
      </ns0:r>
    </ns0:p>
    <ns0:p>
      <ns0:pPr>
        <ns0:spacing ns0:after="120" ns0:line="360" ns0:lineRule="auto"/>
      </ns0:pPr>
      <ns0:r>
        <ns0:rPr>
          <ns0:rFonts ns0:ascii="Times New Roman" ns0:hAnsi="Times New Roman"/>
          <ns0:sz ns0:val="24"/>
          <ns0:szCs ns0:val="24"/>
        </ns0:rPr>
        <ns0:t xml:space="preserve">• Consistent with TMCP-processed API X70 steel</ns0:t>
      </ns0:r>
    </ns0:p>
    <ns0:p>
      <ns0:pPr>
        <ns0:spacing ns0:after="120" ns0:line="360" ns0:lineRule="auto"/>
      </ns0:pPr>
      <ns0:r>
        <ns0:rPr>
          <ns0:rFonts ns0:ascii="Times New Roman" ns0:hAnsi="Times New Roman"/>
          <ns0:sz ns0:val="24"/>
          <ns0:szCs ns0:val="24"/>
          <ns0:b/>
        </ns0:rPr>
        <ns0:t xml:space="preserve">Fusion Zone — F6B (Fig. 5.10b):</ns0:t>
      </ns0:r>
    </ns0:p>
    <ns0:p>
      <ns0:pPr>
        <ns0:spacing ns0:after="120" ns0:line="360" ns0:lineRule="auto"/>
      </ns0:pPr>
      <ns0:r>
        <ns0:rPr>
          <ns0:rFonts ns0:ascii="Times New Roman" ns0:hAnsi="Times New Roman"/>
          <ns0:sz ns0:val="24"/>
          <ns0:szCs ns0:val="24"/>
        </ns0:rPr>
        <ns0:t xml:space="preserve">• Predominantly acicular ferrite (AF) with interlocking non-aligned lath morphology</ns0:t>
      </ns0:r>
    </ns0:p>
    <ns0:p>
      <ns0:pPr>
        <ns0:spacing ns0:after="120" ns0:line="360" ns0:lineRule="auto"/>
      </ns0:pPr>
      <ns0:r>
        <ns0:rPr>
          <ns0:rFonts ns0:ascii="Times New Roman" ns0:hAnsi="Times New Roman"/>
          <ns0:sz ns0:val="24"/>
          <ns0:szCs ns0:val="24"/>
        </ns0:rPr>
        <ns0:t xml:space="preserve">• Small amounts of polygonal ferrite (PF) and pearlite (P)</ns0:t>
      </ns0:r>
    </ns0:p>
    <ns0:p>
      <ns0:pPr>
        <ns0:spacing ns0:after="120" ns0:line="360" ns0:lineRule="auto"/>
      </ns0:pPr>
      <ns0:r>
        <ns0:rPr>
          <ns0:rFonts ns0:ascii="Times New Roman" ns0:hAnsi="Times New Roman"/>
          <ns0:sz ns0:val="24"/>
          <ns0:szCs ns0:val="24"/>
        </ns0:rPr>
        <ns0:t xml:space="preserve">• Acicular ferrite provides excellent cleavage fracture resistance</ns0:t>
      </ns0:r>
    </ns0:p>
    <ns0:p>
      <ns0:pPr>
        <ns0:spacing ns0:after="120" ns0:line="360" ns0:lineRule="auto"/>
      </ns0:pPr>
      <ns0:r>
        <ns0:rPr>
          <ns0:rFonts ns0:ascii="Times New Roman" ns0:hAnsi="Times New Roman"/>
          <ns0:sz ns0:val="24"/>
          <ns0:szCs ns0:val="24"/>
        </ns0:rPr>
        <ns0:t xml:space="preserve">• Consistent with highest impact toughness among laboratory fluxes</ns0:t>
      </ns0:r>
    </ns0:p>
    <ns0:p>
      <ns0:pPr>
        <ns0:spacing ns0:after="120" ns0:line="360" ns0:lineRule="auto"/>
      </ns0:pPr>
      <ns0:r>
        <ns0:rPr>
          <ns0:rFonts ns0:ascii="Times New Roman" ns0:hAnsi="Times New Roman"/>
          <ns0:sz ns0:val="24"/>
          <ns0:szCs ns0:val="24"/>
          <ns0:b/>
        </ns0:rPr>
        <ns0:t xml:space="preserve">HAZ — F6B (Fig. 5.10c):</ns0:t>
      </ns0:r>
    </ns0:p>
    <ns0:p>
      <ns0:pPr>
        <ns0:spacing ns0:after="120" ns0:line="360" ns0:lineRule="auto"/>
      </ns0:pPr>
      <ns0:r>
        <ns0:rPr>
          <ns0:rFonts ns0:ascii="Times New Roman" ns0:hAnsi="Times New Roman"/>
          <ns0:sz ns0:val="24"/>
          <ns0:szCs ns0:val="24"/>
        </ns0:rPr>
        <ns0:t xml:space="preserve">• Grain boundary ferrite (GBF) decorating prior austenite grain boundaries</ns0:t>
      </ns0:r>
    </ns0:p>
    <ns0:p>
      <ns0:pPr>
        <ns0:spacing ns0:after="120" ns0:line="360" ns0:lineRule="auto"/>
      </ns0:pPr>
      <ns0:r>
        <ns0:rPr>
          <ns0:rFonts ns0:ascii="Times New Roman" ns0:hAnsi="Times New Roman"/>
          <ns0:sz ns0:val="24"/>
          <ns0:szCs ns0:val="24"/>
        </ns0:rPr>
        <ns0:t xml:space="preserve">• Quenched polygonal ferrite (QPF) within grains</ns0:t>
      </ns0:r>
    </ns0:p>
    <ns0:p>
      <ns0:pPr>
        <ns0:spacing ns0:after="120" ns0:line="360" ns0:lineRule="auto"/>
      </ns0:pPr>
      <ns0:r>
        <ns0:rPr>
          <ns0:rFonts ns0:ascii="Times New Roman" ns0:hAnsi="Times New Roman"/>
          <ns0:sz ns0:val="24"/>
          <ns0:szCs ns0:val="24"/>
        </ns0:rPr>
        <ns0:t xml:space="preserve">• Martensite-austenite (M/A) constituents finely dispersed</ns0:t>
      </ns0:r>
    </ns0:p>
    <ns0:p>
      <ns0:pPr>
        <ns0:spacing ns0:after="120" ns0:line="360" ns0:lineRule="auto"/>
      </ns0:pPr>
      <ns0:r>
        <ns0:rPr>
          <ns0:rFonts ns0:ascii="Times New Roman" ns0:hAnsi="Times New Roman"/>
          <ns0:sz ns0:val="24"/>
          <ns0:szCs ns0:val="24"/>
        </ns0:rPr>
        <ns0:t xml:space="preserve">• Microstructure typical of CGHAZ with moderate thermal exposure</ns0:t>
      </ns0:r>
    </ns0:p>
    <ns0:p>
      <ns0:pPr>
        <ns0:spacing ns0:after="120" ns0:line="360" ns0:lineRule="auto"/>
      </ns0:pPr>
      <ns0:r>
        <ns0:rPr>
          <ns0:rFonts ns0:ascii="Times New Roman" ns0:hAnsi="Times New Roman"/>
          <ns0:sz ns0:val="24"/>
          <ns0:szCs ns0:val="24"/>
          <ns0:b/>
        </ns0:rPr>
        <ns0:t xml:space="preserve">Fusion Zone — F20B (Fig. 5.10d):</ns0:t>
      </ns0:r>
    </ns0:p>
    <ns0:p>
      <ns0:pPr>
        <ns0:spacing ns0:after="120" ns0:line="360" ns0:lineRule="auto"/>
      </ns0:pPr>
      <ns0:r>
        <ns0:rPr>
          <ns0:rFonts ns0:ascii="Times New Roman" ns0:hAnsi="Times New Roman"/>
          <ns0:sz ns0:val="24"/>
          <ns0:szCs ns0:val="24"/>
        </ns0:rPr>
        <ns0:t xml:space="preserve">• Acicular ferrite (AF) as the dominant phase</ns0:t>
      </ns0:r>
    </ns0:p>
    <ns0:p>
      <ns0:pPr>
        <ns0:spacing ns0:after="120" ns0:line="360" ns0:lineRule="auto"/>
      </ns0:pPr>
      <ns0:r>
        <ns0:rPr>
          <ns0:rFonts ns0:ascii="Times New Roman" ns0:hAnsi="Times New Roman"/>
          <ns0:sz ns0:val="24"/>
          <ns0:szCs ns0:val="24"/>
        </ns0:rPr>
        <ns0:t xml:space="preserve">• Widmanstätten ferrite (WF) side-plates observed</ns0:t>
      </ns0:r>
    </ns0:p>
    <ns0:p>
      <ns0:pPr>
        <ns0:spacing ns0:after="120" ns0:line="360" ns0:lineRule="auto"/>
      </ns0:pPr>
      <ns0:r>
        <ns0:rPr>
          <ns0:rFonts ns0:ascii="Times New Roman" ns0:hAnsi="Times New Roman"/>
          <ns0:sz ns0:val="24"/>
          <ns0:szCs ns0:val="24"/>
        </ns0:rPr>
        <ns0:t xml:space="preserve">• Martensite-austenite (M/A) islands</ns0:t>
      </ns0:r>
    </ns0:p>
    <ns0:p>
      <ns0:pPr>
        <ns0:spacing ns0:after="120" ns0:line="360" ns0:lineRule="auto"/>
      </ns0:pPr>
      <ns0:r>
        <ns0:rPr>
          <ns0:rFonts ns0:ascii="Times New Roman" ns0:hAnsi="Times New Roman"/>
          <ns0:sz ns0:val="24"/>
          <ns0:szCs ns0:val="24"/>
        </ns0:rPr>
        <ns0:t xml:space="preserve">• Lower bainite (LB) packets</ns0:t>
      </ns0:r>
    </ns0:p>
    <ns0:p>
      <ns0:pPr>
        <ns0:spacing ns0:after="120" ns0:line="360" ns0:lineRule="auto"/>
      </ns0:pPr>
      <ns0:r>
        <ns0:rPr>
          <ns0:rFonts ns0:ascii="Times New Roman" ns0:hAnsi="Times New Roman"/>
          <ns0:sz ns0:val="24"/>
          <ns0:szCs ns0:val="24"/>
        </ns0:rPr>
        <ns0:t xml:space="preserve">• More heterogeneous microstructure than F6B</ns0:t>
      </ns0:r>
    </ns0:p>
    <ns0:p>
      <ns0:pPr>
        <ns0:spacing ns0:after="120" ns0:line="360" ns0:lineRule="auto"/>
      </ns0:pPr>
      <ns0:r>
        <ns0:rPr>
          <ns0:rFonts ns0:ascii="Times New Roman" ns0:hAnsi="Times New Roman"/>
          <ns0:sz ns0:val="24"/>
          <ns0:szCs ns0:val="24"/>
          <ns0:b/>
        </ns0:rPr>
        <ns0:t xml:space="preserve">HAZ — F20B (Fig. 5.10e):</ns0:t>
      </ns0:r>
    </ns0:p>
    <ns0:p>
      <ns0:pPr>
        <ns0:spacing ns0:after="120" ns0:line="360" ns0:lineRule="auto"/>
      </ns0:pPr>
      <ns0:r>
        <ns0:rPr>
          <ns0:rFonts ns0:ascii="Times New Roman" ns0:hAnsi="Times New Roman"/>
          <ns0:sz ns0:val="24"/>
          <ns0:szCs ns0:val="24"/>
        </ns0:rPr>
        <ns0:t xml:space="preserve">• Widmanstätten ferrite (WF) prominent features</ns0:t>
      </ns0:r>
    </ns0:p>
    <ns0:p>
      <ns0:pPr>
        <ns0:spacing ns0:after="120" ns0:line="360" ns0:lineRule="auto"/>
      </ns0:pPr>
      <ns0:r>
        <ns0:rPr>
          <ns0:rFonts ns0:ascii="Times New Roman" ns0:hAnsi="Times New Roman"/>
          <ns0:sz ns0:val="24"/>
          <ns0:szCs ns0:val="24"/>
        </ns0:rPr>
        <ns0:t xml:space="preserve">• M/A constituents at grain boundaries and within grains</ns0:t>
      </ns0:r>
    </ns0:p>
    <ns0:p>
      <ns0:pPr>
        <ns0:spacing ns0:after="120" ns0:line="360" ns0:lineRule="auto"/>
      </ns0:pPr>
      <ns0:r>
        <ns0:rPr>
          <ns0:rFonts ns0:ascii="Times New Roman" ns0:hAnsi="Times New Roman"/>
          <ns0:sz ns0:val="24"/>
          <ns0:szCs ns0:val="24"/>
        </ns0:rPr>
        <ns0:t xml:space="preserve">• Lower bainite (LB) in localized regions</ns0:t>
      </ns0:r>
    </ns0:p>
    <ns0:p>
      <ns0:pPr>
        <ns0:spacing ns0:after="120" ns0:line="360" ns0:lineRule="auto"/>
      </ns0:pPr>
      <ns0:r>
        <ns0:rPr>
          <ns0:rFonts ns0:ascii="Times New Roman" ns0:hAnsi="Times New Roman"/>
          <ns0:sz ns0:val="24"/>
          <ns0:szCs ns0:val="24"/>
        </ns0:rPr>
        <ns0:t xml:space="preserve">• Coarser structure than F6B HAZ</ns0:t>
      </ns0:r>
    </ns0:p>
    <ns0:p>
      <ns0:pPr>
        <ns0:spacing ns0:after="120" ns0:line="360" ns0:lineRule="auto"/>
      </ns0:pPr>
      <ns0:r>
        <ns0:rPr>
          <ns0:rFonts ns0:ascii="Times New Roman" ns0:hAnsi="Times New Roman"/>
          <ns0:sz ns0:val="24"/>
          <ns0:szCs ns0:val="24"/>
          <ns0:b/>
        </ns0:rPr>
        <ns0:t xml:space="preserve">Fusion Zone — F22B (Fig. 5.10f):</ns0:t>
      </ns0:r>
    </ns0:p>
    <ns0:p>
      <ns0:pPr>
        <ns0:spacing ns0:after="120" ns0:line="360" ns0:lineRule="auto"/>
      </ns0:pPr>
      <ns0:r>
        <ns0:rPr>
          <ns0:rFonts ns0:ascii="Times New Roman" ns0:hAnsi="Times New Roman"/>
          <ns0:sz ns0:val="24"/>
          <ns0:szCs ns0:val="24"/>
        </ns0:rPr>
        <ns0:t xml:space="preserve">• Acicular ferrite (AF) present but with larger lath dimensions</ns0:t>
      </ns0:r>
    </ns0:p>
    <ns0:p>
      <ns0:pPr>
        <ns0:spacing ns0:after="120" ns0:line="360" ns0:lineRule="auto"/>
      </ns0:pPr>
      <ns0:r>
        <ns0:rPr>
          <ns0:rFonts ns0:ascii="Times New Roman" ns0:hAnsi="Times New Roman"/>
          <ns0:sz ns0:val="24"/>
          <ns0:szCs ns0:val="24"/>
        </ns0:rPr>
        <ns0:t xml:space="preserve">• Polygonal ferrite (PF) more prominent than in F6B</ns0:t>
      </ns0:r>
    </ns0:p>
    <ns0:p>
      <ns0:pPr>
        <ns0:spacing ns0:after="120" ns0:line="360" ns0:lineRule="auto"/>
      </ns0:pPr>
      <ns0:r>
        <ns0:rPr>
          <ns0:rFonts ns0:ascii="Times New Roman" ns0:hAnsi="Times New Roman"/>
          <ns0:sz ns0:val="24"/>
          <ns0:szCs ns0:val="24"/>
        </ns0:rPr>
        <ns0:t xml:space="preserve">• Pearlite (P) colonies</ns0:t>
      </ns0:r>
    </ns0:p>
    <ns0:p>
      <ns0:pPr>
        <ns0:spacing ns0:after="120" ns0:line="360" ns0:lineRule="auto"/>
      </ns0:pPr>
      <ns0:r>
        <ns0:rPr>
          <ns0:rFonts ns0:ascii="Times New Roman" ns0:hAnsi="Times New Roman"/>
          <ns0:sz ns0:val="24"/>
          <ns0:szCs ns0:val="24"/>
        </ns0:rPr>
        <ns0:t xml:space="preserve">• Side-plate ferrite (SF) features</ns0:t>
      </ns0:r>
    </ns0:p>
    <ns0:p>
      <ns0:pPr>
        <ns0:spacing ns0:after="120" ns0:line="360" ns0:lineRule="auto"/>
      </ns0:pPr>
      <ns0:r>
        <ns0:rPr>
          <ns0:rFonts ns0:ascii="Times New Roman" ns0:hAnsi="Times New Roman"/>
          <ns0:sz ns0:val="24"/>
          <ns0:szCs ns0:val="24"/>
        </ns0:rPr>
        <ns0:t xml:space="preserve">• Less refined microstructure consistent with lower hardness</ns0:t>
      </ns0:r>
    </ns0:p>
    <ns0:p>
      <ns0:pPr>
        <ns0:spacing ns0:after="120" ns0:line="360" ns0:lineRule="auto"/>
      </ns0:pPr>
      <ns0:r>
        <ns0:rPr>
          <ns0:rFonts ns0:ascii="Times New Roman" ns0:hAnsi="Times New Roman"/>
          <ns0:sz ns0:val="24"/>
          <ns0:szCs ns0:val="24"/>
          <ns0:b/>
        </ns0:rPr>
        <ns0:t xml:space="preserve">HAZ — F22B (Fig. 5.10g):</ns0:t>
      </ns0:r>
    </ns0:p>
    <ns0:p>
      <ns0:pPr>
        <ns0:spacing ns0:after="120" ns0:line="360" ns0:lineRule="auto"/>
      </ns0:pPr>
      <ns0:r>
        <ns0:rPr>
          <ns0:rFonts ns0:ascii="Times New Roman" ns0:hAnsi="Times New Roman"/>
          <ns0:sz ns0:val="24"/>
          <ns0:szCs ns0:val="24"/>
        </ns0:rPr>
        <ns0:t xml:space="preserve">• Grain boundary ferrite (GBF) pronounced</ns0:t>
      </ns0:r>
    </ns0:p>
    <ns0:p>
      <ns0:pPr>
        <ns0:spacing ns0:after="120" ns0:line="360" ns0:lineRule="auto"/>
      </ns0:pPr>
      <ns0:r>
        <ns0:rPr>
          <ns0:rFonts ns0:ascii="Times New Roman" ns0:hAnsi="Times New Roman"/>
          <ns0:sz ns0:val="24"/>
          <ns0:szCs ns0:val="24"/>
        </ns0:rPr>
        <ns0:t xml:space="preserve">• Widmanstätten ferrite (WF) dominant</ns0:t>
      </ns0:r>
    </ns0:p>
    <ns0:p>
      <ns0:pPr>
        <ns0:spacing ns0:after="120" ns0:line="360" ns0:lineRule="auto"/>
      </ns0:pPr>
      <ns0:r>
        <ns0:rPr>
          <ns0:rFonts ns0:ascii="Times New Roman" ns0:hAnsi="Times New Roman"/>
          <ns0:sz ns0:val="24"/>
          <ns0:szCs ns0:val="24"/>
        </ns0:rPr>
        <ns0:t xml:space="preserve">• Quenched polygonal ferrite (QPF) within prior austenite grains</ns0:t>
      </ns0:r>
    </ns0:p>
    <ns0:p>
      <ns0:pPr>
        <ns0:spacing ns0:after="120" ns0:line="360" ns0:lineRule="auto"/>
      </ns0:pPr>
      <ns0:r>
        <ns0:rPr>
          <ns0:rFonts ns0:ascii="Times New Roman" ns0:hAnsi="Times New Roman"/>
          <ns0:sz ns0:val="24"/>
          <ns0:szCs ns0:val="24"/>
        </ns0:rPr>
        <ns0:t xml:space="preserve">• Coarsest HAZ microstructure among the three laboratory fluxes</ns0:t>
      </ns0:r>
    </ns0:p>
    <ns0:p>
      <ns0:pPr>
        <ns0:spacing ns0:after="120" ns0:line="360" ns0:lineRule="auto"/>
      </ns0:pPr>
      <ns0:r>
        <ns0:rPr>
          <ns0:rFonts ns0:ascii="Times New Roman" ns0:hAnsi="Times New Roman"/>
          <ns0:sz ns0:val="24"/>
          <ns0:szCs ns0:val="24"/>
          <ns0:b/>
        </ns0:rPr>
        <ns0:t xml:space="preserve">Fusion Zone — C.F. (Fig. 5.10h):</ns0:t>
      </ns0:r>
    </ns0:p>
    <ns0:p>
      <ns0:pPr>
        <ns0:spacing ns0:after="120" ns0:line="360" ns0:lineRule="auto"/>
      </ns0:pPr>
      <ns0:r>
        <ns0:rPr>
          <ns0:rFonts ns0:ascii="Times New Roman" ns0:hAnsi="Times New Roman"/>
          <ns0:sz ns0:val="24"/>
          <ns0:szCs ns0:val="24"/>
        </ns0:rPr>
        <ns0:t xml:space="preserve">• Polygonal ferrite (PF) as a significant phase</ns0:t>
      </ns0:r>
    </ns0:p>
    <ns0:p>
      <ns0:pPr>
        <ns0:spacing ns0:after="120" ns0:line="360" ns0:lineRule="auto"/>
      </ns0:pPr>
      <ns0:r>
        <ns0:rPr>
          <ns0:rFonts ns0:ascii="Times New Roman" ns0:hAnsi="Times New Roman"/>
          <ns0:sz ns0:val="24"/>
          <ns0:szCs ns0:val="24"/>
        </ns0:rPr>
        <ns0:t xml:space="preserve">• Pearlite (P) colonies</ns0:t>
      </ns0:r>
    </ns0:p>
    <ns0:p>
      <ns0:pPr>
        <ns0:spacing ns0:after="120" ns0:line="360" ns0:lineRule="auto"/>
      </ns0:pPr>
      <ns0:r>
        <ns0:rPr>
          <ns0:rFonts ns0:ascii="Times New Roman" ns0:hAnsi="Times New Roman"/>
          <ns0:sz ns0:val="24"/>
          <ns0:szCs ns0:val="24"/>
        </ns0:rPr>
        <ns0:t xml:space="preserve">• Lath ferrite (LF) with directional morphology</ns0:t>
      </ns0:r>
    </ns0:p>
    <ns0:p>
      <ns0:pPr>
        <ns0:spacing ns0:after="120" ns0:line="360" ns0:lineRule="auto"/>
      </ns0:pPr>
      <ns0:r>
        <ns0:rPr>
          <ns0:rFonts ns0:ascii="Times New Roman" ns0:hAnsi="Times New Roman"/>
          <ns0:sz ns0:val="24"/>
          <ns0:szCs ns0:val="24"/>
        </ns0:rPr>
        <ns0:t xml:space="preserve">• Higher alloy content (CE = 0.38) reflected in microstructure</ns0:t>
      </ns0:r>
    </ns0:p>
    <ns0:p>
      <ns0:pPr>
        <ns0:spacing ns0:after="120" ns0:line="360" ns0:lineRule="auto"/>
      </ns0:pPr>
      <ns0:r>
        <ns0:rPr>
          <ns0:rFonts ns0:ascii="Times New Roman" ns0:hAnsi="Times New Roman"/>
          <ns0:sz ns0:val="24"/>
          <ns0:szCs ns0:val="24"/>
          <ns0:b/>
        </ns0:rPr>
        <ns0:t xml:space="preserve">HAZ — C.F. (Fig. 5.10i):</ns0:t>
      </ns0:r>
    </ns0:p>
    <ns0:p>
      <ns0:pPr>
        <ns0:spacing ns0:after="120" ns0:line="360" ns0:lineRule="auto"/>
      </ns0:pPr>
      <ns0:r>
        <ns0:rPr>
          <ns0:rFonts ns0:ascii="Times New Roman" ns0:hAnsi="Times New Roman"/>
          <ns0:sz ns0:val="24"/>
          <ns0:szCs ns0:val="24"/>
        </ns0:rPr>
        <ns0:t xml:space="preserve">• Quenched polygonal ferrite (QPF) </ns0:t>
      </ns0:r>
    </ns0:p>
    <ns0:p>
      <ns0:pPr>
        <ns0:spacing ns0:after="120" ns0:line="360" ns0:lineRule="auto"/>
      </ns0:pPr>
      <ns0:r>
        <ns0:rPr>
          <ns0:rFonts ns0:ascii="Times New Roman" ns0:hAnsi="Times New Roman"/>
          <ns0:sz ns0:val="24"/>
          <ns0:szCs ns0:val="24"/>
        </ns0:rPr>
        <ns0:t xml:space="preserve">• Martensite-austenite (M/A) constituents well-defined</ns0:t>
      </ns0:r>
    </ns0:p>
    <ns0:p>
      <ns0:pPr>
        <ns0:spacing ns0:after="120" ns0:line="360" ns0:lineRule="auto"/>
      </ns0:pPr>
      <ns0:r>
        <ns0:rPr>
          <ns0:rFonts ns0:ascii="Times New Roman" ns0:hAnsi="Times New Roman"/>
          <ns0:sz ns0:val="24"/>
          <ns0:szCs ns0:val="24"/>
        </ns0:rPr>
        <ns0:t xml:space="preserve">• Upper bainite (UB) regions</ns0:t>
      </ns0:r>
    </ns0:p>
    <ns0:p>
      <ns0:pPr>
        <ns0:spacing ns0:after="120" ns0:line="360" ns0:lineRule="auto"/>
      </ns0:pPr>
      <ns0:r>
        <ns0:rPr>
          <ns0:rFonts ns0:ascii="Times New Roman" ns0:hAnsi="Times New Roman"/>
          <ns0:sz ns0:val="24"/>
          <ns0:szCs ns0:val="24"/>
        </ns0:rPr>
        <ns0:t xml:space="preserve">• Widmanstätten ferrite (WF) at grain boundaries</ns0:t>
      </ns0:r>
    </ns0:p>
    <ns0:p>
      <ns0:pPr>
        <ns0:spacing ns0:after="120" ns0:line="360" ns0:lineRule="auto"/>
      </ns0:pPr>
      <ns0:r>
        <ns0:rPr>
          <ns0:rFonts ns0:ascii="Times New Roman" ns0:hAnsi="Times New Roman"/>
          <ns0:sz ns0:val="24"/>
          <ns0:szCs ns0:val="24"/>
        </ns0:rPr>
        <ns0:t xml:space="preserve">• M/A constituents more prominent than in laboratory fluxes, consistent with highest HAZ hardness</ns0:t>
      </ns0:r>
    </ns0:p>
    <ns0:p>
      <ns0:pPr>
        <ns0:spacing ns0:after="120" ns0:line="360" ns0:lineRule="auto"/>
      </ns0:pPr>
      <ns0:r>
        <ns0:rPr>
          <ns0:rFonts ns0:ascii="Times New Roman" ns0:hAnsi="Times New Roman"/>
          <ns0:sz ns0:val="24"/>
          <ns0:szCs ns0:val="24"/>
        </ns0:rPr>
        <ns0:t xml:space="preserve">Fig. 5.10: Microstructure analysis (optical, 50×, 50 µm scale bar) of API X70 SAW weldments: (a) Parent metal showing ferrite-pearlite, (b) F6B fusion zone — acicular ferrite dominant, (c) F6B HAZ — GBF + QPF + M/A, (d) F20B fusion zone — AF + WF + M/A + LB, (e) F20B HAZ — WF + M/A + LB, (f) F22B fusion zone — AF + PF + P + SF, (g) F22B HAZ — GBF + WF + QPF, (h) CF fusion zone — PF + P + LF, (i) CF HAZ — QPF + M/A + UB + WF.</ns0:t>
      </ns0:r>
    </ns0:p>
    <ns0:p>
      <ns0:pPr>
        <ns0:spacing ns0:after="120" ns0:line="360" ns0:lineRule="auto"/>
      </ns0:pPr>
      <ns0:r>
        <ns0:rPr>
          <ns0:rFonts ns0:ascii="Times New Roman" ns0:hAnsi="Times New Roman"/>
          <ns0:sz ns0:val="24"/>
          <ns0:szCs ns0:val="24"/>
          <ns0:b/>
        </ns0:rPr>
        <ns0:t xml:space="preserve">Microstructure–Property Correlations:</ns0:t>
      </ns0:r>
    </ns0:p>
    <ns0:p>
      <ns0:pPr>
        <ns0:spacing ns0:after="120" ns0:line="360" ns0:lineRule="auto"/>
      </ns0:pPr>
      <ns0:r>
        <ns0:rPr>
          <ns0:rFonts ns0:ascii="Times New Roman" ns0:hAnsi="Times New Roman"/>
          <ns0:sz ns0:val="24"/>
          <ns0:szCs ns0:val="24"/>
        </ns0:rPr>
        <ns0:t xml:space="preserve">The microstructural observations explain the mechanical property trends:</ns0:t>
      </ns0:r>
    </ns0:p>
    <ns0:p>
      <ns0:pPr>
        <ns0:spacing ns0:after="120" ns0:line="360" ns0:lineRule="auto"/>
      </ns0:pPr>
      <ns0:r>
        <ns0:rPr>
          <ns0:rFonts ns0:ascii="Times New Roman" ns0:hAnsi="Times New Roman"/>
          <ns0:sz ns0:val="24"/>
          <ns0:szCs ns0:val="24"/>
        </ns0:rPr>
        <ns0:t xml:space="preserve">1. F6B (highest toughness): Predominantly acicular ferrite in FZ provides optimal toughness–strength balance. The interlocking lath structure effectively arrests crack propagation. Moderate M/A in HAZ contributes to acceptable hardness without excessive brittleness.</ns0:t>
      </ns0:r>
    </ns0:p>
    <ns0:p>
      <ns0:pPr>
        <ns0:spacing ns0:after="120" ns0:line="360" ns0:lineRule="auto"/>
      </ns0:pPr>
      <ns0:r>
        <ns0:rPr>
          <ns0:rFonts ns0:ascii="Times New Roman" ns0:hAnsi="Times New Roman"/>
          <ns0:sz ns0:val="24"/>
          <ns0:szCs ns0:val="24"/>
        </ns0:rPr>
        <ns0:t xml:space="preserve">2. F20B and F22B (moderate toughness): Higher proportions of Widmanstätten ferrite and coarser features reduce toughness. However, acicular ferrite is still present, maintaining adequate properties.</ns0:t>
      </ns0:r>
    </ns0:p>
    <ns0:p>
      <ns0:pPr>
        <ns0:spacing ns0:after="120" ns0:line="360" ns0:lineRule="auto"/>
      </ns0:pPr>
      <ns0:r>
        <ns0:rPr>
          <ns0:rFonts ns0:ascii="Times New Roman" ns0:hAnsi="Times New Roman"/>
          <ns0:sz ns0:val="24"/>
          <ns0:szCs ns0:val="24"/>
        </ns0:rPr>
        <ns0:t xml:space="preserve">3. C.F. (good overall properties): Higher CE produces more polygonal ferrite and lath ferrite in FZ. HAZ shows more pronounced M/A constituents, leading to highest hardness values.</ns0:t>
      </ns0:r>
    </ns0:p>
    <ns0:p>
      <ns0:pPr>
        <ns0:spacing ns0:after="120" ns0:line="360" ns0:lineRule="auto"/>
      </ns0:pPr>
      <ns0:r>
        <ns0:rPr>
          <ns0:rFonts ns0:ascii="Times New Roman" ns0:hAnsi="Times New Roman"/>
          <ns0:sz ns0:val="24"/>
          <ns0:szCs ns0:val="24"/>
        </ns0:rPr>
        <ns0:t xml:space="preserve">4. Effect of flux basicity on microstructure: High-basicity fluxes create a low-oxygen atmosphere that reduces oxide inclusion fraction and favors development of fine, dispersed Ti-rich inclusions. These inclusions serve as intragranular nucleation sites for acicular ferrite, which is the most desirable microstructural constituent for pipeline steels.</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b/>
          <ns0:sz ns0:val="32"/>
          <ns0:szCs ns0:val="32"/>
        </ns0:rPr>
        <ns0:t xml:space="preserve">5.5 Summary of Key Findings</ns0:t>
      </ns0:r>
    </ns0:p>
    <ns0:p>
      <ns0:pPr>
        <ns0:spacing ns0:after="120" ns0:line="360" ns0:lineRule="auto"/>
      </ns0:pPr>
      <ns0:r>
        <ns0:rPr>
          <ns0:rFonts ns0:ascii="Times New Roman" ns0:hAnsi="Times New Roman"/>
          <ns0:sz ns0:val="24"/>
          <ns0:szCs ns0:val="24"/>
        </ns0:rPr>
        <ns0:t xml:space="preserve">The integrated analysis across all three aspects of this research (flux characterization, multipass bead optimization, and final weld joint evaluation) establishes the following structure–property–performance relationships:</ns0:t>
      </ns0:r>
    </ns0:p>
    <ns0:p>
      <ns0:pPr>
        <ns0:spacing ns0:after="120" ns0:line="360" ns0:lineRule="auto"/>
      </ns0:pPr>
      <ns0:r>
        <ns0:rPr>
          <ns0:rFonts ns0:ascii="Times New Roman" ns0:hAnsi="Times New Roman"/>
          <ns0:sz ns0:val="24"/>
          <ns0:szCs ns0:val="24"/>
        </ns0:rPr>
        <ns0:t xml:space="preserve">1. Flux Design → Thermophysical Properties: DoE-based composition control enables predictable thermal properties, with metallic oxide-rich formulations providing higher thermal conductivity and diffusivity.</ns0:t>
      </ns0:r>
    </ns0:p>
    <ns0:p>
      <ns0:pPr>
        <ns0:spacing ns0:after="120" ns0:line="360" ns0:lineRule="auto"/>
      </ns0:pPr>
      <ns0:r>
        <ns0:rPr>
          <ns0:rFonts ns0:ascii="Times New Roman" ns0:hAnsi="Times New Roman"/>
          <ns0:sz ns0:val="24"/>
          <ns0:szCs ns0:val="24"/>
        </ns0:rPr>
        <ns0:t xml:space="preserve">2. Flux Composition → Weld Metal Chemistry: Regression models (R² = 0.76–0.95) quantitatively predict element transfer from flux to weld pool through slag–metal reactions governed by O²⁻ ion availability.</ns0:t>
      </ns0:r>
    </ns0:p>
    <ns0:p>
      <ns0:pPr>
        <ns0:spacing ns0:after="120" ns0:line="360" ns0:lineRule="auto"/>
      </ns0:pPr>
      <ns0:r>
        <ns0:rPr>
          <ns0:rFonts ns0:ascii="Times New Roman" ns0:hAnsi="Times New Roman"/>
          <ns0:sz ns0:val="24"/>
          <ns0:szCs ns0:val="24"/>
        </ns0:rPr>
        <ns0:t xml:space="preserve">3. Weld Metal Chemistry → Microstructure: Controlled element transfer (particularly Ti, Mn, and low O) promotes acicular ferrite nucleation on fine oxide inclusions.</ns0:t>
      </ns0:r>
    </ns0:p>
    <ns0:p>
      <ns0:pPr>
        <ns0:spacing ns0:after="120" ns0:line="360" ns0:lineRule="auto"/>
      </ns0:pPr>
      <ns0:r>
        <ns0:rPr>
          <ns0:rFonts ns0:ascii="Times New Roman" ns0:hAnsi="Times New Roman"/>
          <ns0:sz ns0:val="24"/>
          <ns0:szCs ns0:val="24"/>
        </ns0:rPr>
        <ns0:t xml:space="preserve">4. Microstructure → Mechanical Properties: Predominantly acicular ferrite microstructure yields optimal impact toughness (171 J at RT for F6B) and appropriate hardness (205–224 HV).</ns0:t>
      </ns0:r>
    </ns0:p>
    <ns0:p>
      <ns0:pPr>
        <ns0:spacing ns0:after="120" ns0:line="360" ns0:lineRule="auto"/>
      </ns0:pPr>
      <ns0:r>
        <ns0:rPr>
          <ns0:rFonts ns0:ascii="Times New Roman" ns0:hAnsi="Times New Roman"/>
          <ns0:sz ns0:val="24"/>
          <ns0:szCs ns0:val="24"/>
        </ns0:rPr>
        <ns0:t xml:space="preserve">5. Optimal Flux (F6B): TiO₂: 20%, SiO₂: 5.2%, CaF₂: 27.4%, BaO: 7.3%, MnO: 25%, CaO: 8% — produces weld joints comparable to or exceeding commercial flux performance for API X70 pipeline applications.</ns0:t>
      </ns0:r>
    </ns0:p>
    <ns0:p>
      <ns0:pPr>
        <ns0:spacing ns0:after="120" ns0:line="360" ns0:lineRule="auto"/>
      </ns0:pPr>
      <ns0:r>
        <ns0:rPr>
          <ns0:rFonts ns0:ascii="Times New Roman" ns0:hAnsi="Times New Roman"/>
          <ns0:sz ns0:val="24"/>
          <ns0:szCs ns0:val="24"/>
        </ns0:rPr>
        <ns0:t xml:space="preserve">---</ns0:t>
      </ns0:r>
    </ns0:p>
    <ns0:p>
      <ns0:pPr>
        <ns0:spacing ns0:after="120" ns0:line="360" ns0:lineRule="auto"/>
      </ns0:pPr>
      <ns0:r>
        <ns0:rPr>
          <ns0:rFonts ns0:ascii="Times New Roman" ns0:hAnsi="Times New Roman"/>
          <ns0:sz ns0:val="24"/>
          <ns0:szCs ns0:val="24"/>
        </ns0:rPr>
        <ns0:t xml:space="preserve">*End of Chapter 5*</ns0:t>
      </ns0:r>
    </ns0:p>
  </ns0:body>
</ns0:document>
</file>

<file path=word/_rels/document.xml.rels><?xml version="1.0" encoding="UTF-8" standalone="yes"?><Relationships xmlns="http://schemas.openxmlformats.org/package/2006/relationships" />
</file>