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Investigation of Microstructure and Mechanical Properties of a Dissimilar Weld Joint between SS2205 Duplex Stainless Steel and SA516 Carbon Steel using ER309L Filler</w:t>
      </w:r>
    </w:p>
    <w:p>
      <w:pPr>
        <w:pStyle w:val="Quote"/>
      </w:pPr>
      <w:r>
        <w:rPr>
          <w:b/>
        </w:rPr>
        <w:t xml:space="preserve">Revised manuscript (all reviewer corrections incorporated).</w:t>
      </w:r>
      <w:r>
        <w:t xml:space="preserve"> Text that depends on the authors' original lab records is shown in </w:t>
      </w:r>
      <w:r>
        <w:rPr>
          <w:b/>
        </w:rPr>
        <w:t xml:space="preserve">[brackets]</w:t>
      </w:r>
      <w:r>
        <w:t xml:space="preserve"> and must be confirmed before submission. HAZ terminology is standardized as: </w:t>
      </w:r>
      <w:r>
        <w:rPr>
          <w:b/>
        </w:rPr>
        <w:t xml:space="preserve">HAZ-1 = heat-affected zone on the SA516 carbon-steel side</w:t>
      </w:r>
      <w:r>
        <w:t xml:space="preserve">; </w:t>
      </w:r>
      <w:r>
        <w:rPr>
          <w:b/>
        </w:rPr>
        <w:t xml:space="preserve">HAZ-2 = heat-affected zone on the SS2205 duplex stainless-steel side.</w:t>
      </w:r>
    </w:p>
    <w:p>
      <w:pPr>
        <w:pBdr>
          <w:bottom w:val="single" w:sz="6" w:space="1" w:color="AAAAAA"/>
        </w:pBdr>
      </w:pPr>
    </w:p>
    <w:p>
      <w:pPr>
        <w:pStyle w:val="Heading2"/>
      </w:pPr>
      <w:r>
        <w:t xml:space="preserve">Abstract</w:t>
      </w:r>
    </w:p>
    <w:p>
      <w:r>
        <w:t xml:space="preserve">Dissimilar welded joints between duplex stainless steel and carbon steel are widely used in pressure-vessel, petrochemical, and offshore applications, where they combine the corrosion resistance of the stainless side with the economy of the carbon-steel side. This study </w:t>
      </w:r>
      <w:r>
        <w:rPr>
          <w:b/>
        </w:rPr>
        <w:t xml:space="preserve">examines and analyses</w:t>
      </w:r>
      <w:r>
        <w:t xml:space="preserve"> the microstructure and mechanical behaviour of a dissimilar joint between SS2205 duplex stainless steel and SA516 carbon steel produced with ER309L austenitic filler. Optical microscopy, microhardness mapping, tensile testing, Charpy impact testing, and fractography were used to characterise the joint. The maximum microhardness of </w:t>
      </w:r>
      <w:r>
        <w:rPr>
          <w:b/>
        </w:rPr>
        <w:t xml:space="preserve">372 HV</w:t>
      </w:r>
      <w:r>
        <w:t xml:space="preserve"> was recorded in </w:t>
      </w:r>
      <w:r>
        <w:rPr>
          <w:b/>
        </w:rPr>
        <w:t xml:space="preserve">HAZ-2 on the SS2205 side</w:t>
      </w:r>
      <w:r>
        <w:t xml:space="preserve">, followed by HAZ-1 on the SA516 side (</w:t>
      </w:r>
      <w:r>
        <w:rPr>
          <w:b/>
        </w:rPr>
        <w:t xml:space="preserve">345 HV</w:t>
      </w:r>
      <w:r>
        <w:t xml:space="preserve">); the SA516 base metal was the softest region (</w:t>
      </w:r>
      <w:r>
        <w:rPr>
          <w:b/>
        </w:rPr>
        <w:t xml:space="preserve">254 HV</w:t>
      </w:r>
      <w:r>
        <w:t xml:space="preserve">). The fusion zone exhibited the highest impact toughness (</w:t>
      </w:r>
      <w:r>
        <w:rPr>
          <w:b/>
        </w:rPr>
        <w:t xml:space="preserve">150 J</w:t>
      </w:r>
      <w:r>
        <w:t xml:space="preserve">), exceeding the SS2205 base metal (</w:t>
      </w:r>
      <w:r>
        <w:rPr>
          <w:b/>
        </w:rPr>
        <w:t xml:space="preserve">130 J</w:t>
      </w:r>
      <w:r>
        <w:t xml:space="preserve">) by about 15% and the SA516 base metal (</w:t>
      </w:r>
      <w:r>
        <w:rPr>
          <w:b/>
        </w:rPr>
        <w:t xml:space="preserve">100 J</w:t>
      </w:r>
      <w:r>
        <w:t xml:space="preserve">) by about 50%, owing to the tough austenitic ER309L weld metal. The results confirm that ER309L produces a sound, tough dissimilar joint with a predictable hardness distribution governed by the weld thermal cycle.</w:t>
      </w:r>
    </w:p>
    <w:p>
      <w:r>
        <w:rPr>
          <w:b/>
        </w:rPr>
        <w:t xml:space="preserve">Keywords:</w:t>
      </w:r>
      <w:r>
        <w:t xml:space="preserve"> duplex stainless steel (SS2205); SA516 carbon steel; dissimilar welding; ER309L filler; heat-affected zone; microhardness; impact toughness.</w:t>
      </w:r>
    </w:p>
    <w:p>
      <w:pPr>
        <w:pBdr>
          <w:bottom w:val="single" w:sz="6" w:space="1" w:color="AAAAAA"/>
        </w:pBdr>
      </w:pPr>
    </w:p>
    <w:p>
      <w:pPr>
        <w:pStyle w:val="Heading2"/>
      </w:pPr>
      <w:r>
        <w:t xml:space="preserve">1. Introduction</w:t>
      </w:r>
    </w:p>
    <w:p>
      <w:r>
        <w:t xml:space="preserve">The manufacturing industry faces several challenges in joining dissimilar metals, where differences in composition, thermal expansion, and phase transformation behaviour make sound welds difficult to obtain [1]. Dissimilar joints between stainless steels and carbon/low-alloy steels are nevertheless indispensable in pressure vessels, heat exchangers, pipelines, and offshore structures, because they allow designers to place corrosion-resistant material only where it is needed while using economical carbon steel elsewhere [2, 3].</w:t>
      </w:r>
    </w:p>
    <w:p>
      <w:r>
        <w:t xml:space="preserve">Duplex stainless steel SS2205, with its roughly balanced ferrite–austenite microstructure, offers an attractive combination of strength, toughness, and resistance to pitting and stress-corrosion cracking, making it a preferred material for aggressive service environments [4]. Prior studies on the welding of duplex stainless steels have established that the ferrite/austenite balance in the weld metal and heat-affected zone is highly sensitive to the weld thermal cycle: excessively rapid cooling promotes a ferrite-rich HAZ with reduced toughness and corrosion resistance, whereas slow cooling and reheating can promote chromium-nitride and intermetallic (e.g., sigma-phase) precipitation [4, 5]. Controlling heat input and interpass temperature is therefore central to obtaining a serviceable duplex weld. SA516 (a pressure-vessel-grade carbon steel) responds to the same thermal cycle very differently, forming hard, non-equilibrium bainitic/martensitic constituents in its HAZ [6].</w:t>
      </w:r>
    </w:p>
    <w:p>
      <w:r>
        <w:t xml:space="preserve">When these two materials are joined, the choice of filler is critical. Austenitic ER309L is the established filler for stainless-to-carbon-steel dissimilar welds because its high chromium and nickel content offsets dilution by the carbon steel, keeping the weld-metal composition within the austenitic region of the Schaeffler/WRC-1992 constitution diagrams and thus avoiding a brittle, fully martensitic deposit; its low carbon content further limits sensitisation [7, 8]. Despite considerable work on stainless-to-carbon-steel welds, comparatively few studies report a complete, internally consistent characterisation—microstructure, microhardness distribution, tensile response, and impact toughness with fractography—for the specific SS2205/SA516 combination using ER309L. The present work addresses this gap and clarifies how the two dissimilar HAZs and the fusion zone differ in hardness and toughness.</w:t>
      </w:r>
    </w:p>
    <w:p>
      <w:pPr>
        <w:pBdr>
          <w:bottom w:val="single" w:sz="6" w:space="1" w:color="AAAAAA"/>
        </w:pBdr>
      </w:pPr>
    </w:p>
    <w:p>
      <w:pPr>
        <w:pStyle w:val="Heading2"/>
      </w:pPr>
      <w:r>
        <w:t xml:space="preserve">2. Experimental Procedure</w:t>
      </w:r>
    </w:p>
    <w:p>
      <w:pPr>
        <w:pStyle w:val="Heading3"/>
      </w:pPr>
      <w:r>
        <w:t xml:space="preserve">2.1 Base and filler materials</w:t>
      </w:r>
    </w:p>
    <w:p>
      <w:r>
        <w:t xml:space="preserve">Plates of SS2205 duplex stainless steel and SA516 carbon steel of </w:t>
      </w:r>
      <w:r>
        <w:rPr>
          <w:b/>
        </w:rPr>
        <w:t xml:space="preserve">[thickness] mm</w:t>
      </w:r>
      <w:r>
        <w:t xml:space="preserve"> thickness were used as base metals. The nominal chemical compositions are listed in </w:t>
      </w:r>
      <w:r>
        <w:rPr>
          <w:b/>
        </w:rPr>
        <w:t xml:space="preserve">Table 1</w:t>
      </w:r>
      <w:r>
        <w:t xml:space="preserve">. The filler metal was </w:t>
      </w:r>
      <w:r>
        <w:rPr>
          <w:b/>
        </w:rPr>
        <w:t xml:space="preserve">ER309L austenitic stainless-steel wire of 0.8 mm diameter</w:t>
      </w:r>
      <w:r>
        <w:t xml:space="preserve"> (corrected from the earlier reported value), selected for its ability to accommodate dilution from the carbon-steel side and to deposit a tough austenitic weld metal.</w:t>
      </w:r>
    </w:p>
    <w:p>
      <w:r>
        <w:rPr>
          <w:b/>
        </w:rPr>
        <w:t xml:space="preserve">Table 1. Nominal chemical composition of base and filler materials (wt.%).</w:t>
      </w:r>
      <w:r>
        <w:t xml:space="preserve"> *[Insert measured/certified values.]*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7E6E6"/>
          </w:tcPr>
          <w:p>
            <w:r>
              <w:rPr>
                <w:b/>
              </w:rPr>
              <w:t xml:space="preserve">Material</w:t>
            </w:r>
          </w:p>
        </w:tc>
        <w:tc>
          <w:tcPr>
            <w:tcW w:w="0" w:type="auto"/>
            <w:shd w:val="clear" w:fill="E7E6E6"/>
          </w:tcPr>
          <w:p>
            <w:r>
              <w:rPr>
                <w:b/>
              </w:rPr>
              <w:t xml:space="preserve">C</w:t>
            </w:r>
          </w:p>
        </w:tc>
        <w:tc>
          <w:tcPr>
            <w:tcW w:w="0" w:type="auto"/>
            <w:shd w:val="clear" w:fill="E7E6E6"/>
          </w:tcPr>
          <w:p>
            <w:r>
              <w:rPr>
                <w:b/>
              </w:rPr>
              <w:t xml:space="preserve">Cr</w:t>
            </w:r>
          </w:p>
        </w:tc>
        <w:tc>
          <w:tcPr>
            <w:tcW w:w="0" w:type="auto"/>
            <w:shd w:val="clear" w:fill="E7E6E6"/>
          </w:tcPr>
          <w:p>
            <w:r>
              <w:rPr>
                <w:b/>
              </w:rPr>
              <w:t xml:space="preserve">Ni</w:t>
            </w:r>
          </w:p>
        </w:tc>
        <w:tc>
          <w:tcPr>
            <w:tcW w:w="0" w:type="auto"/>
            <w:shd w:val="clear" w:fill="E7E6E6"/>
          </w:tcPr>
          <w:p>
            <w:r>
              <w:rPr>
                <w:b/>
              </w:rPr>
              <w:t xml:space="preserve">Mo</w:t>
            </w:r>
          </w:p>
        </w:tc>
        <w:tc>
          <w:tcPr>
            <w:tcW w:w="0" w:type="auto"/>
            <w:shd w:val="clear" w:fill="E7E6E6"/>
          </w:tcPr>
          <w:p>
            <w:r>
              <w:rPr>
                <w:b/>
              </w:rPr>
              <w:t xml:space="preserve">Mn</w:t>
            </w:r>
          </w:p>
        </w:tc>
        <w:tc>
          <w:tcPr>
            <w:tcW w:w="0" w:type="auto"/>
            <w:shd w:val="clear" w:fill="E7E6E6"/>
          </w:tcPr>
          <w:p>
            <w:r>
              <w:rPr>
                <w:b/>
              </w:rPr>
              <w:t xml:space="preserve">Si</w:t>
            </w:r>
          </w:p>
        </w:tc>
        <w:tc>
          <w:tcPr>
            <w:tcW w:w="0" w:type="auto"/>
            <w:shd w:val="clear" w:fill="E7E6E6"/>
          </w:tcPr>
          <w:p>
            <w:r>
              <w:rPr>
                <w:b/>
              </w:rPr>
              <w:t xml:space="preserve">N</w:t>
            </w:r>
          </w:p>
        </w:tc>
        <w:tc>
          <w:tcPr>
            <w:tcW w:w="0" w:type="auto"/>
            <w:shd w:val="clear" w:fill="E7E6E6"/>
          </w:tcPr>
          <w:p>
            <w:r>
              <w:rPr>
                <w:b/>
              </w:rPr>
              <w:t xml:space="preserve">Fe</w:t>
            </w:r>
          </w:p>
        </w:tc>
      </w:tr>
      <w:tr>
        <w:tc>
          <w:tcPr>
            <w:tcW w:w="0" w:type="auto"/>
          </w:tcPr>
          <w:p>
            <w:r>
              <w:t xml:space="preserve">SS2205</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bal.</w:t>
            </w:r>
          </w:p>
        </w:tc>
      </w:tr>
      <w:tr>
        <w:tc>
          <w:tcPr>
            <w:tcW w:w="0" w:type="auto"/>
          </w:tcPr>
          <w:p>
            <w:r>
              <w:t xml:space="preserve">SA516</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w:t>
            </w:r>
          </w:p>
        </w:tc>
        <w:tc>
          <w:tcPr>
            <w:tcW w:w="0" w:type="auto"/>
          </w:tcPr>
          <w:p>
            <w:r>
              <w:t xml:space="preserve">[ ]</w:t>
            </w:r>
          </w:p>
        </w:tc>
        <w:tc>
          <w:tcPr>
            <w:tcW w:w="0" w:type="auto"/>
          </w:tcPr>
          <w:p>
            <w:r>
              <w:t xml:space="preserve">[ ]</w:t>
            </w:r>
          </w:p>
        </w:tc>
        <w:tc>
          <w:tcPr>
            <w:tcW w:w="0" w:type="auto"/>
          </w:tcPr>
          <w:p>
            <w:r>
              <w:t xml:space="preserve">–</w:t>
            </w:r>
          </w:p>
        </w:tc>
        <w:tc>
          <w:tcPr>
            <w:tcW w:w="0" w:type="auto"/>
          </w:tcPr>
          <w:p>
            <w:r>
              <w:t xml:space="preserve">bal.</w:t>
            </w:r>
          </w:p>
        </w:tc>
      </w:tr>
      <w:tr>
        <w:tc>
          <w:tcPr>
            <w:tcW w:w="0" w:type="auto"/>
          </w:tcPr>
          <w:p>
            <w:r>
              <w:t xml:space="preserve">ER309L</w:t>
            </w:r>
          </w:p>
        </w:tc>
        <w:tc>
          <w:tcPr>
            <w:tcW w:w="0" w:type="auto"/>
          </w:tcPr>
          <w:p>
            <w:r>
              <w:t xml:space="preserve">≤0.03</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w:t>
            </w:r>
          </w:p>
        </w:tc>
        <w:tc>
          <w:tcPr>
            <w:tcW w:w="0" w:type="auto"/>
          </w:tcPr>
          <w:p>
            <w:r>
              <w:t xml:space="preserve">bal.</w:t>
            </w:r>
          </w:p>
        </w:tc>
      </w:tr>
    </w:tbl>
    <w:p/>
    <w:p>
      <w:pPr>
        <w:pStyle w:val="Heading3"/>
      </w:pPr>
      <w:r>
        <w:t xml:space="preserve">2.2 Joint preparation and welding conditions</w:t>
      </w:r>
    </w:p>
    <w:p>
      <w:r>
        <w:t xml:space="preserve">A single-V butt joint was prepared with a </w:t>
      </w:r>
      <w:r>
        <w:rPr>
          <w:b/>
        </w:rPr>
        <w:t xml:space="preserve">[60]° included groove angle, [2] mm root gap, and [1.5] mm root face</w:t>
      </w:r>
      <w:r>
        <w:t xml:space="preserve">. Welding was performed by </w:t>
      </w:r>
      <w:r>
        <w:rPr>
          <w:b/>
        </w:rPr>
        <w:t xml:space="preserve">[GMAW/GTAW — confirm process]</w:t>
      </w:r>
      <w:r>
        <w:t xml:space="preserve"> using ER309L filler in a </w:t>
      </w:r>
      <w:r>
        <w:rPr>
          <w:b/>
        </w:rPr>
        <w:t xml:space="preserve">[root + N fill + cap]</w:t>
      </w:r>
      <w:r>
        <w:t xml:space="preserve"> multi-pass sequence. The interpass temperature was maintained below </w:t>
      </w:r>
      <w:r>
        <w:rPr>
          <w:b/>
        </w:rPr>
        <w:t xml:space="preserve">[150] °C</w:t>
      </w:r>
      <w:r>
        <w:t xml:space="preserve"> to limit deleterious phase precipitation in the duplex HAZ. Shielding was provided by </w:t>
      </w:r>
      <w:r>
        <w:rPr>
          <w:b/>
        </w:rPr>
        <w:t xml:space="preserve">[shielding gas and flow rate]</w:t>
      </w:r>
      <w:r>
        <w:t xml:space="preserve">. The welding current, voltage, and travel speed for each pass are listed in </w:t>
      </w:r>
      <w:r>
        <w:rPr>
          <w:b/>
        </w:rPr>
        <w:t xml:space="preserve">Table 2</w:t>
      </w:r>
      <w:r>
        <w:t xml:space="preserve">, together with the net heat input.</w:t>
      </w:r>
    </w:p>
    <w:p>
      <w:r>
        <w:rPr>
          <w:b/>
        </w:rPr>
        <w:t xml:space="preserve">Table 2. Welding parameters and heat input.</w:t>
      </w:r>
      <w:r>
        <w:t xml:space="preserve"> *[Populate from welding record.]*</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7E6E6"/>
          </w:tcPr>
          <w:p>
            <w:r>
              <w:rPr>
                <w:b/>
              </w:rPr>
              <w:t xml:space="preserve">Pass</w:t>
            </w:r>
          </w:p>
        </w:tc>
        <w:tc>
          <w:tcPr>
            <w:tcW w:w="0" w:type="auto"/>
            <w:shd w:val="clear" w:fill="E7E6E6"/>
          </w:tcPr>
          <w:p>
            <w:r>
              <w:rPr>
                <w:b/>
              </w:rPr>
              <w:t xml:space="preserve">Current (A)</w:t>
            </w:r>
          </w:p>
        </w:tc>
        <w:tc>
          <w:tcPr>
            <w:tcW w:w="0" w:type="auto"/>
            <w:shd w:val="clear" w:fill="E7E6E6"/>
          </w:tcPr>
          <w:p>
            <w:r>
              <w:rPr>
                <w:b/>
              </w:rPr>
              <w:t xml:space="preserve">Voltage (V)</w:t>
            </w:r>
          </w:p>
        </w:tc>
        <w:tc>
          <w:tcPr>
            <w:tcW w:w="0" w:type="auto"/>
            <w:shd w:val="clear" w:fill="E7E6E6"/>
          </w:tcPr>
          <w:p>
            <w:r>
              <w:rPr>
                <w:b/>
              </w:rPr>
              <w:t xml:space="preserve">Travel speed (mm/min)</w:t>
            </w:r>
          </w:p>
        </w:tc>
        <w:tc>
          <w:tcPr>
            <w:tcW w:w="0" w:type="auto"/>
            <w:shd w:val="clear" w:fill="E7E6E6"/>
          </w:tcPr>
          <w:p>
            <w:r>
              <w:rPr>
                <w:b/>
              </w:rPr>
              <w:t xml:space="preserve">Heat input (kJ/mm)</w:t>
            </w:r>
          </w:p>
        </w:tc>
      </w:tr>
      <w:tr>
        <w:tc>
          <w:tcPr>
            <w:tcW w:w="0" w:type="auto"/>
          </w:tcPr>
          <w:p>
            <w:r>
              <w:t xml:space="preserve">Root</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r>
      <w:tr>
        <w:tc>
          <w:tcPr>
            <w:tcW w:w="0" w:type="auto"/>
          </w:tcPr>
          <w:p>
            <w:r>
              <w:t xml:space="preserve">Fill</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r>
      <w:tr>
        <w:tc>
          <w:tcPr>
            <w:tcW w:w="0" w:type="auto"/>
          </w:tcPr>
          <w:p>
            <w:r>
              <w:t xml:space="preserve">Cap</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p>
        </w:tc>
      </w:tr>
    </w:tbl>
    <w:p/>
    <w:p>
      <w:r>
        <w:t xml:space="preserve">The welding power source was a </w:t>
      </w:r>
      <w:r>
        <w:rPr>
          <w:b/>
        </w:rPr>
        <w:t xml:space="preserve">[make/model]</w:t>
      </w:r>
      <w:r>
        <w:t xml:space="preserve"> unit (</w:t>
      </w:r>
      <w:r>
        <w:rPr>
          <w:b/>
        </w:rPr>
        <w:t xml:space="preserve">Table 3</w:t>
      </w:r>
      <w:r>
        <w:t xml:space="preserve">), shown in </w:t>
      </w:r>
      <w:r>
        <w:rPr>
          <w:b/>
        </w:rPr>
        <w:t xml:space="preserve">Figure 2</w:t>
      </w:r>
      <w:r>
        <w:t xml:space="preserve">.</w:t>
      </w:r>
    </w:p>
    <w:p>
      <w:r>
        <w:rPr>
          <w:b/>
        </w:rPr>
        <w:t xml:space="preserve">Table 3. Welding machine specifications.</w:t>
      </w:r>
      <w:r>
        <w:t xml:space="preserve"> *[Insert.]*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7E6E6"/>
          </w:tcPr>
          <w:p>
            <w:r>
              <w:rPr>
                <w:b/>
              </w:rPr>
              <w:t xml:space="preserve">Parameter</w:t>
            </w:r>
          </w:p>
        </w:tc>
        <w:tc>
          <w:tcPr>
            <w:tcW w:w="0" w:type="auto"/>
            <w:shd w:val="clear" w:fill="E7E6E6"/>
          </w:tcPr>
          <w:p>
            <w:r>
              <w:rPr>
                <w:b/>
              </w:rPr>
              <w:t xml:space="preserve">Specification</w:t>
            </w:r>
          </w:p>
        </w:tc>
      </w:tr>
      <w:tr>
        <w:tc>
          <w:tcPr>
            <w:tcW w:w="0" w:type="auto"/>
          </w:tcPr>
          <w:p>
            <w:r>
              <w:t xml:space="preserve">Make / model</w:t>
            </w:r>
          </w:p>
        </w:tc>
        <w:tc>
          <w:tcPr>
            <w:tcW w:w="0" w:type="auto"/>
          </w:tcPr>
          <w:p>
            <w:r>
              <w:t xml:space="preserve">[ ]</w:t>
            </w:r>
          </w:p>
        </w:tc>
      </w:tr>
      <w:tr>
        <w:tc>
          <w:tcPr>
            <w:tcW w:w="0" w:type="auto"/>
          </w:tcPr>
          <w:p>
            <w:r>
              <w:t xml:space="preserve">Process</w:t>
            </w:r>
          </w:p>
        </w:tc>
        <w:tc>
          <w:tcPr>
            <w:tcW w:w="0" w:type="auto"/>
          </w:tcPr>
          <w:p>
            <w:r>
              <w:t xml:space="preserve">[ ]</w:t>
            </w:r>
          </w:p>
        </w:tc>
      </w:tr>
      <w:tr>
        <w:tc>
          <w:tcPr>
            <w:tcW w:w="0" w:type="auto"/>
          </w:tcPr>
          <w:p>
            <w:r>
              <w:t xml:space="preserve">Rated output current</w:t>
            </w:r>
          </w:p>
        </w:tc>
        <w:tc>
          <w:tcPr>
            <w:tcW w:w="0" w:type="auto"/>
          </w:tcPr>
          <w:p>
            <w:r>
              <w:t xml:space="preserve">[ ]</w:t>
            </w:r>
          </w:p>
        </w:tc>
      </w:tr>
      <w:tr>
        <w:tc>
          <w:tcPr>
            <w:tcW w:w="0" w:type="auto"/>
          </w:tcPr>
          <w:p>
            <w:r>
              <w:t xml:space="preserve">Output voltage range</w:t>
            </w:r>
          </w:p>
        </w:tc>
        <w:tc>
          <w:tcPr>
            <w:tcW w:w="0" w:type="auto"/>
          </w:tcPr>
          <w:p>
            <w:r>
              <w:t xml:space="preserve">[ ]</w:t>
            </w:r>
          </w:p>
        </w:tc>
      </w:tr>
      <w:tr>
        <w:tc>
          <w:tcPr>
            <w:tcW w:w="0" w:type="auto"/>
          </w:tcPr>
          <w:p>
            <w:r>
              <w:t xml:space="preserve">Duty cycle</w:t>
            </w:r>
          </w:p>
        </w:tc>
        <w:tc>
          <w:tcPr>
            <w:tcW w:w="0" w:type="auto"/>
          </w:tcPr>
          <w:p>
            <w:r>
              <w:t xml:space="preserve">[ ]</w:t>
            </w:r>
          </w:p>
        </w:tc>
      </w:tr>
      <w:tr>
        <w:tc>
          <w:tcPr>
            <w:tcW w:w="0" w:type="auto"/>
          </w:tcPr>
          <w:p>
            <w:r>
              <w:t xml:space="preserve">Wire-feed unit</w:t>
            </w:r>
          </w:p>
        </w:tc>
        <w:tc>
          <w:tcPr>
            <w:tcW w:w="0" w:type="auto"/>
          </w:tcPr>
          <w:p>
            <w:r>
              <w:t xml:space="preserve">[ ]</w:t>
            </w:r>
          </w:p>
        </w:tc>
      </w:tr>
    </w:tbl>
    <w:p/>
    <w:p>
      <w:pPr>
        <w:pStyle w:val="Heading3"/>
      </w:pPr>
      <w:r>
        <w:t xml:space="preserve">2.3 Thermal analysis</w:t>
      </w:r>
    </w:p>
    <w:p>
      <w:r>
        <w:t xml:space="preserve">The net heat input per pass was evaluated as</w:t>
      </w:r>
    </w:p>
    <w:p>
      <w:r>
        <w:t xml:space="preserve">$$ HI = \eta \, \frac{V \cdot I}{v} $$</w:t>
      </w:r>
    </w:p>
    <w:p>
      <w:r>
        <w:t xml:space="preserve">where η is the arc/process efficiency, V the voltage, I the current, and v the travel speed. The peak temperatures and cooling rates in the HAZ were interpreted using the </w:t>
      </w:r>
      <w:r>
        <w:rPr>
          <w:b/>
        </w:rPr>
        <w:t xml:space="preserve">Rosenthal moving-heat-source solution</w:t>
      </w:r>
      <w:r>
        <w:t xml:space="preserve">, from which the characteristic Δt₈/₅ cooling time (the time to cool from 800 °C to 500 °C) was estimated. This cooling time governs the ferrite/austenite balance in the SS2205 HAZ (HAZ-2) and the extent of bainitic/martensitic transformation in the SA516 HAZ (HAZ-1), and is used below to rationalise the measured hardness distribution.</w:t>
      </w:r>
    </w:p>
    <w:p>
      <w:pPr>
        <w:pStyle w:val="Heading3"/>
      </w:pPr>
      <w:r>
        <w:t xml:space="preserve">2.4 Specimen extraction and testing</w:t>
      </w:r>
    </w:p>
    <w:p>
      <w:r>
        <w:t xml:space="preserve">After welding (see the specimen diagram in </w:t>
      </w:r>
      <w:r>
        <w:rPr>
          <w:b/>
        </w:rPr>
        <w:t xml:space="preserve">Figure 5</w:t>
      </w:r>
      <w:r>
        <w:t xml:space="preserve">), samples for metallography, microhardness, tensile, and impact testing were extracted transverse to the weld. Metallographic samples were ground, polished, and etched using </w:t>
      </w:r>
      <w:r>
        <w:rPr>
          <w:b/>
        </w:rPr>
        <w:t xml:space="preserve">[etchant]</w:t>
      </w:r>
      <w:r>
        <w:t xml:space="preserve">; </w:t>
      </w:r>
      <w:r>
        <w:rPr>
          <w:b/>
        </w:rPr>
        <w:t xml:space="preserve">an optical microscope was used to examine</w:t>
      </w:r>
      <w:r>
        <w:t xml:space="preserve"> the microstructure of the base metals, HAZs, and fusion zone. Vickers microhardness was measured across the joint (SA516 base → HAZ-1 → fusion zone → HAZ-2 → SS2205 base) at a load of </w:t>
      </w:r>
      <w:r>
        <w:rPr>
          <w:b/>
        </w:rPr>
        <w:t xml:space="preserve">[HV load]</w:t>
      </w:r>
      <w:r>
        <w:t xml:space="preserve"> with </w:t>
      </w:r>
      <w:r>
        <w:rPr>
          <w:b/>
        </w:rPr>
        <w:t xml:space="preserve">[spacing]</w:t>
      </w:r>
      <w:r>
        <w:t xml:space="preserve"> indent spacing. Tensile tests followed </w:t>
      </w:r>
      <w:r>
        <w:rPr>
          <w:b/>
        </w:rPr>
        <w:t xml:space="preserve">[ASTM E8/A370]</w:t>
      </w:r>
      <w:r>
        <w:t xml:space="preserve"> and Charpy V-notch impact tests followed </w:t>
      </w:r>
      <w:r>
        <w:rPr>
          <w:b/>
        </w:rPr>
        <w:t xml:space="preserve">ASTM E23</w:t>
      </w:r>
      <w:r>
        <w:t xml:space="preserve">, with </w:t>
      </w:r>
      <w:r>
        <w:rPr>
          <w:b/>
        </w:rPr>
        <w:t xml:space="preserve">three specimens per location</w:t>
      </w:r>
      <w:r>
        <w:t xml:space="preserve">; results are reported as mean ± standard deviation.</w:t>
      </w:r>
    </w:p>
    <w:p>
      <w:pPr>
        <w:pBdr>
          <w:bottom w:val="single" w:sz="6" w:space="1" w:color="AAAAAA"/>
        </w:pBdr>
      </w:pPr>
    </w:p>
    <w:p>
      <w:pPr>
        <w:pStyle w:val="Heading2"/>
      </w:pPr>
      <w:r>
        <w:t xml:space="preserve">3. Results and Discussion</w:t>
      </w:r>
    </w:p>
    <w:p>
      <w:pPr>
        <w:pStyle w:val="Heading3"/>
      </w:pPr>
      <w:r>
        <w:t xml:space="preserve">3.1 Microstructure</w:t>
      </w:r>
    </w:p>
    <w:p>
      <w:r>
        <w:t xml:space="preserve">Representative micrographs of the base metals, HAZs, and fusion zone are shown in </w:t>
      </w:r>
      <w:r>
        <w:rPr>
          <w:b/>
        </w:rPr>
        <w:t xml:space="preserve">Figure 3</w:t>
      </w:r>
      <w:r>
        <w:t xml:space="preserve"> (higher-resolution images with enlarged annotations). The SS2205 base metal displayed the characteristic banded ferrite–austenite structure. The fusion zone (ER309L) solidified as austenite with </w:t>
      </w:r>
      <w:r>
        <w:rPr>
          <w:b/>
        </w:rPr>
        <w:t xml:space="preserve">intragranular austenite (IGA)</w:t>
      </w:r>
      <w:r>
        <w:t xml:space="preserve"> and </w:t>
      </w:r>
      <w:r>
        <w:rPr>
          <w:b/>
        </w:rPr>
        <w:t xml:space="preserve">grain-boundary austenite/allotriomorphic ferrite (GBA)</w:t>
      </w:r>
      <w:r>
        <w:t xml:space="preserve">, together with regions of </w:t>
      </w:r>
      <w:r>
        <w:rPr>
          <w:b/>
        </w:rPr>
        <w:t xml:space="preserve">Widmanstätten/acicular constituent (WA)</w:t>
      </w:r>
      <w:r>
        <w:t xml:space="preserve">. On the SA516 side, HAZ-1 exhibited </w:t>
      </w:r>
      <w:r>
        <w:rPr>
          <w:b/>
        </w:rPr>
        <w:t xml:space="preserve">quasi-polygonal ferrite (QPF)</w:t>
      </w:r>
      <w:r>
        <w:t xml:space="preserve"> and harder transformation products, with fine </w:t>
      </w:r>
      <w:r>
        <w:rPr>
          <w:b/>
        </w:rPr>
        <w:t xml:space="preserve">carbide/secondary constituents (CS)</w:t>
      </w:r>
      <w:r>
        <w:t xml:space="preserve"> at grain boundaries. All abbreviations are defined in the caption of Figure 3 and at first use in the text:</w:t>
      </w:r>
    </w:p>
    <w:p>
      <w:pPr>
        <w:numPr>
          <w:ilvl w:val="0"/>
          <w:numId w:val="0"/>
        </w:numPr>
        <w:ind w:left="360" w:hanging="180"/>
      </w:pPr>
      <w:r>
        <w:t xml:space="preserve">•  </w:t>
      </w:r>
      <w:r>
        <w:rPr>
          <w:b/>
        </w:rPr>
        <w:t xml:space="preserve">QPF</w:t>
      </w:r>
      <w:r>
        <w:t xml:space="preserve"> — Quasi-Polygonal Ferrite</w:t>
      </w:r>
    </w:p>
    <w:p>
      <w:pPr>
        <w:numPr>
          <w:ilvl w:val="0"/>
          <w:numId w:val="0"/>
        </w:numPr>
        <w:ind w:left="360" w:hanging="180"/>
      </w:pPr>
      <w:r>
        <w:t xml:space="preserve">•  </w:t>
      </w:r>
      <w:r>
        <w:rPr>
          <w:b/>
        </w:rPr>
        <w:t xml:space="preserve">GBA</w:t>
      </w:r>
      <w:r>
        <w:t xml:space="preserve"> — Grain-Boundary Austenite / Allotriomorphic ferrite</w:t>
      </w:r>
    </w:p>
    <w:p>
      <w:pPr>
        <w:numPr>
          <w:ilvl w:val="0"/>
          <w:numId w:val="0"/>
        </w:numPr>
        <w:ind w:left="360" w:hanging="180"/>
      </w:pPr>
      <w:r>
        <w:t xml:space="preserve">•  </w:t>
      </w:r>
      <w:r>
        <w:rPr>
          <w:b/>
        </w:rPr>
        <w:t xml:space="preserve">IGA</w:t>
      </w:r>
      <w:r>
        <w:t xml:space="preserve"> — Intragranular Austenite</w:t>
      </w:r>
    </w:p>
    <w:p>
      <w:pPr>
        <w:numPr>
          <w:ilvl w:val="0"/>
          <w:numId w:val="0"/>
        </w:numPr>
        <w:ind w:left="360" w:hanging="180"/>
      </w:pPr>
      <w:r>
        <w:t xml:space="preserve">•  </w:t>
      </w:r>
      <w:r>
        <w:rPr>
          <w:b/>
        </w:rPr>
        <w:t xml:space="preserve">WA</w:t>
      </w:r>
      <w:r>
        <w:t xml:space="preserve"> — Widmanstätten (acicular) constituent</w:t>
      </w:r>
    </w:p>
    <w:p>
      <w:pPr>
        <w:numPr>
          <w:ilvl w:val="0"/>
          <w:numId w:val="0"/>
        </w:numPr>
        <w:ind w:left="360" w:hanging="180"/>
      </w:pPr>
      <w:r>
        <w:t xml:space="preserve">•  </w:t>
      </w:r>
      <w:r>
        <w:rPr>
          <w:b/>
        </w:rPr>
        <w:t xml:space="preserve">CS</w:t>
      </w:r>
      <w:r>
        <w:t xml:space="preserve"> — Carbide / Secondary phase</w:t>
      </w:r>
    </w:p>
    <w:p>
      <w:pPr>
        <w:pStyle w:val="Heading3"/>
      </w:pPr>
      <w:r>
        <w:t xml:space="preserve">3.2 Microhardness analysis</w:t>
      </w:r>
    </w:p>
    <w:p>
      <w:r>
        <w:t xml:space="preserve">The Vickers microhardness distribution across the joint is summarised in </w:t>
      </w:r>
      <w:r>
        <w:rPr>
          <w:b/>
        </w:rPr>
        <w:t xml:space="preserve">Table 5</w:t>
      </w:r>
      <w:r>
        <w:t xml:space="preserve">. The hardness increases from the SA516 base metal toward the weld. On the carbon-steel side, </w:t>
      </w:r>
      <w:r>
        <w:rPr>
          <w:b/>
        </w:rPr>
        <w:t xml:space="preserve">HAZ-1 rose to 345 HV</w:t>
      </w:r>
      <w:r>
        <w:t xml:space="preserve"> owing to the formation of hard bainitic/martensitic constituents during the weld thermal cycle, well above the </w:t>
      </w:r>
      <w:r>
        <w:rPr>
          <w:b/>
        </w:rPr>
        <w:t xml:space="preserve">SA516 base metal (254 HV)</w:t>
      </w:r>
      <w:r>
        <w:t xml:space="preserve">. The </w:t>
      </w:r>
      <w:r>
        <w:rPr>
          <w:b/>
        </w:rPr>
        <w:t xml:space="preserve">SS2205 base metal (≈[290–297] HV)</w:t>
      </w:r>
      <w:r>
        <w:t xml:space="preserve"> is intrinsically harder than the SA516 base metal. The overall peak occurred in </w:t>
      </w:r>
      <w:r>
        <w:rPr>
          <w:b/>
        </w:rPr>
        <w:t xml:space="preserve">HAZ-2 on the duplex side at 372 HV</w:t>
      </w:r>
      <w:r>
        <w:t xml:space="preserve">, exceeding both HAZ-1 and the SS2205 base metal, and is associated with grain refinement and the altered ferrite–austenite balance of the reheated duplex microstructure (and possible chromium-nitride precipitation under rapid cooling).</w:t>
      </w:r>
    </w:p>
    <w:p>
      <w:r>
        <w:t xml:space="preserve">The resulting hardness ranking is therefore:</w:t>
      </w:r>
    </w:p>
    <w:p>
      <w:r>
        <w:rPr>
          <w:b/>
        </w:rPr>
        <w:t xml:space="preserve">HAZ-2 (372 HV) &gt; HAZ-1 (345 HV) &gt; fusion zone (≈[330] HV) &gt; SS2205 base (≈[290–297] HV) &gt; SA516 base (254 HV).</w:t>
      </w:r>
    </w:p>
    <w:p>
      <w:r>
        <w:rPr>
          <w:b/>
        </w:rPr>
        <w:t xml:space="preserve">Table 5. Average Vickers microhardness by region.</w:t>
      </w:r>
      <w:r>
        <w:t xml:space="preserve"> *[Confirm bracketed values.]*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tcW w:w="0" w:type="auto"/>
            <w:shd w:val="clear" w:fill="E7E6E6"/>
          </w:tcPr>
          <w:p>
            <w:r>
              <w:rPr>
                <w:b/>
              </w:rPr>
              <w:t xml:space="preserve">Region</w:t>
            </w:r>
          </w:p>
        </w:tc>
        <w:tc>
          <w:tcPr>
            <w:tcW w:w="0" w:type="auto"/>
            <w:shd w:val="clear" w:fill="E7E6E6"/>
          </w:tcPr>
          <w:p>
            <w:r>
              <w:rPr>
                <w:b/>
              </w:rPr>
              <w:t xml:space="preserve">Location</w:t>
            </w:r>
          </w:p>
        </w:tc>
        <w:tc>
          <w:tcPr>
            <w:tcW w:w="0" w:type="auto"/>
            <w:shd w:val="clear" w:fill="E7E6E6"/>
          </w:tcPr>
          <w:p>
            <w:r>
              <w:rPr>
                <w:b/>
              </w:rPr>
              <w:t xml:space="preserve">Microhardness (HV)</w:t>
            </w:r>
          </w:p>
        </w:tc>
      </w:tr>
      <w:tr>
        <w:tc>
          <w:tcPr>
            <w:tcW w:w="0" w:type="auto"/>
          </w:tcPr>
          <w:p>
            <w:r>
              <w:t xml:space="preserve">SA516 base metal</w:t>
            </w:r>
          </w:p>
        </w:tc>
        <w:tc>
          <w:tcPr>
            <w:tcW w:w="0" w:type="auto"/>
          </w:tcPr>
          <w:p>
            <w:r>
              <w:t xml:space="preserve">Carbon-steel side</w:t>
            </w:r>
          </w:p>
        </w:tc>
        <w:tc>
          <w:tcPr>
            <w:tcW w:w="0" w:type="auto"/>
          </w:tcPr>
          <w:p>
            <w:r>
              <w:t xml:space="preserve">254</w:t>
            </w:r>
          </w:p>
        </w:tc>
      </w:tr>
      <w:tr>
        <w:tc>
          <w:tcPr>
            <w:tcW w:w="0" w:type="auto"/>
          </w:tcPr>
          <w:p>
            <w:r>
              <w:t xml:space="preserve">HAZ-1</w:t>
            </w:r>
          </w:p>
        </w:tc>
        <w:tc>
          <w:tcPr>
            <w:tcW w:w="0" w:type="auto"/>
          </w:tcPr>
          <w:p>
            <w:r>
              <w:t xml:space="preserve">SA516 side</w:t>
            </w:r>
          </w:p>
        </w:tc>
        <w:tc>
          <w:tcPr>
            <w:tcW w:w="0" w:type="auto"/>
          </w:tcPr>
          <w:p>
            <w:r>
              <w:t xml:space="preserve">345</w:t>
            </w:r>
          </w:p>
        </w:tc>
      </w:tr>
      <w:tr>
        <w:tc>
          <w:tcPr>
            <w:tcW w:w="0" w:type="auto"/>
          </w:tcPr>
          <w:p>
            <w:r>
              <w:t xml:space="preserve">Fusion zone</w:t>
            </w:r>
          </w:p>
        </w:tc>
        <w:tc>
          <w:tcPr>
            <w:tcW w:w="0" w:type="auto"/>
          </w:tcPr>
          <w:p>
            <w:r>
              <w:t xml:space="preserve">ER309L weld metal</w:t>
            </w:r>
          </w:p>
        </w:tc>
        <w:tc>
          <w:tcPr>
            <w:tcW w:w="0" w:type="auto"/>
          </w:tcPr>
          <w:p>
            <w:r>
              <w:t xml:space="preserve">[≈330]</w:t>
            </w:r>
          </w:p>
        </w:tc>
      </w:tr>
      <w:tr>
        <w:tc>
          <w:tcPr>
            <w:tcW w:w="0" w:type="auto"/>
          </w:tcPr>
          <w:p>
            <w:r>
              <w:t xml:space="preserve">HAZ-2</w:t>
            </w:r>
          </w:p>
        </w:tc>
        <w:tc>
          <w:tcPr>
            <w:tcW w:w="0" w:type="auto"/>
          </w:tcPr>
          <w:p>
            <w:r>
              <w:t xml:space="preserve">SS2205 side</w:t>
            </w:r>
          </w:p>
        </w:tc>
        <w:tc>
          <w:tcPr>
            <w:tcW w:w="0" w:type="auto"/>
          </w:tcPr>
          <w:p>
            <w:r>
              <w:rPr>
                <w:b/>
              </w:rPr>
              <w:t xml:space="preserve">372 (max)</w:t>
            </w:r>
          </w:p>
        </w:tc>
      </w:tr>
      <w:tr>
        <w:tc>
          <w:tcPr>
            <w:tcW w:w="0" w:type="auto"/>
          </w:tcPr>
          <w:p>
            <w:r>
              <w:t xml:space="preserve">SS2205 base metal</w:t>
            </w:r>
          </w:p>
        </w:tc>
        <w:tc>
          <w:tcPr>
            <w:tcW w:w="0" w:type="auto"/>
          </w:tcPr>
          <w:p>
            <w:r>
              <w:t xml:space="preserve">Duplex side</w:t>
            </w:r>
          </w:p>
        </w:tc>
        <w:tc>
          <w:tcPr>
            <w:tcW w:w="0" w:type="auto"/>
          </w:tcPr>
          <w:p>
            <w:r>
              <w:t xml:space="preserve">[≈290–297]</w:t>
            </w:r>
          </w:p>
        </w:tc>
      </w:tr>
    </w:tbl>
    <w:p/>
    <w:p>
      <w:pPr>
        <w:pStyle w:val="Heading3"/>
      </w:pPr>
      <w:r>
        <w:t xml:space="preserve">3.3 Tensile properties</w:t>
      </w:r>
    </w:p>
    <w:p>
      <w:r>
        <w:t xml:space="preserve">Tensile results are summarised in </w:t>
      </w:r>
      <w:r>
        <w:rPr>
          <w:b/>
        </w:rPr>
        <w:t xml:space="preserve">Table 6</w:t>
      </w:r>
      <w:r>
        <w:t xml:space="preserve">. *[Insert UTS, yield strength, elongation, and fracture-location data.]* Failure occurred in the </w:t>
      </w:r>
      <w:r>
        <w:rPr>
          <w:b/>
        </w:rPr>
        <w:t xml:space="preserve">[location]</w:t>
      </w:r>
      <w:r>
        <w:t xml:space="preserve">, indicating that the joint strength was governed by </w:t>
      </w:r>
      <w:r>
        <w:rPr>
          <w:b/>
        </w:rPr>
        <w:t xml:space="preserve">[base metal / weld]</w:t>
      </w:r>
      <w:r>
        <w:t xml:space="preserve">.</w:t>
      </w:r>
    </w:p>
    <w:p>
      <w:pPr>
        <w:pStyle w:val="Heading3"/>
      </w:pPr>
      <w:r>
        <w:t xml:space="preserve">3.4 Impact strength and fractography</w:t>
      </w:r>
    </w:p>
    <w:p>
      <w:r>
        <w:t xml:space="preserve">Charpy V-notch results (</w:t>
      </w:r>
      <w:r>
        <w:rPr>
          <w:b/>
        </w:rPr>
        <w:t xml:space="preserve">Figure 4</w:t>
      </w:r>
      <w:r>
        <w:t xml:space="preserve">, means of three specimens) show that the </w:t>
      </w:r>
      <w:r>
        <w:rPr>
          <w:b/>
        </w:rPr>
        <w:t xml:space="preserve">fusion zone recorded the highest absorbed energy at 150 J</w:t>
      </w:r>
      <w:r>
        <w:t xml:space="preserve">, exceeding the </w:t>
      </w:r>
      <w:r>
        <w:rPr>
          <w:b/>
        </w:rPr>
        <w:t xml:space="preserve">SS2205 base metal (130 J) by ≈15%</w:t>
      </w:r>
      <w:r>
        <w:t xml:space="preserve"> and the </w:t>
      </w:r>
      <w:r>
        <w:rPr>
          <w:b/>
        </w:rPr>
        <w:t xml:space="preserve">SA516 base metal (100 J) by ≈50%</w:t>
      </w:r>
      <w:r>
        <w:t xml:space="preserve">. The superior toughness of the fusion zone reflects the predominantly austenitic ER309L weld metal with controlled ferrite content.</w:t>
      </w:r>
    </w:p>
    <w:p>
      <w:r>
        <w:t xml:space="preserve">Fractographs are presented in </w:t>
      </w:r>
      <w:r>
        <w:rPr>
          <w:b/>
        </w:rPr>
        <w:t xml:space="preserve">Figure 4</w:t>
      </w:r>
      <w:r>
        <w:t xml:space="preserve">. Figure 4(c) corresponds to </w:t>
      </w:r>
      <w:r>
        <w:rPr>
          <w:b/>
        </w:rPr>
        <w:t xml:space="preserve">HAZ-2 (SS2205 duplex side)</w:t>
      </w:r>
      <w:r>
        <w:t xml:space="preserve">. Since this region is from </w:t>
      </w:r>
      <w:r>
        <w:rPr>
          <w:b/>
        </w:rPr>
        <w:t xml:space="preserve">HAZ-2</w:t>
      </w:r>
      <w:r>
        <w:t xml:space="preserve">, the fracture surface exhibits a mixed morphology of ductile dimples with localised quasi-cleavage facets, consistent with the reheated duplex microstructure. The correction of this designation (previously mislabelled) has been verified against the figure caption and the surrounding discussion.</w:t>
      </w:r>
    </w:p>
    <w:p>
      <w:pPr>
        <w:pBdr>
          <w:bottom w:val="single" w:sz="6" w:space="1" w:color="AAAAAA"/>
        </w:pBdr>
      </w:pPr>
    </w:p>
    <w:p>
      <w:pPr>
        <w:pStyle w:val="Heading2"/>
      </w:pPr>
      <w:r>
        <w:t xml:space="preserve">4. Conclusions</w:t>
      </w:r>
    </w:p>
    <w:p>
      <w:pPr>
        <w:numPr>
          <w:ilvl w:val="0"/>
          <w:numId w:val="0"/>
        </w:numPr>
        <w:ind w:left="360" w:hanging="180"/>
      </w:pPr>
      <w:r>
        <w:t xml:space="preserve">•  1. A sound dissimilar joint between SS2205 duplex stainless steel and SA516 carbon steel was produced using ER309L filler, which accommodated dilution from the carbon-steel side and deposited a tough austenitic weld metal.</w:t>
      </w:r>
    </w:p>
    <w:p>
      <w:pPr>
        <w:numPr>
          <w:ilvl w:val="0"/>
          <w:numId w:val="0"/>
        </w:numPr>
        <w:ind w:left="360" w:hanging="180"/>
      </w:pPr>
      <w:r>
        <w:t xml:space="preserve">•  2. The </w:t>
      </w:r>
      <w:r>
        <w:rPr>
          <w:b/>
        </w:rPr>
        <w:t xml:space="preserve">highest microhardness of 372 HV was observed in HAZ-2, i.e. the heat-affected zone on the SS2205 duplex side</w:t>
      </w:r>
      <w:r>
        <w:t xml:space="preserve">, followed by HAZ-1 on the SA516 side (345 HV); the SA516 base metal was the softest region (254 HV). The hardness ranking was HAZ-2 &gt; HAZ-1 &gt; fusion zone &gt; SS2205 base &gt; SA516 base.</w:t>
      </w:r>
    </w:p>
    <w:p>
      <w:pPr>
        <w:numPr>
          <w:ilvl w:val="0"/>
          <w:numId w:val="0"/>
        </w:numPr>
        <w:ind w:left="360" w:hanging="180"/>
      </w:pPr>
      <w:r>
        <w:t xml:space="preserve">•  3. The </w:t>
      </w:r>
      <w:r>
        <w:rPr>
          <w:b/>
        </w:rPr>
        <w:t xml:space="preserve">fusion zone exhibited the highest impact toughness (150 J)</w:t>
      </w:r>
      <w:r>
        <w:t xml:space="preserve">, about 15% higher than the SS2205 base metal (130 J) and about 50% higher than the SA516 base metal (100 J), attributable to the austenitic ER309L weld metal.</w:t>
      </w:r>
    </w:p>
    <w:p>
      <w:pPr>
        <w:numPr>
          <w:ilvl w:val="0"/>
          <w:numId w:val="0"/>
        </w:numPr>
        <w:ind w:left="360" w:hanging="180"/>
      </w:pPr>
      <w:r>
        <w:t xml:space="preserve">•  4. The hardness and toughness distribution is governed by the weld thermal cycle: hard transformation products form in the SA516 HAZ, while grain refinement and the shifted ferrite/austenite balance harden the SS2205 HAZ.</w:t>
      </w:r>
    </w:p>
    <w:p>
      <w:pPr>
        <w:pBdr>
          <w:bottom w:val="single" w:sz="6" w:space="1" w:color="AAAAAA"/>
        </w:pBdr>
      </w:pPr>
    </w:p>
    <w:p>
      <w:pPr>
        <w:pStyle w:val="Heading2"/>
      </w:pPr>
      <w:r>
        <w:t xml:space="preserve">Figures (list)</w:t>
      </w:r>
    </w:p>
    <w:p>
      <w:pPr>
        <w:numPr>
          <w:ilvl w:val="0"/>
          <w:numId w:val="0"/>
        </w:numPr>
        <w:ind w:left="360" w:hanging="180"/>
      </w:pPr>
      <w:r>
        <w:t xml:space="preserve">•  </w:t>
      </w:r>
      <w:r>
        <w:rPr>
          <w:b/>
        </w:rPr>
        <w:t xml:space="preserve">Figure 1.</w:t>
      </w:r>
      <w:r>
        <w:t xml:space="preserve"> Joint geometry and plate dimensions (corrected, units in mm).</w:t>
      </w:r>
    </w:p>
    <w:p>
      <w:pPr>
        <w:numPr>
          <w:ilvl w:val="0"/>
          <w:numId w:val="0"/>
        </w:numPr>
        <w:ind w:left="360" w:hanging="180"/>
      </w:pPr>
      <w:r>
        <w:t xml:space="preserve">•  </w:t>
      </w:r>
      <w:r>
        <w:rPr>
          <w:b/>
        </w:rPr>
        <w:t xml:space="preserve">Figure 2.</w:t>
      </w:r>
      <w:r>
        <w:t xml:space="preserve"> Photograph of the welding power source/setup.</w:t>
      </w:r>
    </w:p>
    <w:p>
      <w:pPr>
        <w:numPr>
          <w:ilvl w:val="0"/>
          <w:numId w:val="0"/>
        </w:numPr>
        <w:ind w:left="360" w:hanging="180"/>
      </w:pPr>
      <w:r>
        <w:t xml:space="preserve">•  </w:t>
      </w:r>
      <w:r>
        <w:rPr>
          <w:b/>
        </w:rPr>
        <w:t xml:space="preserve">Figure 3.</w:t>
      </w:r>
      <w:r>
        <w:t xml:space="preserve"> High-resolution micrographs of base metals, HAZs, and fusion zone with defined phase labels (QPF, GBA, IGA, WA, CS).</w:t>
      </w:r>
    </w:p>
    <w:p>
      <w:pPr>
        <w:numPr>
          <w:ilvl w:val="0"/>
          <w:numId w:val="0"/>
        </w:numPr>
        <w:ind w:left="360" w:hanging="180"/>
      </w:pPr>
      <w:r>
        <w:t xml:space="preserve">•  </w:t>
      </w:r>
      <w:r>
        <w:rPr>
          <w:b/>
        </w:rPr>
        <w:t xml:space="preserve">Figure 4.</w:t>
      </w:r>
      <w:r>
        <w:t xml:space="preserve"> Charpy impact energies and fractographs; (c) = HAZ-2 (SS2205 side).</w:t>
      </w:r>
    </w:p>
    <w:p>
      <w:pPr>
        <w:numPr>
          <w:ilvl w:val="0"/>
          <w:numId w:val="0"/>
        </w:numPr>
        <w:ind w:left="360" w:hanging="180"/>
      </w:pPr>
      <w:r>
        <w:t xml:space="preserve">•  </w:t>
      </w:r>
      <w:r>
        <w:rPr>
          <w:b/>
        </w:rPr>
        <w:t xml:space="preserve">Figure 5.</w:t>
      </w:r>
      <w:r>
        <w:t xml:space="preserve"> Diagram of welded specimens and sample-extraction locations.</w:t>
      </w:r>
    </w:p>
    <w:p>
      <w:pPr>
        <w:numPr>
          <w:ilvl w:val="0"/>
          <w:numId w:val="0"/>
        </w:numPr>
        <w:ind w:left="360" w:hanging="180"/>
      </w:pPr>
      <w:r>
        <w:t xml:space="preserve">•  </w:t>
      </w:r>
      <w:r>
        <w:rPr>
          <w:b/>
        </w:rPr>
        <w:t xml:space="preserve">Figure 6 (new).</w:t>
      </w:r>
      <w:r>
        <w:t xml:space="preserve"> Schematic cross-section of the dissimilar joint: SA516 base — HAZ-1 — fusion zone (ER309L) — HAZ-2 — SS2205 base, showing weld-bead geometry and the microhardness traverse.</w:t>
      </w:r>
    </w:p>
    <w:p>
      <w:pPr>
        <w:pBdr>
          <w:bottom w:val="single" w:sz="6" w:space="1" w:color="AAAAAA"/>
        </w:pBdr>
      </w:pPr>
    </w:p>
    <w:p>
      <w:pPr>
        <w:pStyle w:val="Heading2"/>
      </w:pPr>
      <w:r>
        <w:t xml:space="preserve">References</w:t>
      </w:r>
    </w:p>
    <w:p>
      <w:r>
        <w:t xml:space="preserve">*(Standardised to numbered [n] style; author-name/bracketed citations such as "[Singh and Pandey]" replaced with numbered entries.)*</w:t>
      </w:r>
    </w:p>
    <w:p>
      <w:r>
        <w:t xml:space="preserve">[1] *[Author(s)]. Title. Journal, Year, Vol(Issue), pages.*</w:t>
      </w:r>
    </w:p>
    <w:p>
      <w:r>
        <w:t xml:space="preserve">[2] *[…]*</w:t>
      </w:r>
    </w:p>
    <w:p>
      <w:r>
        <w:t xml:space="preserve">[3] *[…]*</w:t>
      </w:r>
    </w:p>
    <w:p>
      <w:r>
        <w:t xml:space="preserve">[4] *[…] — expanded review reference on duplex stainless-steel welding metallurgy.*</w:t>
      </w:r>
    </w:p>
    <w:p>
      <w:r>
        <w:t xml:space="preserve">[5] *[…]*</w:t>
      </w:r>
    </w:p>
    <w:p>
      <w:r>
        <w:t xml:space="preserve">[6] *[…]*</w:t>
      </w:r>
    </w:p>
    <w:p>
      <w:r>
        <w:t xml:space="preserve">[7] *[…]*</w:t>
      </w:r>
    </w:p>
    <w:p>
      <w:r>
        <w:t xml:space="preserve">[8] *[…]*</w:t>
      </w:r>
    </w:p>
    <w:p>
      <w:r>
        <w:t xml:space="preserve">*(Complete the reference list from the original manuscript, keeping the numbered format throughout.)*</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pPr>
      <w:spacing w:after="240"/>
      <w:jc w:val="center"/>
    </w:pPr>
    <w:rPr>
      <w:b/>
      <w:sz w:val="36"/>
    </w:rPr>
  </w:style>
  <w:style w:type="paragraph" w:styleId="Heading1">
    <w:name w:val="heading 1"/>
    <w:pPr>
      <w:spacing w:before="240" w:after="120"/>
      <w:outlineLvl w:val="0"/>
    </w:pPr>
    <w:rPr>
      <w:b/>
      <w:sz w:val="30"/>
    </w:rPr>
  </w:style>
  <w:style w:type="paragraph" w:styleId="Heading2">
    <w:name w:val="heading 2"/>
    <w:pPr>
      <w:spacing w:before="200" w:after="100"/>
      <w:outlineLvl w:val="1"/>
    </w:pPr>
    <w:rPr>
      <w:b/>
      <w:sz w:val="26"/>
    </w:rPr>
  </w:style>
  <w:style w:type="paragraph" w:styleId="Heading3">
    <w:name w:val="heading 3"/>
    <w:pPr>
      <w:spacing w:before="160" w:after="80"/>
      <w:outlineLvl w:val="2"/>
    </w:pPr>
    <w:rPr>
      <w:b/>
      <w:i/>
      <w:sz w:val="24"/>
    </w:rPr>
  </w:style>
  <w:style w:type="paragraph" w:styleId="Quote">
    <w:name w:val="Quote"/>
    <w:pPr>
      <w:ind w:left="360"/>
    </w:pPr>
    <w:rPr>
      <w:i/>
      <w:color w:val="55555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