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6. AI in Pharmacokinetics and Pharmacodynamics</w:t>
      </w:r>
    </w:p>
    <w:p>
      <w:pPr>
        <w:pStyle w:val="Heading1"/>
      </w:pPr>
      <w:r>
        <w:t xml:space="preserve">Abstract</w:t>
      </w:r>
    </w:p>
    <w:p>
      <w:pPr>
        <w:pStyle w:val="Abstract"/>
      </w:pPr>
      <w:r>
        <w:t xml:space="preserve">The quantitative disciplines of pharmacokinetics (PK) and pharmacodynamics (PD) form the scientific backbone of modern drug discovery and development, describing how the body acts upon a drug and how the drug, in turn, acts upon the body. For decades, these disciplines have relied on mechanistic compartmental models, empirical regression, and physiologically grounded differential equations that demand substantial expert intervention and large, carefully curated experimental datasets. The rapid maturation of artificial intelligence (AI) and machine learning (ML) has begun to reshape this landscape, offering data-driven methods that can learn complex, nonlinear relationships between molecular structure, physiological state, and pharmacological response. This chapter provides a comprehensive examination of how AI is transforming PK and PD across three interconnected domains. First, it explores machine learning approaches for predicting absorption, distribution, metabolism, and excretion (ADME) properties directly from chemical structure, reducing reliance on expensive and time-consuming in vitro and in vivo assays. Second, it examines AI-based pharmacodynamic and dose–response modelling, where neural networks, ensemble methods, and probabilistic frameworks increasingly capture the intricate exposure–response relationships that govern therapeutic efficacy and toxicity. Third, it details the emerging synthesis of mechanistic physiologically based pharmacokinetic (PBPK) models with data-driven learning, producing hybrid architectures that combine biological interpretability with predictive power. Throughout, the chapter emphasises practical considerations including data quality, model validation, uncertainty quantification, regulatory acceptance, and the interpretability requirements that distinguish safety-critical pharmaceutical applications from other domains of machine learning. The convergence of large curated datasets, graph-based molecular representations, and physics-informed neural networks is positioning AI not as a replacement for established pharmacometric theory but as a powerful complement that accelerates decision-making, reduces attrition, and enables individualised, model-informed precision dosing. The discussion is intended to equip pharmaceutical scientists, computational modellers, and regulatory professionals with a clear understanding of both the opportunities and the enduring challenges of embedding AI within quantitative clinical pharmacology.</w:t>
      </w:r>
    </w:p>
    <w:p>
      <w:pPr>
        <w:pStyle w:val="Heading1"/>
      </w:pPr>
      <w:r>
        <w:t xml:space="preserve">6.1 Machine Learning for ADME Prediction</w:t>
      </w:r>
    </w:p>
    <w:p>
      <w:pPr>
        <w:pStyle w:val="Heading2"/>
      </w:pPr>
      <w:r>
        <w:t xml:space="preserve">6.1.1 The ADME Challenge and the Case for Machine Learning</w:t>
      </w:r>
    </w:p>
    <w:p>
      <w:pPr>
        <w:pStyle w:val="Normal"/>
      </w:pPr>
      <w:r>
        <w:t xml:space="preserve">Absorption, distribution, metabolism, and excretion collectively describe the fate of a drug molecule within a biological system, and together they determine whether a compound with promising target activity can ever become a viable therapeutic. Historically, poor pharmacokinetic properties were among the leading causes of attrition in clinical development, and although the situation has improved as ADME screening moved earlier in the discovery pipeline, the underlying problem remains formidable [1]. Each ADME endpoint — intestinal permeability, aqueous solubility, plasma protein binding, hepatic clearance, blood–brain barrier penetration, and many others — reflects a convolution of physicochemical properties, active transport processes, and enzymatic transformations that resist simple additive description [2]. The experimental determination of these properties for the tens of thousands of compounds synthesised in a modern discovery campaign is neither economically nor logistically feasible, and this scarcity of comprehensive experimental data is precisely the gap that machine learning is positioned to fill.</w:t>
      </w:r>
    </w:p>
    <w:p>
      <w:pPr>
        <w:pStyle w:val="Normal"/>
      </w:pPr>
      <w:r>
        <w:t xml:space="preserve">The foundational premise of ML-based ADME prediction is that the pharmacokinetic behaviour of a molecule is, to a substantial degree, encoded in its chemical structure. If a mapping exists between molecular representation and ADME endpoint, then a sufficiently flexible learning algorithm trained on a representative dataset should be able to approximate that mapping and generalise to unseen compounds [3]. This premise underlies the entire field of quantitative structure–property relationship (QSPR) modelling, of which modern ML-based ADME prediction is the direct intellectual descendant. What distinguishes the contemporary generation of models from earlier linear QSPR approaches is the ability to capture highly nonlinear, context-dependent relationships and to learn feature representations automatically rather than relying exclusively on hand-crafted descriptors [4].</w:t>
      </w:r>
    </w:p>
    <w:p>
      <w:pPr>
        <w:pStyle w:val="Normal"/>
      </w:pPr>
      <w:r>
        <w:t xml:space="preserve">It is worth dwelling on why ADME properties are so much harder to predict than the target-binding affinities that dominate early medicinal chemistry. Target affinity is, at least conceptually, the outcome of a single molecular recognition event between a ligand and a well-defined binding site, whereas an ADME endpoint such as oral bioavailability integrates dissolution, gastrointestinal permeability, first-pass metabolism, and systemic clearance into a single observable number. Two compounds may share an identical intrinsic permeability yet display radically different bioavailability because one is a substrate for an efflux transporter and the other is not. A predictive model must therefore either learn these confounded contributions implicitly from data or be structured to represent them separately, and the choice between these strategies shapes both the data requirements and the interpretability of the resulting model [4]. This tension between end-to-end learning of composite endpoints and the mechanistic decomposition of those endpoints into their constituent processes recurs throughout the chapter and represents one of the deepest methodological questions in the field.</w:t>
      </w:r>
    </w:p>
    <w:p>
      <w:pPr>
        <w:pStyle w:val="Normal"/>
      </w:pPr>
      <w:r>
        <w:t xml:space="preserve">A further complication is that the compounds encountered during a discovery campaign are not a random sample of chemical space. Medicinal chemists deliberately synthesise molecules that are structurally related to one another, exploring a series around a promising scaffold, so that the data accumulated for a project are strongly clustered rather than diverse. A model that appears to perform well when tested on compounds drawn from the same cluster may fail badly when confronted with a genuinely novel scaffold, and this discrepancy between retrospective and prospective performance is one of the most persistent sources of disappointment in applied pharmaceutical machine learning [3]. Understanding and honestly reporting this gap is a theme to which the discussion of validation returns in detail.</w:t>
      </w:r>
    </w:p>
    <w:p>
      <w:pPr>
        <w:pStyle w:val="Heading2"/>
      </w:pPr>
      <w:r>
        <w:t xml:space="preserve">6.1.2 Molecular Representations for Learning</w:t>
      </w:r>
    </w:p>
    <w:p>
      <w:pPr>
        <w:pStyle w:val="Normal"/>
      </w:pPr>
      <w:r>
        <w:t xml:space="preserve">The choice of molecular representation is arguably the single most consequential decision in building an ADME prediction model, because it determines what information is available to the learning algorithm in the first place. The earliest and still widely used representations are molecular descriptors and fingerprints. Descriptors are numerical values that summarise physicochemical or topological properties — molecular weight, lipophilicity expressed as the logarithm of the octanol–water partition coefficient, topological polar surface area, the count of hydrogen bond donors and acceptors, and hundreds of more specialised quantities [5]. Fingerprints, by contrast, encode the presence or absence of particular substructural patterns as binary or count vectors, with extended-connectivity fingerprints being especially prevalent because of their robustness and computational efficiency [6].</w:t>
      </w:r>
    </w:p>
    <w:p>
      <w:pPr>
        <w:pStyle w:val="Normal"/>
      </w:pPr>
      <w:r>
        <w:t xml:space="preserve">A more recent and increasingly dominant paradigm treats a molecule as a graph, in which atoms are nodes and bonds are edges, and applies graph neural networks (GNNs) that learn representations by iteratively passing messages between connected atoms [7]. This message-passing framework allows the network to build up a description of each atom's chemical environment and then aggregate these into a molecule-level representation optimised directly for the prediction task at hand. Because the representation is learned rather than fixed, graph-based models can, in principle, discover structural features relevant to a specific ADME endpoint that no human-designed descriptor would capture [8]. A complementary line of work represents molecules as text strings using the simplified molecular-input line-entry system (SMILES) and applies sequence models, including recurrent networks and transformer architectures borrowed from natural language processing, to learn from these strings [9]. Table 6.1 summarises the principal representation families along with their characteristic strengths and limitations.</w:t>
      </w:r>
    </w:p>
    <w:p>
      <w:pPr>
        <w:pStyle w:val="TableCaption"/>
      </w:pPr>
      <w:r>
        <w:t xml:space="preserve">Table 6.1. Common molecular representations used in machine learning for ADME prediction.</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shd w:val="clear" w:color="auto" w:fill="D9E2F3"/>
          </w:tcPr>
          <w:p>
            <w:pPr>
              <w:jc w:val="left"/>
              <w:spacing w:after="40"/>
            </w:pPr>
            <w:r>
              <w:rPr>
                <w:b/>
              </w:rPr>
              <w:t xml:space="preserve">Representation</w:t>
            </w:r>
          </w:p>
        </w:tc>
        <w:tc>
          <w:tcPr>
            <w:shd w:val="clear" w:color="auto" w:fill="D9E2F3"/>
          </w:tcPr>
          <w:p>
            <w:pPr>
              <w:jc w:val="left"/>
              <w:spacing w:after="40"/>
            </w:pPr>
            <w:r>
              <w:rPr>
                <w:b/>
              </w:rPr>
              <w:t xml:space="preserve">Description</w:t>
            </w:r>
          </w:p>
        </w:tc>
        <w:tc>
          <w:tcPr>
            <w:shd w:val="clear" w:color="auto" w:fill="D9E2F3"/>
          </w:tcPr>
          <w:p>
            <w:pPr>
              <w:jc w:val="left"/>
              <w:spacing w:after="40"/>
            </w:pPr>
            <w:r>
              <w:rPr>
                <w:b/>
              </w:rPr>
              <w:t xml:space="preserve">Strengths</w:t>
            </w:r>
          </w:p>
        </w:tc>
        <w:tc>
          <w:tcPr>
            <w:shd w:val="clear" w:color="auto" w:fill="D9E2F3"/>
          </w:tcPr>
          <w:p>
            <w:pPr>
              <w:jc w:val="left"/>
              <w:spacing w:after="40"/>
            </w:pPr>
            <w:r>
              <w:rPr>
                <w:b/>
              </w:rPr>
              <w:t xml:space="preserve">Limitations</w:t>
            </w:r>
          </w:p>
        </w:tc>
      </w:tr>
      <w:tr>
        <w:tc>
          <w:p>
            <w:pPr>
              <w:jc w:val="left"/>
              <w:spacing w:after="40"/>
            </w:pPr>
            <w:r>
              <w:t xml:space="preserve">Physicochemical descriptors</w:t>
            </w:r>
          </w:p>
        </w:tc>
        <w:tc>
          <w:p>
            <w:pPr>
              <w:jc w:val="left"/>
              <w:spacing w:after="40"/>
            </w:pPr>
            <w:r>
              <w:t xml:space="preserve">Numerical summaries of properties such as logP, molecular weight, polar surface area</w:t>
            </w:r>
          </w:p>
        </w:tc>
        <w:tc>
          <w:p>
            <w:pPr>
              <w:jc w:val="left"/>
              <w:spacing w:after="40"/>
            </w:pPr>
            <w:r>
              <w:t xml:space="preserve">Interpretable, low dimensional, fast to compute</w:t>
            </w:r>
          </w:p>
        </w:tc>
        <w:tc>
          <w:p>
            <w:pPr>
              <w:jc w:val="left"/>
              <w:spacing w:after="40"/>
            </w:pPr>
            <w:r>
              <w:t xml:space="preserve">Require domain expertise, may omit relevant features</w:t>
            </w:r>
          </w:p>
        </w:tc>
      </w:tr>
      <w:tr>
        <w:tc>
          <w:p>
            <w:pPr>
              <w:jc w:val="left"/>
              <w:spacing w:after="40"/>
            </w:pPr>
            <w:r>
              <w:t xml:space="preserve">Structural fingerprints</w:t>
            </w:r>
          </w:p>
        </w:tc>
        <w:tc>
          <w:p>
            <w:pPr>
              <w:jc w:val="left"/>
              <w:spacing w:after="40"/>
            </w:pPr>
            <w:r>
              <w:t xml:space="preserve">Binary or count vectors encoding substructural patterns</w:t>
            </w:r>
          </w:p>
        </w:tc>
        <w:tc>
          <w:p>
            <w:pPr>
              <w:jc w:val="left"/>
              <w:spacing w:after="40"/>
            </w:pPr>
            <w:r>
              <w:t xml:space="preserve">Robust, efficient, well established</w:t>
            </w:r>
          </w:p>
        </w:tc>
        <w:tc>
          <w:p>
            <w:pPr>
              <w:jc w:val="left"/>
              <w:spacing w:after="40"/>
            </w:pPr>
            <w:r>
              <w:t xml:space="preserve">Fixed vocabulary, sparse, limited context</w:t>
            </w:r>
          </w:p>
        </w:tc>
      </w:tr>
      <w:tr>
        <w:tc>
          <w:p>
            <w:pPr>
              <w:jc w:val="left"/>
              <w:spacing w:after="40"/>
            </w:pPr>
            <w:r>
              <w:t xml:space="preserve">Molecular graphs</w:t>
            </w:r>
          </w:p>
        </w:tc>
        <w:tc>
          <w:p>
            <w:pPr>
              <w:jc w:val="left"/>
              <w:spacing w:after="40"/>
            </w:pPr>
            <w:r>
              <w:t xml:space="preserve">Atoms as nodes and bonds as edges processed by graph neural networks</w:t>
            </w:r>
          </w:p>
        </w:tc>
        <w:tc>
          <w:p>
            <w:pPr>
              <w:jc w:val="left"/>
              <w:spacing w:after="40"/>
            </w:pPr>
            <w:r>
              <w:t xml:space="preserve">Learned features, captures topology and local environment</w:t>
            </w:r>
          </w:p>
        </w:tc>
        <w:tc>
          <w:p>
            <w:pPr>
              <w:jc w:val="left"/>
              <w:spacing w:after="40"/>
            </w:pPr>
            <w:r>
              <w:t xml:space="preserve">Data hungry, computationally intensive</w:t>
            </w:r>
          </w:p>
        </w:tc>
      </w:tr>
      <w:tr>
        <w:tc>
          <w:p>
            <w:pPr>
              <w:jc w:val="left"/>
              <w:spacing w:after="40"/>
            </w:pPr>
            <w:r>
              <w:t xml:space="preserve">SMILES strings</w:t>
            </w:r>
          </w:p>
        </w:tc>
        <w:tc>
          <w:p>
            <w:pPr>
              <w:jc w:val="left"/>
              <w:spacing w:after="40"/>
            </w:pPr>
            <w:r>
              <w:t xml:space="preserve">Text encoding of structure processed by sequence models</w:t>
            </w:r>
          </w:p>
        </w:tc>
        <w:tc>
          <w:p>
            <w:pPr>
              <w:jc w:val="left"/>
              <w:spacing w:after="40"/>
            </w:pPr>
            <w:r>
              <w:t xml:space="preserve">Leverages language model advances, pre-trainable</w:t>
            </w:r>
          </w:p>
        </w:tc>
        <w:tc>
          <w:p>
            <w:pPr>
              <w:jc w:val="left"/>
              <w:spacing w:after="40"/>
            </w:pPr>
            <w:r>
              <w:t xml:space="preserve">Non-unique, sensitive to string canonicalisation</w:t>
            </w:r>
          </w:p>
        </w:tc>
      </w:tr>
    </w:tbl>
    <w:p/>
    <w:p>
      <w:pPr>
        <w:pStyle w:val="Normal"/>
      </w:pPr>
      <w:r>
        <w:t xml:space="preserve">The comparative performance of these representations is highly dependent on the endpoint and the size of the available dataset. When training data are abundant, learned graph representations frequently outperform fixed descriptors, but on the small, noisy datasets typical of early discovery, well-chosen descriptors combined with robust ensemble methods often remain competitive or superior [10]. This dependence on data regime is a recurring theme throughout applied pharmaceutical machine learning and cautions against uncritical adoption of the most sophisticated architecture available.</w:t>
      </w:r>
    </w:p>
    <w:p>
      <w:pPr>
        <w:pStyle w:val="Normal"/>
      </w:pPr>
      <w:r>
        <w:t xml:space="preserve">An additional and increasingly important consideration is the role of pre-training and transfer learning in molecular representation. Because labelled ADME data are scarce but unlabelled chemical structures are abundant, a growing body of work first trains a model on a large corpus of molecules using a self-supervised objective — for instance, masking part of a molecular graph or SMILES string and asking the model to reconstruct it — and only then fine-tunes the pre-trained representation on the comparatively small labelled ADME dataset [9]. The intuition, borrowed directly from the success of large language models, is that a representation which captures the general grammar of chemical structure provides a better starting point for learning a specific property than a representation initialised from scratch. Early results suggest that such pre-training yields meaningful benefits on data-poor endpoints, though the magnitude of the improvement varies considerably and the approach does not eliminate the fundamental need for high-quality labelled data on the endpoint of interest [8]. The practical implication for a modelling team is that the sophistication of the representation should be matched to the quantity and quality of available data rather than selected for its own sake.</w:t>
      </w:r>
    </w:p>
    <w:p>
      <w:pPr>
        <w:pStyle w:val="Heading2"/>
      </w:pPr>
      <w:r>
        <w:t xml:space="preserve">6.1.3 Learning Algorithms and Their Application to ADME Endpoints</w:t>
      </w:r>
    </w:p>
    <w:p>
      <w:pPr>
        <w:pStyle w:val="Normal"/>
      </w:pPr>
      <w:r>
        <w:t xml:space="preserve">Whichever of the representations catalogued in Table 6.1 is chosen, it must be paired with a learning algorithm capable of exploiting it, and a broad spectrum of such algorithms has been applied to ADME prediction, ranging from classical statistical methods to deep neural networks. Random forests and gradient-boosted decision tree ensembles have proven remarkably durable, offering strong predictive accuracy, resistance to overfitting, and a degree of built-in feature importance estimation that aids interpretation [11]. These tree-based methods remain the default baseline against which more elaborate approaches must justify themselves, and in numerous benchmark comparisons they perform comparably to deep networks on tabular descriptor inputs [12]. Support vector machines and kernel methods enjoyed considerable popularity in earlier work and retain utility for smaller datasets where their theoretical guarantees are advantageous.</w:t>
      </w:r>
    </w:p>
    <w:p>
      <w:pPr>
        <w:pStyle w:val="Normal"/>
      </w:pPr>
      <w:r>
        <w:t xml:space="preserve">Deep learning has made its most decisive contributions where large datasets and complex structure–property relationships coincide. Multitask neural networks, which predict several related ADME endpoints simultaneously through shared hidden representations, exploit the correlations among endpoints to improve accuracy on individual tasks, particularly those with limited data [13]. This transfer of information across tasks mirrors the intuition of an experienced pharmacokineticist who recognises that solubility, permeability, and metabolic stability are not independent quantities but manifestations of shared underlying molecular properties. Graph neural networks, as noted, have achieved state-of-the-art results on several public ADME benchmarks, and their adoption has accelerated as curated datasets have grown [14]. Figure 6.1 illustrates a typical end-to-end machine learning workflow for ADME prediction, tracing the path from chemical structure through representation, model training, and validation to deployment in a discovery decision-support setting.</w:t>
      </w:r>
    </w:p>
    <w:p>
      <w:pPr>
        <w:pStyle w:val="FigureImage"/>
      </w:pPr>
      <w:r>
        <w:drawing>
          <wp:inline xmlns:wp="http://schemas.openxmlformats.org/drawingml/2006/wordprocessingDrawing" distT="0" distB="0" distL="0" distR="0">
            <wp:extent cx="5486400" cy="3392905"/>
            <wp:effectExtent l="0" t="0" r="0" b="0"/>
            <wp:docPr id="10" name="Figure_6_1_ADME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_6_1_ADME_Workflow.png"/>
                    <pic:cNvPicPr/>
                  </pic:nvPicPr>
                  <pic:blipFill>
                    <a:blip r:embed="rId10"/>
                    <a:stretch>
                      <a:fillRect/>
                    </a:stretch>
                  </pic:blipFill>
                  <pic:spPr>
                    <a:xfrm>
                      <a:off x="0" y="0"/>
                      <a:ext cx="5486400" cy="3392905"/>
                    </a:xfrm>
                    <a:prstGeom prst="rect">
                      <a:avLst/>
                    </a:prstGeom>
                  </pic:spPr>
                </pic:pic>
              </a:graphicData>
            </a:graphic>
          </wp:inline>
        </w:drawing>
      </w:r>
    </w:p>
    <w:p>
      <w:pPr>
        <w:pStyle w:val="FigureCaption"/>
      </w:pPr>
      <w:r>
        <w:t xml:space="preserve">Figure 6.1. End-to-end machine learning workflow for ADME property prediction, from molecular input to deployment.</w:t>
      </w:r>
    </w:p>
    <w:p>
      <w:pPr>
        <w:pStyle w:val="Normal"/>
      </w:pPr>
      <w:r>
        <w:t xml:space="preserve">Among the individual ADME endpoints, some have proven more amenable to accurate prediction than others. Aqueous solubility and lipophilicity, being relatively direct functions of molecular structure, are predicted with useful accuracy by a range of methods [15]. Passive intestinal permeability is likewise reasonably well captured. Endpoints governed by active transport or by the activity of specific metabolic enzymes are considerably more difficult, because they depend on protein-mediated processes whose behaviour is not straightforwardly encoded in the small-molecule structure alone [16]. Hepatic clearance and cytochrome P450 mediated metabolism exemplify this difficulty; while classification models can flag likely substrates or inhibitors of major metabolic enzymes with practical utility, quantitative prediction of intrinsic clearance remains substantially less reliable and is an active area of methodological research [17].</w:t>
      </w:r>
    </w:p>
    <w:p>
      <w:pPr>
        <w:pStyle w:val="Normal"/>
      </w:pPr>
      <w:r>
        <w:t xml:space="preserve">The prediction of metabolism deserves particular emphasis because of its outsized influence on the overall pharmacokinetic profile and on the risk of drug–drug interactions. Metabolism is not a single property but a network of competing enzymatic transformations, each with its own regioselectivity and kinetics, and predicting it fully requires anticipating not only whether a molecule will be metabolised but where on the molecule metabolism will occur and what products will form. Machine learning approaches to the prediction of sites of metabolism have matured to the point of practical utility, helping chemists anticipate metabolic soft spots and design them out of a series [17]. Prediction of the specific enzymes responsible, of the resulting metabolite structures, and of whether those metabolites are themselves pharmacologically active or toxic remains substantially more challenging and is an area where mechanistic knowledge of enzyme active sites continues to complement purely data-driven approaches. The interplay between metabolism prediction and toxicity assessment is especially consequential, since reactive metabolites are implicated in many idiosyncratic adverse drug reactions that are difficult to detect until late in development [27].</w:t>
      </w:r>
    </w:p>
    <w:p>
      <w:pPr>
        <w:pStyle w:val="Normal"/>
      </w:pPr>
      <w:r>
        <w:t xml:space="preserve">Blood–brain barrier penetration illustrates a different kind of difficulty. For central nervous system drugs, adequate brain exposure is essential, whereas for peripherally acting drugs, brain penetration may be an undesirable liability associated with central side effects. The barrier is governed by a combination of passive permeability, active efflux mediated principally by P-glycoprotein, and, for some molecules, active uptake. Because the observed outcome integrates these opposing processes, models trained to predict a single summary measure of brain penetration must implicitly disentangle them, and their accuracy is correspondingly limited when applied to chemotypes poorly represented in the training data [16]. Here again, the most useful models are frequently those that predict the constituent processes separately and combine them within a mechanistic framework rather than attempting to learn the composite endpoint directly.</w:t>
      </w:r>
    </w:p>
    <w:p>
      <w:pPr>
        <w:pStyle w:val="Heading2"/>
      </w:pPr>
      <w:r>
        <w:t xml:space="preserve">6.1.4 Data Quality, Benchmarks, and Validation</w:t>
      </w:r>
    </w:p>
    <w:p>
      <w:pPr>
        <w:pStyle w:val="Normal"/>
      </w:pPr>
      <w:r>
        <w:t xml:space="preserve">The performance of any ADME model is bounded by the quality and representativeness of the data on which it is trained, and pharmaceutical datasets present particular challenges in this regard [18]. Experimental ADME measurements are subject to considerable assay variability, interlaboratory differences, and protocol-dependent systematic biases, so that the same compound measured in two laboratories may yield materially different values. Aggregating data from heterogeneous sources without accounting for these differences introduces noise that fundamentally limits achievable accuracy, and a model cannot be expected to predict an endpoint more precisely than the underlying measurements themselves [19]. This consideration has motivated growing attention to data curation, the harmonisation of assay conditions, and the explicit modelling of experimental uncertainty.</w:t>
      </w:r>
    </w:p>
    <w:p>
      <w:pPr>
        <w:pStyle w:val="Normal"/>
      </w:pPr>
      <w:r>
        <w:t xml:space="preserve">The establishment of standardised public benchmarks has been instrumental in enabling rigorous, reproducible comparison of methods. Curated collections that assemble multiple ADME endpoints with defined training and test splits allow the community to assess genuine progress rather than relying on incomparable in-house evaluations [20]. Critically, the manner in which data are split for validation exerts a profound influence on reported performance. Random splits, in which training and test compounds are drawn from the same chemical space, tend to overstate the accuracy a model will achieve on the structurally novel compounds encountered in prospective use [21]. Scaffold-based or temporal splits, which enforce structural or chronological separation between training and test sets, provide a far more realistic and demanding estimate of prospective performance and are increasingly regarded as the appropriate standard for ADME model evaluation [22]. The concept of a model's applicability domain — the region of chemical space within which its predictions can be trusted — is central here, and reliable estimation of when a query compound falls outside that domain is as important as the point prediction itself [23].</w:t>
      </w:r>
    </w:p>
    <w:p>
      <w:pPr>
        <w:pStyle w:val="Normal"/>
      </w:pPr>
      <w:r>
        <w:t xml:space="preserve">The distinction between interpolation and extrapolation is the crux of the matter. A model interpolates when it makes a prediction for a compound that resembles those it was trained on, and it extrapolates when the query compound is structurally distant from anything in the training set. Machine learning models are generally reliable interpolators and unreliable extrapolators, yet the compounds of greatest interest in a discovery project are frequently the novel ones that lie toward the edge of, or beyond, the training distribution. This is the fundamental reason why a model's retrospective accuracy on a random test set so often overstates its prospective usefulness, and why applicability-domain estimation and calibrated uncertainty are not academic niceties but practical necessities [21]. A model that could reliably signal when it is being asked to extrapolate, and therefore when its prediction should be treated with caution or deferred to experiment, would address one of the most consequential failure modes in the field. Considerable effort is accordingly devoted to methods that flag out-of-domain queries, ranging from simple distance-to-training-set measures to more sophisticated estimates derived from the disagreement among an ensemble of models [28].</w:t>
      </w:r>
    </w:p>
    <w:p>
      <w:pPr>
        <w:pStyle w:val="Heading2"/>
      </w:pPr>
      <w:r>
        <w:t xml:space="preserve">6.1.5 From Prediction to Decision: Integration and Impact</w:t>
      </w:r>
    </w:p>
    <w:p>
      <w:pPr>
        <w:pStyle w:val="Normal"/>
      </w:pPr>
      <w:r>
        <w:t xml:space="preserve">The ultimate value of an ADME model lies not in its benchmark accuracy but in its capacity to improve decisions within the drug discovery process. In practice, ML-based ADME predictions are most useful when integrated into multi-parameter optimisation frameworks that balance potency, selectivity, pharmacokinetic properties, and safety simultaneously [24]. A medicinal chemist designing the next compound in a series benefits far more from rapid, directionally reliable predictions across many properties than from a single highly accurate but slow measurement, because the former enables the exploration of a much larger design space before committing synthetic resources [25]. Increasingly, generative models that propose novel structures are coupled with ADME predictors that score those proposals, creating closed-loop design cycles in which pharmacokinetic considerations shape molecular generation from the outset rather than being assessed only after synthesis [26].</w:t>
      </w:r>
    </w:p>
    <w:p>
      <w:pPr>
        <w:pStyle w:val="Normal"/>
      </w:pPr>
      <w:r>
        <w:t xml:space="preserve">The measurable impact of these approaches includes reduced late-stage attrition attributable to pharmacokinetic failures, more efficient use of experimental screening capacity through the prioritisation of compounds most likely to succeed, and the earlier identification of liabilities that would previously have surfaced only after substantial investment [27]. Nevertheless, realistic appraisal requires acknowledging that ADME models remain imperfect, that their predictions carry uncertainty that must be communicated honestly to decision-makers, and that they augment rather than replace experimental measurement, particularly for compounds venturing into unfamiliar chemical territory [28].</w:t>
      </w:r>
    </w:p>
    <w:p>
      <w:pPr>
        <w:pStyle w:val="Normal"/>
      </w:pPr>
      <w:r>
        <w:t xml:space="preserve">A mature perspective on the role of ADME prediction recognises that the objective is rarely to obtain a perfectly accurate number and more often to rank candidates reliably, to flag serious liabilities early, and to guide the allocation of scarce experimental resources. A model that consistently ranks compounds in the correct order, even with imperfect absolute accuracy, delivers substantial value in a design context where the decision at hand is which of several proposed molecules to synthesise next. This reframing of the objective from precise prediction to reliable prioritisation has important consequences for how models should be built and evaluated, favouring metrics that reward correct ranking and calibrated confidence over those that reward only pointwise accuracy [25]. It also underscores why the honest communication of uncertainty is not a peripheral concern but a central determinant of a model's practical usefulness: a confident prediction that later proves wrong erodes the trust of the medicinal chemists whose decisions the model is meant to support, whereas a well-calibrated expression of doubt directs experimental effort exactly where it is most needed [28].</w:t>
      </w:r>
    </w:p>
    <w:p>
      <w:pPr>
        <w:pStyle w:val="Heading1"/>
      </w:pPr>
      <w:r>
        <w:t xml:space="preserve">6.2 AI-Based Pharmacodynamic and Dose–Response Modelling</w:t>
      </w:r>
    </w:p>
    <w:p>
      <w:pPr>
        <w:pStyle w:val="Heading2"/>
      </w:pPr>
      <w:r>
        <w:t xml:space="preserve">6.2.1 Foundations of Pharmacodynamic Modelling</w:t>
      </w:r>
    </w:p>
    <w:p>
      <w:pPr>
        <w:pStyle w:val="Normal"/>
      </w:pPr>
      <w:r>
        <w:t xml:space="preserve">Where pharmacokinetics describes the time course of drug concentration, pharmacodynamics describes the relationship between that concentration and the resulting biological effect, whether therapeutic or toxic. The classical mathematical apparatus of pharmacodynamics is grounded in receptor occupancy theory and expressed through concentration–effect relationships such as the sigmoidal maximum-effect model, in which effect rises with concentration toward an asymptotic maximum governed by parameters representing potency and the steepness of the response [29]. These mechanistically interpretable models have served the discipline exceptionally well and continue to underpin regulatory dose selection. Yet many pharmacodynamic phenomena — delayed effects arising from indirect mechanisms, tolerance and rebound, the interplay of multiple simultaneously active pathways, and the influence of disease progression — strain the descriptive capacity of compact parametric forms [30].</w:t>
      </w:r>
    </w:p>
    <w:p>
      <w:pPr>
        <w:pStyle w:val="Normal"/>
      </w:pPr>
      <w:r>
        <w:t xml:space="preserve">Machine learning enters pharmacodynamics as a means of capturing exposure–response relationships that are too complex, too high-dimensional, or too poorly understood mechanistically to be expressed in closed form. Rather than positing a specific functional relationship and estimating its parameters, data-driven methods learn the shape of the exposure–response surface directly from observations [31]. The contrast between this data-driven philosophy and the classical mechanistic one, laid out systematically in Table 6.2, frames much of the discussion that follows. This flexibility is both the principal strength and the principal risk of the approach: it enables the modelling of relationships that would otherwise be intractable, but it also invites overfitting and can produce models whose behaviour is difficult to reconcile with pharmacological understanding [32]. Table 6.2 contrasts the traditional and AI-based paradigms across several dimensions relevant to pharmacodynamic modelling.</w:t>
      </w:r>
    </w:p>
    <w:p>
      <w:pPr>
        <w:pStyle w:val="TableCaption"/>
      </w:pPr>
      <w:r>
        <w:t xml:space="preserve">Table 6.2. Comparison of traditional pharmacometric and AI-based approaches to pharmacodynamic modelling.</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shd w:val="clear" w:color="auto" w:fill="D9E2F3"/>
          </w:tcPr>
          <w:p>
            <w:pPr>
              <w:jc w:val="left"/>
              <w:spacing w:after="40"/>
            </w:pPr>
            <w:r>
              <w:rPr>
                <w:b/>
              </w:rPr>
              <w:t xml:space="preserve">Dimension</w:t>
            </w:r>
          </w:p>
        </w:tc>
        <w:tc>
          <w:tcPr>
            <w:shd w:val="clear" w:color="auto" w:fill="D9E2F3"/>
          </w:tcPr>
          <w:p>
            <w:pPr>
              <w:jc w:val="left"/>
              <w:spacing w:after="40"/>
            </w:pPr>
            <w:r>
              <w:rPr>
                <w:b/>
              </w:rPr>
              <w:t xml:space="preserve">Traditional pharmacometric models</w:t>
            </w:r>
          </w:p>
        </w:tc>
        <w:tc>
          <w:tcPr>
            <w:shd w:val="clear" w:color="auto" w:fill="D9E2F3"/>
          </w:tcPr>
          <w:p>
            <w:pPr>
              <w:jc w:val="left"/>
              <w:spacing w:after="40"/>
            </w:pPr>
            <w:r>
              <w:rPr>
                <w:b/>
              </w:rPr>
              <w:t xml:space="preserve">AI-based models</w:t>
            </w:r>
          </w:p>
        </w:tc>
      </w:tr>
      <w:tr>
        <w:tc>
          <w:p>
            <w:pPr>
              <w:jc w:val="left"/>
              <w:spacing w:after="40"/>
            </w:pPr>
            <w:r>
              <w:t xml:space="preserve">Model form</w:t>
            </w:r>
          </w:p>
        </w:tc>
        <w:tc>
          <w:p>
            <w:pPr>
              <w:jc w:val="left"/>
              <w:spacing w:after="40"/>
            </w:pPr>
            <w:r>
              <w:t xml:space="preserve">Predefined mechanistic equations</w:t>
            </w:r>
          </w:p>
        </w:tc>
        <w:tc>
          <w:p>
            <w:pPr>
              <w:jc w:val="left"/>
              <w:spacing w:after="40"/>
            </w:pPr>
            <w:r>
              <w:t xml:space="preserve">Flexible functions learned from data</w:t>
            </w:r>
          </w:p>
        </w:tc>
      </w:tr>
      <w:tr>
        <w:tc>
          <w:p>
            <w:pPr>
              <w:jc w:val="left"/>
              <w:spacing w:after="40"/>
            </w:pPr>
            <w:r>
              <w:t xml:space="preserve">Interpretability</w:t>
            </w:r>
          </w:p>
        </w:tc>
        <w:tc>
          <w:p>
            <w:pPr>
              <w:jc w:val="left"/>
              <w:spacing w:after="40"/>
            </w:pPr>
            <w:r>
              <w:t xml:space="preserve">High, parameters have biological meaning</w:t>
            </w:r>
          </w:p>
        </w:tc>
        <w:tc>
          <w:p>
            <w:pPr>
              <w:jc w:val="left"/>
              <w:spacing w:after="40"/>
            </w:pPr>
            <w:r>
              <w:t xml:space="preserve">Often limited, requires explanation methods</w:t>
            </w:r>
          </w:p>
        </w:tc>
      </w:tr>
      <w:tr>
        <w:tc>
          <w:p>
            <w:pPr>
              <w:jc w:val="left"/>
              <w:spacing w:after="40"/>
            </w:pPr>
            <w:r>
              <w:t xml:space="preserve">Data requirements</w:t>
            </w:r>
          </w:p>
        </w:tc>
        <w:tc>
          <w:p>
            <w:pPr>
              <w:jc w:val="left"/>
              <w:spacing w:after="40"/>
            </w:pPr>
            <w:r>
              <w:t xml:space="preserve">Modest with strong structural assumptions</w:t>
            </w:r>
          </w:p>
        </w:tc>
        <w:tc>
          <w:p>
            <w:pPr>
              <w:jc w:val="left"/>
              <w:spacing w:after="40"/>
            </w:pPr>
            <w:r>
              <w:t xml:space="preserve">Typically larger, especially deep models</w:t>
            </w:r>
          </w:p>
        </w:tc>
      </w:tr>
      <w:tr>
        <w:tc>
          <w:p>
            <w:pPr>
              <w:jc w:val="left"/>
              <w:spacing w:after="40"/>
            </w:pPr>
            <w:r>
              <w:t xml:space="preserve">Extrapolation</w:t>
            </w:r>
          </w:p>
        </w:tc>
        <w:tc>
          <w:p>
            <w:pPr>
              <w:jc w:val="left"/>
              <w:spacing w:after="40"/>
            </w:pPr>
            <w:r>
              <w:t xml:space="preserve">Constrained but principled</w:t>
            </w:r>
          </w:p>
        </w:tc>
        <w:tc>
          <w:p>
            <w:pPr>
              <w:jc w:val="left"/>
              <w:spacing w:after="40"/>
            </w:pPr>
            <w:r>
              <w:t xml:space="preserve">Unreliable outside training range</w:t>
            </w:r>
          </w:p>
        </w:tc>
      </w:tr>
      <w:tr>
        <w:tc>
          <w:p>
            <w:pPr>
              <w:jc w:val="left"/>
              <w:spacing w:after="40"/>
            </w:pPr>
            <w:r>
              <w:t xml:space="preserve">Handling of complexity</w:t>
            </w:r>
          </w:p>
        </w:tc>
        <w:tc>
          <w:p>
            <w:pPr>
              <w:jc w:val="left"/>
              <w:spacing w:after="40"/>
            </w:pPr>
            <w:r>
              <w:t xml:space="preserve">Limited by tractable equations</w:t>
            </w:r>
          </w:p>
        </w:tc>
        <w:tc>
          <w:p>
            <w:pPr>
              <w:jc w:val="left"/>
              <w:spacing w:after="40"/>
            </w:pPr>
            <w:r>
              <w:t xml:space="preserve">Captures high-dimensional nonlinear effects</w:t>
            </w:r>
          </w:p>
        </w:tc>
      </w:tr>
    </w:tbl>
    <w:p/>
    <w:p>
      <w:pPr>
        <w:pStyle w:val="Heading2"/>
      </w:pPr>
      <w:r>
        <w:t xml:space="preserve">6.2.2 Machine Learning Methods for Exposure–Response Analysis</w:t>
      </w:r>
    </w:p>
    <w:p>
      <w:pPr>
        <w:pStyle w:val="Normal"/>
      </w:pPr>
      <w:r>
        <w:t xml:space="preserve">A variety of machine learning methods have been brought to bear on pharmacodynamic and dose–response problems. Ensemble tree methods and support vector regression have been used to relate high-dimensional covariate profiles — combining demographic, genomic, and biomarker data — to observed responses, identifying predictors of efficacy or toxicity that inform patient stratification [33]. Neural networks offer the capacity to model smooth nonlinear exposure–response surfaces and to integrate heterogeneous inputs, and recurrent and other sequence-oriented architectures are well suited to longitudinal response data in which the effect at a given time depends on the history of exposure [34]. Probabilistic approaches, including Gaussian process regression, are particularly valuable in pharmacodynamics because they provide not only a predicted response but an accompanying estimate of uncertainty, which is indispensable when the model informs decisions about dosing or safety [35].</w:t>
      </w:r>
    </w:p>
    <w:p>
      <w:pPr>
        <w:pStyle w:val="Normal"/>
      </w:pPr>
      <w:r>
        <w:t xml:space="preserve">An especially productive line of development concerns the integration of machine learning with the nonlinear mixed-effects framework that has long dominated population pharmacodynamics. Population modelling partitions variability in response into components attributable to identifiable covariates and components that remain unexplained, and machine learning offers powerful tools for the covariate-modelling step, discovering complex relationships between patient characteristics and pharmacodynamic parameters that manual model-building might miss [36]. Rather than supplanting the mixed-effects structure, which provides a principled account of inter-individual and residual variability, these methods enhance its covariate component, and the resulting hybrid workflows are attracting considerable interest within the pharmacometrics community [37]. Figure 6.2 depicts a representative sigmoidal exposure–response relationship overlaid with a flexible machine-learned response surface, illustrating how data-driven methods can accommodate departures from the idealised parametric form.</w:t>
      </w:r>
    </w:p>
    <w:p>
      <w:pPr>
        <w:pStyle w:val="Normal"/>
      </w:pPr>
      <w:r>
        <w:t xml:space="preserve">The flexibility that allows a machine-learned surface to trace the deviations illustrated in Figure 6.2 is a double-edged attribute, for the same capacity that captures genuine mechanistic complexity can equally fit noise, producing a response surface that looks impressive on the training data but generalises poorly. Guarding against this requires disciplined validation and, ideally, the incorporation of mechanistic constraints that prevent the learned surface from adopting pharmacologically implausible shapes.</w:t>
      </w:r>
    </w:p>
    <w:p>
      <w:pPr>
        <w:pStyle w:val="Normal"/>
      </w:pPr>
      <w:r>
        <w:t xml:space="preserve">A conceptually elegant advance in this area is the use of neural ordinary differential equations, which parameterise the derivative of a system's state with a neural network and thereby unify the continuous-time dynamical perspective of classical pharmacometrics with the flexibility of deep learning [31]. In a pharmacodynamic setting, such a model can learn the dynamics governing the evolution of a biomarker over time without committing in advance to a specific indirect-response structure, while still respecting the fundamental fact that the system evolves continuously and causally through time. This class of model is attractive precisely because it retains the differential-equation formulation that pharmacometricians find natural and interpretable, replacing only the specific functional form of the dynamics with a learned function. Early applications to pharmacokinetic and pharmacodynamic time-series data have demonstrated competitive predictive performance while preserving a degree of the dynamical interpretability that purely discrete-time sequence models sacrifice [31]. The approach exemplifies a broader movement toward architectures that embed rather than discard the structural knowledge accumulated by the discipline.</w:t>
      </w:r>
    </w:p>
    <w:p>
      <w:pPr>
        <w:pStyle w:val="Normal"/>
      </w:pPr>
      <w:r>
        <w:t xml:space="preserve">The choice of method must always be weighed against the realities of pharmacodynamic data, which are frequently sparse, unevenly sampled, and collected under conditions that differ from those of intended use. In a typical clinical study, a given patient may contribute only a handful of measurements, taken at times dictated by clinical convenience rather than by the requirements of model identification. Deep learning methods that presuppose abundant, densely sampled data can perform poorly under these conditions, and this is a principal reason why the mixed-effects framework, which pools information across individuals to compensate for sparsity within individuals, remains indispensable. The most successful hybrid strategies therefore use machine learning selectively, to enrich a component of an established pharmacometric model rather than to replace the model wholesale, thereby retaining the statistical efficiency that comes from strong structural assumptions where data are limited [37].</w:t>
      </w:r>
    </w:p>
    <w:p>
      <w:pPr>
        <w:pStyle w:val="FigureImage"/>
      </w:pPr>
      <w:r>
        <w:drawing>
          <wp:inline xmlns:wp="http://schemas.openxmlformats.org/drawingml/2006/wordprocessingDrawing" distT="0" distB="0" distL="0" distR="0">
            <wp:extent cx="5486400" cy="3392905"/>
            <wp:effectExtent l="0" t="0" r="0" b="0"/>
            <wp:docPr id="11" name="Figure_6_2_Exposure_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_6_2_Exposure_Response.png"/>
                    <pic:cNvPicPr/>
                  </pic:nvPicPr>
                  <pic:blipFill>
                    <a:blip r:embed="rId11"/>
                    <a:stretch>
                      <a:fillRect/>
                    </a:stretch>
                  </pic:blipFill>
                  <pic:spPr>
                    <a:xfrm>
                      <a:off x="0" y="0"/>
                      <a:ext cx="5486400" cy="3392905"/>
                    </a:xfrm>
                    <a:prstGeom prst="rect">
                      <a:avLst/>
                    </a:prstGeom>
                  </pic:spPr>
                </pic:pic>
              </a:graphicData>
            </a:graphic>
          </wp:inline>
        </w:drawing>
      </w:r>
    </w:p>
    <w:p>
      <w:pPr>
        <w:pStyle w:val="FigureCaption"/>
      </w:pPr>
      <w:r>
        <w:t xml:space="preserve">Figure 6.2. Exposure–response relationship showing a classical sigmoidal curve alongside a flexible machine-learned surface capturing deviations from the parametric form.</w:t>
      </w:r>
    </w:p>
    <w:p>
      <w:pPr>
        <w:pStyle w:val="Heading2"/>
      </w:pPr>
      <w:r>
        <w:t xml:space="preserve">6.2.3 Dose Optimisation and Model-Informed Precision Dosing</w:t>
      </w:r>
    </w:p>
    <w:p>
      <w:pPr>
        <w:pStyle w:val="Normal"/>
      </w:pPr>
      <w:r>
        <w:t xml:space="preserve">One of the most clinically consequential applications of AI in pharmacodynamics is the individualisation of dosing. The recognition that a single fixed dose is unlikely to be optimal across a heterogeneous patient population has driven the growth of model-informed precision dosing, in which quantitative models guide the selection of a dose tailored to the individual patient's characteristics and, where available, measured drug concentrations or response biomarkers [38]. Machine learning contributes to this endeavour by learning the complex relationships between patient covariates and the dose required to achieve a target exposure or effect, and by updating dose recommendations as new measurements accumulate during treatment [39].</w:t>
      </w:r>
    </w:p>
    <w:p>
      <w:pPr>
        <w:pStyle w:val="Normal"/>
      </w:pPr>
      <w:r>
        <w:t xml:space="preserve">Model-informed precision dosing is especially valuable for drugs with a narrow therapeutic window, where the margin between an ineffective dose and a toxic one is small and the consequences of dosing errors are correspondingly severe. Immunosuppressants, certain antibiotics, anticoagulants, and many oncology agents fall into this category, and for these drugs the individualisation of dose can meaningfully improve outcomes. The traditional approach to such individualisation relies on therapeutic drug monitoring interpreted through population pharmacokinetic models, and machine learning augments this established practice by incorporating a richer set of patient characteristics and by capturing nonlinear covariate relationships that a conventional model might overlook [39]. The workflow, shown schematically in Figure 6.4, is inherently iterative: an initial dose is selected on the basis of patient characteristics, drug concentrations or response measures are obtained, and the model is updated to refine the dose for the individual, so that the accuracy of the recommendation improves as evidence about the specific patient accumulates.</w:t>
      </w:r>
    </w:p>
    <w:p>
      <w:pPr>
        <w:pStyle w:val="Normal"/>
      </w:pPr>
      <w:r>
        <w:t xml:space="preserve">Reinforcement learning has attracted particular attention as a framework for sequential dosing decisions, because it is naturally suited to problems in which a series of actions must be chosen over time to optimise a cumulative outcome [40]. In principle, a reinforcement learning agent can learn a dosing policy that balances therapeutic benefit against toxicity risk, adapting to the patient's evolving state. In domains such as anticoagulation, anaesthesia, and the management of critically ill patients, proof-of-concept studies have demonstrated the feasibility of such learned policies [41]. However, the translation of these methods into clinical practice faces substantial obstacles, including the difficulty of learning safe policies from observational data, the risk of distributional shift between the data used for training and the circumstances of deployment, and the ethical and regulatory imperative that any dosing recommendation be safe, interpretable, and subject to clinical oversight [42].</w:t>
      </w:r>
    </w:p>
    <w:p>
      <w:pPr>
        <w:pStyle w:val="Normal"/>
      </w:pPr>
      <w:r>
        <w:t xml:space="preserve">The distinction between online and offline reinforcement learning is central to the safe application of these methods in medicine. Online reinforcement learning, in which the agent learns by actively experimenting with different actions and observing their consequences, is ethically untenable for dosing decisions, because it would require administering deliberately suboptimal doses to patients in order to learn. Offline reinforcement learning, which learns a policy from previously collected observational data without further experimentation, avoids this objection but introduces the serious difficulty that the data reflect the decisions actually taken by clinicians rather than a systematic exploration of the space of possible decisions [40]. A policy learned from such data may recommend actions that were rarely or never taken in the historical record, and the model has no reliable basis for estimating the consequences of those unfamiliar actions. Constraining a learned policy to remain close to the distribution of decisions represented in the data is therefore essential to safety, and methods that quantify and respect this constraint are an active focus of research [42]. Figure 6.4 illustrates the closed-loop structure of a model-informed precision dosing system, in which measured patient data are combined with a predictive model to recommend a dose that is then administered, monitored, and fed back to refine subsequent recommendations.</w:t>
      </w:r>
    </w:p>
    <w:p>
      <w:pPr>
        <w:pStyle w:val="FigureImage"/>
      </w:pPr>
      <w:r>
        <w:drawing>
          <wp:inline xmlns:wp="http://schemas.openxmlformats.org/drawingml/2006/wordprocessingDrawing" distT="0" distB="0" distL="0" distR="0">
            <wp:extent cx="5486400" cy="3392905"/>
            <wp:effectExtent l="0" t="0" r="0" b="0"/>
            <wp:docPr id="12" name="Figure_6_4_Precision_Do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_6_4_Precision_Dosing.png"/>
                    <pic:cNvPicPr/>
                  </pic:nvPicPr>
                  <pic:blipFill>
                    <a:blip r:embed="rId12"/>
                    <a:stretch>
                      <a:fillRect/>
                    </a:stretch>
                  </pic:blipFill>
                  <pic:spPr>
                    <a:xfrm>
                      <a:off x="0" y="0"/>
                      <a:ext cx="5486400" cy="3392905"/>
                    </a:xfrm>
                    <a:prstGeom prst="rect">
                      <a:avLst/>
                    </a:prstGeom>
                  </pic:spPr>
                </pic:pic>
              </a:graphicData>
            </a:graphic>
          </wp:inline>
        </w:drawing>
      </w:r>
    </w:p>
    <w:p>
      <w:pPr>
        <w:pStyle w:val="FigureCaption"/>
      </w:pPr>
      <w:r>
        <w:t xml:space="preserve">Figure 6.4. Closed-loop model-informed precision dosing, in which patient measurements inform a predictive model that recommends an individualised dose, with outcomes fed back to refine future recommendations. Table 6.3 summarises major application areas of AI-based pharmacodynamic modelling together with representative methods and the principal challenges each faces.</w:t>
      </w:r>
    </w:p>
    <w:p>
      <w:pPr>
        <w:pStyle w:val="TableCaption"/>
      </w:pPr>
      <w:r>
        <w:t xml:space="preserve">Table 6.3. Application areas of AI-based pharmacodynamic and dose–response modelling.</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shd w:val="clear" w:color="auto" w:fill="D9E2F3"/>
          </w:tcPr>
          <w:p>
            <w:pPr>
              <w:jc w:val="left"/>
              <w:spacing w:after="40"/>
            </w:pPr>
            <w:r>
              <w:rPr>
                <w:b/>
              </w:rPr>
              <w:t xml:space="preserve">Application area</w:t>
            </w:r>
          </w:p>
        </w:tc>
        <w:tc>
          <w:tcPr>
            <w:shd w:val="clear" w:color="auto" w:fill="D9E2F3"/>
          </w:tcPr>
          <w:p>
            <w:pPr>
              <w:jc w:val="left"/>
              <w:spacing w:after="40"/>
            </w:pPr>
            <w:r>
              <w:rPr>
                <w:b/>
              </w:rPr>
              <w:t xml:space="preserve">Representative methods</w:t>
            </w:r>
          </w:p>
        </w:tc>
        <w:tc>
          <w:tcPr>
            <w:shd w:val="clear" w:color="auto" w:fill="D9E2F3"/>
          </w:tcPr>
          <w:p>
            <w:pPr>
              <w:jc w:val="left"/>
              <w:spacing w:after="40"/>
            </w:pPr>
            <w:r>
              <w:rPr>
                <w:b/>
              </w:rPr>
              <w:t xml:space="preserve">Principal challenges</w:t>
            </w:r>
          </w:p>
        </w:tc>
      </w:tr>
      <w:tr>
        <w:tc>
          <w:p>
            <w:pPr>
              <w:jc w:val="left"/>
              <w:spacing w:after="40"/>
            </w:pPr>
            <w:r>
              <w:t xml:space="preserve">Patient stratification</w:t>
            </w:r>
          </w:p>
        </w:tc>
        <w:tc>
          <w:p>
            <w:pPr>
              <w:jc w:val="left"/>
              <w:spacing w:after="40"/>
            </w:pPr>
            <w:r>
              <w:t xml:space="preserve">Ensemble trees, support vector machines</w:t>
            </w:r>
          </w:p>
        </w:tc>
        <w:tc>
          <w:p>
            <w:pPr>
              <w:jc w:val="left"/>
              <w:spacing w:after="40"/>
            </w:pPr>
            <w:r>
              <w:t xml:space="preserve">Heterogeneous data, class imbalance</w:t>
            </w:r>
          </w:p>
        </w:tc>
      </w:tr>
      <w:tr>
        <w:tc>
          <w:p>
            <w:pPr>
              <w:jc w:val="left"/>
              <w:spacing w:after="40"/>
            </w:pPr>
            <w:r>
              <w:t xml:space="preserve">Longitudinal response modelling</w:t>
            </w:r>
          </w:p>
        </w:tc>
        <w:tc>
          <w:p>
            <w:pPr>
              <w:jc w:val="left"/>
              <w:spacing w:after="40"/>
            </w:pPr>
            <w:r>
              <w:t xml:space="preserve">Recurrent and sequence neural networks</w:t>
            </w:r>
          </w:p>
        </w:tc>
        <w:tc>
          <w:p>
            <w:pPr>
              <w:jc w:val="left"/>
              <w:spacing w:after="40"/>
            </w:pPr>
            <w:r>
              <w:t xml:space="preserve">Sparse sampling, irregular time points</w:t>
            </w:r>
          </w:p>
        </w:tc>
      </w:tr>
      <w:tr>
        <w:tc>
          <w:p>
            <w:pPr>
              <w:jc w:val="left"/>
              <w:spacing w:after="40"/>
            </w:pPr>
            <w:r>
              <w:t xml:space="preserve">Toxicity and safety prediction</w:t>
            </w:r>
          </w:p>
        </w:tc>
        <w:tc>
          <w:p>
            <w:pPr>
              <w:jc w:val="left"/>
              <w:spacing w:after="40"/>
            </w:pPr>
            <w:r>
              <w:t xml:space="preserve">Neural networks, probabilistic models</w:t>
            </w:r>
          </w:p>
        </w:tc>
        <w:tc>
          <w:p>
            <w:pPr>
              <w:jc w:val="left"/>
              <w:spacing w:after="40"/>
            </w:pPr>
            <w:r>
              <w:t xml:space="preserve">Rare events, high cost of false negatives</w:t>
            </w:r>
          </w:p>
        </w:tc>
      </w:tr>
      <w:tr>
        <w:tc>
          <w:p>
            <w:pPr>
              <w:jc w:val="left"/>
              <w:spacing w:after="40"/>
            </w:pPr>
            <w:r>
              <w:t xml:space="preserve">Sequential dose optimisation</w:t>
            </w:r>
          </w:p>
        </w:tc>
        <w:tc>
          <w:p>
            <w:pPr>
              <w:jc w:val="left"/>
              <w:spacing w:after="40"/>
            </w:pPr>
            <w:r>
              <w:t xml:space="preserve">Reinforcement learning</w:t>
            </w:r>
          </w:p>
        </w:tc>
        <w:tc>
          <w:p>
            <w:pPr>
              <w:jc w:val="left"/>
              <w:spacing w:after="40"/>
            </w:pPr>
            <w:r>
              <w:t xml:space="preserve">Safety, offline learning, distributional shift</w:t>
            </w:r>
          </w:p>
        </w:tc>
      </w:tr>
      <w:tr>
        <w:tc>
          <w:p>
            <w:pPr>
              <w:jc w:val="left"/>
              <w:spacing w:after="40"/>
            </w:pPr>
            <w:r>
              <w:t xml:space="preserve">Covariate discovery in population models</w:t>
            </w:r>
          </w:p>
        </w:tc>
        <w:tc>
          <w:p>
            <w:pPr>
              <w:jc w:val="left"/>
              <w:spacing w:after="40"/>
            </w:pPr>
            <w:r>
              <w:t xml:space="preserve">Tree ensembles, neural networks</w:t>
            </w:r>
          </w:p>
        </w:tc>
        <w:tc>
          <w:p>
            <w:pPr>
              <w:jc w:val="left"/>
              <w:spacing w:after="40"/>
            </w:pPr>
            <w:r>
              <w:t xml:space="preserve">Interpretability, integration with mixed effects</w:t>
            </w:r>
          </w:p>
        </w:tc>
      </w:tr>
    </w:tbl>
    <w:p/>
    <w:p>
      <w:pPr>
        <w:pStyle w:val="Heading2"/>
      </w:pPr>
      <w:r>
        <w:t xml:space="preserve">6.2.4 Interpretability, Uncertainty, and Trust</w:t>
      </w:r>
    </w:p>
    <w:p>
      <w:pPr>
        <w:pStyle w:val="Normal"/>
      </w:pPr>
      <w:r>
        <w:t xml:space="preserve">Across the application areas surveyed in Table 6.3, a common thread emerges that transcends the specific method employed. Because pharmacodynamic models frequently inform decisions with direct consequences for patient safety, the interpretability and reliability of AI-based approaches assume an importance that exceeds their role in many other machine learning applications. A dose recommendation that cannot be explained is difficult to trust and difficult to defend, and clinicians reasonably resist ceding judgement to opaque systems [43]. This has stimulated intense interest in explainable machine learning methods that render the reasoning of complex models more transparent, whether by attributing predictions to specific input features, by identifying representative examples that drive a prediction, or by approximating the behaviour of a complex model with a simpler interpretable surrogate in the neighbourhood of a particular case [44].</w:t>
      </w:r>
    </w:p>
    <w:p>
      <w:pPr>
        <w:pStyle w:val="Normal"/>
      </w:pPr>
      <w:r>
        <w:t xml:space="preserve">Equally important is the honest quantification of uncertainty. A pharmacodynamic model that reports a predicted effect without indicating its confidence provides an incomplete and potentially dangerous basis for decision-making, especially for patients or exposures that lie outside the range well represented in the training data [45]. Probabilistic and Bayesian methods, ensemble-based uncertainty estimation, and conformal prediction techniques that provide statistically valid confidence intervals are all being adapted to pharmacodynamic settings [46]. The combination of interpretability and calibrated uncertainty is increasingly viewed not as an optional refinement but as a prerequisite for the responsible clinical deployment of AI-based pharmacodynamic models, and regulatory bodies have begun to articulate expectations along these lines [47].</w:t>
      </w:r>
    </w:p>
    <w:p>
      <w:pPr>
        <w:pStyle w:val="Normal"/>
      </w:pPr>
      <w:r>
        <w:t xml:space="preserve">A subtle but important point is that interpretability and predictive accuracy need not be in conflict, and the widespread assumption that they are represents a false dichotomy in many pharmacological settings. For structured, tabular pharmacodynamic data of the kind commonly encountered in clinical pharmacology, an inherently interpretable model frequently matches the accuracy of a more opaque one, so that the interpretability comes at little or no cost in performance [43]. Where a complex model is genuinely necessary, post hoc explanation methods can render its behaviour intelligible, but such explanations are approximations of the model's reasoning rather than the reasoning itself, and they can be misleading if relied upon uncritically. This has led a number of authors to argue that, for high-stakes decisions such as those in dosing and safety assessment, models that are interpretable by construction should be preferred wherever they can achieve adequate accuracy, reserving opaque models with post hoc explanation for cases where the performance gap is both real and material [43]. The debate is far from settled, but its very existence reflects the seriousness with which the clinical pharmacology community regards the responsibility that accompanies models influencing patient care.</w:t>
      </w:r>
    </w:p>
    <w:p>
      <w:pPr>
        <w:pStyle w:val="Heading1"/>
      </w:pPr>
      <w:r>
        <w:t xml:space="preserve">6.3 Physiologically Based Pharmacokinetic and AI Hybrid Models</w:t>
      </w:r>
    </w:p>
    <w:p>
      <w:pPr>
        <w:pStyle w:val="Heading2"/>
      </w:pPr>
      <w:r>
        <w:t xml:space="preserve">6.3.1 Principles of Physiologically Based Pharmacokinetic Modelling</w:t>
      </w:r>
    </w:p>
    <w:p>
      <w:pPr>
        <w:pStyle w:val="Normal"/>
      </w:pPr>
      <w:r>
        <w:t xml:space="preserve">Physiologically based pharmacokinetic modelling represents the mechanistic apex of quantitative pharmacokinetics. Rather than describing the body with a small number of abstract compartments, a PBPK model constructs an explicit mathematical representation of the organism in which individual tissues and organs are depicted as compartments connected by blood flow, each parameterised with physiological quantities such as organ volume, blood perfusion rate, and tissue composition [2]. Drug-specific parameters — partition coefficients describing the distribution of drug between tissue and blood, and the kinetic constants of metabolic and transport processes — are combined with this physiological scaffold to predict the concentration–time profile of a drug in plasma and in individual tissues. The great strength of this approach is its mechanistic transparency and its capacity for extrapolation: because the model is built from measurable physiological and biochemical quantities, it can in principle predict pharmacokinetics under conditions never directly studied, such as in a paediatric population, in patients with organ impairment, or in the presence of a drug–drug interaction [1].</w:t>
      </w:r>
    </w:p>
    <w:p>
      <w:pPr>
        <w:pStyle w:val="Normal"/>
      </w:pPr>
      <w:r>
        <w:t xml:space="preserve">This extrapolative capacity has made PBPK modelling an increasingly important tool in drug development and regulatory decision-making, notably for predicting drug–drug interactions and for informing dosing in special populations where clinical trials are difficult to conduct [16]. Regulatory agencies now routinely receive and evaluate PBPK analyses in support of labelling decisions, a level of acceptance that reflects the confidence engendered by the models' mechanistic foundations [47]. Yet PBPK modelling is not without limitations. The construction of a reliable model demands extensive input data, some of which — particularly parameters describing tissue partitioning and the kinetics of specific transporters and enzymes — are difficult to measure and are often estimated through in vitro to in vivo extrapolation that introduces its own uncertainties [17].</w:t>
      </w:r>
    </w:p>
    <w:p>
      <w:pPr>
        <w:pStyle w:val="Normal"/>
      </w:pPr>
      <w:r>
        <w:t xml:space="preserve">The physiological scaffold of a PBPK model, comprising organ volumes, blood flows, and tissue compositions, is comparatively well characterised and can be adjusted in principled ways to represent different populations, disease states, and life stages. It is the drug-specific parameters, rather than this physiological infrastructure, that most often limit the accuracy of a PBPK prediction. When a compound distributes into tissues in a manner that the standard partitioning equations fail to anticipate, or when it is a substrate for a transporter whose expression and kinetics are poorly characterised, the mechanistic prediction can diverge markedly from observation despite the soundness of the underlying physiological structure [15]. This localisation of uncertainty in the drug-specific inputs, rather than in the physiological framework, is precisely what makes machine learning such a natural partner for PBPK modelling, because it identifies exactly which parameters would benefit most from improved data-driven prediction [16].</w:t>
      </w:r>
    </w:p>
    <w:p>
      <w:pPr>
        <w:pStyle w:val="Heading2"/>
      </w:pPr>
      <w:r>
        <w:t xml:space="preserve">6.3.2 The Rationale for Hybrid Models</w:t>
      </w:r>
    </w:p>
    <w:p>
      <w:pPr>
        <w:pStyle w:val="Normal"/>
      </w:pPr>
      <w:r>
        <w:t xml:space="preserve">The complementary strengths and weaknesses of mechanistic PBPK modelling and data-driven machine learning create a compelling rationale for their integration. PBPK models offer interpretability, physiological grounding, and extrapolative capacity but require parameters that are hard to obtain and rest on structural assumptions that may not fully capture reality. Machine learning models excel at learning complex relationships from data and at predicting exactly those difficult parameters, but they lack mechanistic grounding and extrapolate poorly beyond their training data [3]. A hybrid approach that couples the two aims to secure the benefits of each while mitigating their respective shortcomings, and this synthesis has emerged as one of the most active and promising frontiers in computational pharmacology [31]. Table 6.4 delineates several distinct strategies by which machine learning and PBPK modelling can be combined, each addressing a different aspect of the modelling problem.</w:t>
      </w:r>
    </w:p>
    <w:p>
      <w:pPr>
        <w:pStyle w:val="TableCaption"/>
      </w:pPr>
      <w:r>
        <w:t xml:space="preserve">Table 6.4. Strategies for integrating machine learning with physiologically based pharmacokinetic models.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shd w:val="clear" w:color="auto" w:fill="D9E2F3"/>
          </w:tcPr>
          <w:p>
            <w:pPr>
              <w:jc w:val="left"/>
              <w:spacing w:after="40"/>
            </w:pPr>
            <w:r>
              <w:rPr>
                <w:b/>
              </w:rPr>
              <w:t xml:space="preserve">Integration strategy</w:t>
            </w:r>
          </w:p>
        </w:tc>
        <w:tc>
          <w:tcPr>
            <w:shd w:val="clear" w:color="auto" w:fill="D9E2F3"/>
          </w:tcPr>
          <w:p>
            <w:pPr>
              <w:jc w:val="left"/>
              <w:spacing w:after="40"/>
            </w:pPr>
            <w:r>
              <w:rPr>
                <w:b/>
              </w:rPr>
              <w:t xml:space="preserve">Description</w:t>
            </w:r>
          </w:p>
        </w:tc>
        <w:tc>
          <w:tcPr>
            <w:shd w:val="clear" w:color="auto" w:fill="D9E2F3"/>
          </w:tcPr>
          <w:p>
            <w:pPr>
              <w:jc w:val="left"/>
              <w:spacing w:after="40"/>
            </w:pPr>
            <w:r>
              <w:rPr>
                <w:b/>
              </w:rPr>
              <w:t xml:space="preserve">Primary benefit</w:t>
            </w:r>
          </w:p>
        </w:tc>
      </w:tr>
      <w:tr>
        <w:tc>
          <w:p>
            <w:pPr>
              <w:jc w:val="left"/>
              <w:spacing w:after="40"/>
            </w:pPr>
            <w:r>
              <w:t xml:space="preserve">Parameter prediction</w:t>
            </w:r>
          </w:p>
        </w:tc>
        <w:tc>
          <w:p>
            <w:pPr>
              <w:jc w:val="left"/>
              <w:spacing w:after="40"/>
            </w:pPr>
            <w:r>
              <w:t xml:space="preserve">ML predicts drug-specific inputs such as partition coefficients and clearance</w:t>
            </w:r>
          </w:p>
        </w:tc>
        <w:tc>
          <w:p>
            <w:pPr>
              <w:jc w:val="left"/>
              <w:spacing w:after="40"/>
            </w:pPr>
            <w:r>
              <w:t xml:space="preserve">Reduces reliance on scarce experimental data</w:t>
            </w:r>
          </w:p>
        </w:tc>
      </w:tr>
      <w:tr>
        <w:tc>
          <w:p>
            <w:pPr>
              <w:jc w:val="left"/>
              <w:spacing w:after="40"/>
            </w:pPr>
            <w:r>
              <w:t xml:space="preserve">Surrogate modelling</w:t>
            </w:r>
          </w:p>
        </w:tc>
        <w:tc>
          <w:p>
            <w:pPr>
              <w:jc w:val="left"/>
              <w:spacing w:after="40"/>
            </w:pPr>
            <w:r>
              <w:t xml:space="preserve">ML emulates a computationally expensive PBPK model</w:t>
            </w:r>
          </w:p>
        </w:tc>
        <w:tc>
          <w:p>
            <w:pPr>
              <w:jc w:val="left"/>
              <w:spacing w:after="40"/>
            </w:pPr>
            <w:r>
              <w:t xml:space="preserve">Enables rapid simulation and large-scale analysis</w:t>
            </w:r>
          </w:p>
        </w:tc>
      </w:tr>
      <w:tr>
        <w:tc>
          <w:p>
            <w:pPr>
              <w:jc w:val="left"/>
              <w:spacing w:after="40"/>
            </w:pPr>
            <w:r>
              <w:t xml:space="preserve">Physics-informed learning</w:t>
            </w:r>
          </w:p>
        </w:tc>
        <w:tc>
          <w:p>
            <w:pPr>
              <w:jc w:val="left"/>
              <w:spacing w:after="40"/>
            </w:pPr>
            <w:r>
              <w:t xml:space="preserve">Physiological equations constrain neural network training</w:t>
            </w:r>
          </w:p>
        </w:tc>
        <w:tc>
          <w:p>
            <w:pPr>
              <w:jc w:val="left"/>
              <w:spacing w:after="40"/>
            </w:pPr>
            <w:r>
              <w:t xml:space="preserve">Combines interpretability with data-driven flexibility</w:t>
            </w:r>
          </w:p>
        </w:tc>
      </w:tr>
      <w:tr>
        <w:tc>
          <w:p>
            <w:pPr>
              <w:jc w:val="left"/>
              <w:spacing w:after="40"/>
            </w:pPr>
            <w:r>
              <w:t xml:space="preserve">Parameter estimation</w:t>
            </w:r>
          </w:p>
        </w:tc>
        <w:tc>
          <w:p>
            <w:pPr>
              <w:jc w:val="left"/>
              <w:spacing w:after="40"/>
            </w:pPr>
            <w:r>
              <w:t xml:space="preserve">ML accelerates fitting of PBPK models to observed data</w:t>
            </w:r>
          </w:p>
        </w:tc>
        <w:tc>
          <w:p>
            <w:pPr>
              <w:jc w:val="left"/>
              <w:spacing w:after="40"/>
            </w:pPr>
            <w:r>
              <w:t xml:space="preserve">Improves efficiency of model calibration</w:t>
            </w:r>
          </w:p>
        </w:tc>
      </w:tr>
      <w:tr>
        <w:tc>
          <w:p>
            <w:pPr>
              <w:jc w:val="left"/>
              <w:spacing w:after="40"/>
            </w:pPr>
            <w:r>
              <w:t xml:space="preserve">Residual modelling</w:t>
            </w:r>
          </w:p>
        </w:tc>
        <w:tc>
          <w:p>
            <w:pPr>
              <w:jc w:val="left"/>
              <w:spacing w:after="40"/>
            </w:pPr>
            <w:r>
              <w:t xml:space="preserve">ML captures discrepancies between PBPK predictions and data</w:t>
            </w:r>
          </w:p>
        </w:tc>
        <w:tc>
          <w:p>
            <w:pPr>
              <w:jc w:val="left"/>
              <w:spacing w:after="40"/>
            </w:pPr>
            <w:r>
              <w:t xml:space="preserve">Corrects systematic mechanistic error</w:t>
            </w:r>
          </w:p>
        </w:tc>
      </w:tr>
    </w:tbl>
    <w:p/>
    <w:p>
      <w:pPr>
        <w:pStyle w:val="Heading2"/>
      </w:pPr>
      <w:r>
        <w:t xml:space="preserve">6.3.3 Machine Learning for PBPK Parameter Prediction</w:t>
      </w:r>
    </w:p>
    <w:p>
      <w:pPr>
        <w:pStyle w:val="Normal"/>
      </w:pPr>
      <w:r>
        <w:t xml:space="preserve">The most mature and widely adopted mode of integration uses machine learning to predict the drug-specific parameters that a PBPK model requires as inputs. Tissue-to-plasma partition coefficients, which govern the distribution of drug throughout the body, have traditionally been estimated using semi-mechanistic equations that relate partitioning to lipophilicity and other physicochemical properties, but these equations perform inconsistently across chemical classes [15]. Machine learning models trained to predict partition coefficients directly from molecular structure offer an alternative that can, when adequate training data exist, achieve improved accuracy and thereby enhance the fidelity of the overall PBPK simulation [8]. These parameter-prediction models are themselves products of exactly the structure-to-property learning pipeline depicted in Figure 6.1, applied here not to a directly observable ADME endpoint but to a mechanistic model input. Similarly, the prediction of intrinsic hepatic clearance and of the parameters governing active transport — quantities that are notoriously difficult both to measure and to extrapolate from in vitro systems — represents an area where machine learning inputs can materially improve PBPK model performance [17].</w:t>
      </w:r>
    </w:p>
    <w:p>
      <w:pPr>
        <w:pStyle w:val="Normal"/>
      </w:pPr>
      <w:r>
        <w:t xml:space="preserve">This mode of integration is attractive precisely because it preserves the mechanistic structure of the PBPK model, which continues to provide the interpretable, extrapolable framework, while addressing the model's most persistent weakness, namely the scarcity and unreliability of certain input parameters [16]. The machine learning component operates transparently as a parameter estimator, and its predictions can be scrutinised and, where necessary, overridden by experimental measurement. Figure 6.3 presents a schematic of a hybrid PBPK–machine learning architecture in which structure-based machine learning models supply drug-specific parameters to a physiologically structured system of differential equations, which in turn generates concentration–time predictions.</w:t>
      </w:r>
    </w:p>
    <w:p>
      <w:pPr>
        <w:pStyle w:val="FigureImage"/>
      </w:pPr>
      <w:r>
        <w:drawing>
          <wp:inline xmlns:wp="http://schemas.openxmlformats.org/drawingml/2006/wordprocessingDrawing" distT="0" distB="0" distL="0" distR="0">
            <wp:extent cx="5486400" cy="3392905"/>
            <wp:effectExtent l="0" t="0" r="0" b="0"/>
            <wp:docPr id="13" name="Figure_6_3_Hybrid_PBP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_6_3_Hybrid_PBPK.png"/>
                    <pic:cNvPicPr/>
                  </pic:nvPicPr>
                  <pic:blipFill>
                    <a:blip r:embed="rId13"/>
                    <a:stretch>
                      <a:fillRect/>
                    </a:stretch>
                  </pic:blipFill>
                  <pic:spPr>
                    <a:xfrm>
                      <a:off x="0" y="0"/>
                      <a:ext cx="5486400" cy="3392905"/>
                    </a:xfrm>
                    <a:prstGeom prst="rect">
                      <a:avLst/>
                    </a:prstGeom>
                  </pic:spPr>
                </pic:pic>
              </a:graphicData>
            </a:graphic>
          </wp:inline>
        </w:drawing>
      </w:r>
    </w:p>
    <w:p>
      <w:pPr>
        <w:pStyle w:val="FigureCaption"/>
      </w:pPr>
      <w:r>
        <w:t xml:space="preserve">Figure 6.3. Schematic of a hybrid PBPK–machine learning framework in which learned models predict drug-specific parameters that feed a physiologically structured pharmacokinetic model.</w:t>
      </w:r>
    </w:p>
    <w:p>
      <w:pPr>
        <w:pStyle w:val="Heading2"/>
      </w:pPr>
      <w:r>
        <w:t xml:space="preserve">6.3.4 Physics-Informed and Surrogate Approaches</w:t>
      </w:r>
    </w:p>
    <w:p>
      <w:pPr>
        <w:pStyle w:val="Normal"/>
      </w:pPr>
      <w:r>
        <w:t xml:space="preserve">Beyond parameter prediction, more deeply integrated hybrid architectures are being developed. Whereas the parameter-prediction strategy of Figure 6.3 keeps the mechanistic model and the learned components cleanly separated, these deeper architectures interleave them. Physics-informed neural networks embed the governing differential equations of the pharmacokinetic system directly into the training objective of a neural network, so that the network is penalised not only for departing from observed data but also for violating the physiological conservation laws that the PBPK equations express [34]. This coupling constrains the flexible neural network to produce solutions consistent with known physiology, improving data efficiency and extrapolation while retaining the capacity to fit complex data [31]. Such approaches are conceptually appealing because they encode mechanistic knowledge as a soft constraint rather than a rigid structure, allowing the model to deviate from the idealised equations where the data demand it while remaining anchored to physiological plausibility elsewhere [7].</w:t>
      </w:r>
    </w:p>
    <w:p>
      <w:pPr>
        <w:pStyle w:val="Normal"/>
      </w:pPr>
      <w:r>
        <w:t xml:space="preserve">A distinct but related strategy employs machine learning as a surrogate, or emulator, for a computationally expensive PBPK model. Full PBPK simulations, particularly when embedded within population analyses that require thousands or millions of individual simulations, can be computationally demanding, and a machine learning model trained to reproduce the input–output behaviour of the PBPK model can perform the same mapping orders of magnitude faster [12]. Such surrogates enable applications that would otherwise be computationally prohibitive, including exhaustive sensitivity analyses, large-scale virtual population simulations, and real-time dose adjustment [39]. The surrogate does not replace the mechanistic model but accelerates its use, and its predictions can be validated against the full model wherever precision is critical. The distinction between these deeply integrated approaches and the simpler parameter-prediction strategy of the previous section is one of degree rather than kind: in every case the aim is to let mechanistic structure and learned flexibility each contribute what it does best, and the appropriate balance depends on the quantity of data, the computational budget, and the level of interpretability the intended application demands [3].</w:t>
      </w:r>
    </w:p>
    <w:p>
      <w:pPr>
        <w:pStyle w:val="Normal"/>
      </w:pPr>
      <w:r>
        <w:t xml:space="preserve">The residual-modelling strategy summarised in Table 6.4 deserves brief elaboration because it offers a particularly transparent form of integration. Here the mechanistic PBPK model is fitted first, and a machine learning model is then trained to predict the systematic discrepancies between the mechanistic predictions and the observed data. The mechanistic model continues to provide the primary, interpretable account of the pharmacokinetics, while the learned residual correction absorbs whatever systematic error remains, whether it arises from a mis-specified tissue-partitioning relationship or from an unmodelled physiological process. Because the correction is layered on top of an interpretable base model, its magnitude directly signals where and to what extent the mechanistic model is failing, providing a diagnostic that can guide subsequent refinement of the underlying physiology [31].</w:t>
      </w:r>
    </w:p>
    <w:p>
      <w:pPr>
        <w:pStyle w:val="Heading2"/>
      </w:pPr>
      <w:r>
        <w:t xml:space="preserve">6.3.5 Validation, Regulatory Considerations, and Outlook</w:t>
      </w:r>
    </w:p>
    <w:p>
      <w:pPr>
        <w:pStyle w:val="Normal"/>
      </w:pPr>
      <w:r>
        <w:t xml:space="preserve">The introduction of machine learning components into PBPK models raises validation and regulatory questions that the pharmacometrics community is actively working to address. The mechanistic transparency that has earned PBPK modelling regulatory acceptance is partially compromised when opaque machine learning components are introduced, and demonstrating that a hybrid model is reliable across the full range of intended use requires careful, structured evidence [43]. Regulatory frameworks for model-informed drug development are evolving to accommodate these hybrid approaches, with emphasis on establishing the credibility of a model in proportion to the risk associated with the decisions it informs [47]. A hybrid model used to generate an early internal hypothesis is held to a different standard than one intended to support a regulatory labelling claim, and articulating fit-for-purpose validation criteria across this spectrum is an ongoing effort [22].</w:t>
      </w:r>
    </w:p>
    <w:p>
      <w:pPr>
        <w:pStyle w:val="Normal"/>
      </w:pPr>
      <w:r>
        <w:t xml:space="preserve">Looking ahead, the trajectory of hybrid PBPK–AI modelling points toward increasingly seamless integration of mechanistic and data-driven components. As curated pharmacokinetic datasets grow, as molecular representation learning matures, and as physics-informed learning techniques become more robust, the boundary between mechanistic and statistical modelling is likely to blur further [26]. The enduring lesson, echoed across all three domains examined in this chapter, is that AI is most powerful in pharmacokinetics and pharmacodynamics not when it displaces the accumulated mechanistic knowledge of the discipline but when it is embedded within that knowledge, augmenting the reach of established theory while remaining answerable to physiological plausibility, honest uncertainty quantification, and the safety-critical demands of clinical application [42]. The convergence of these threads promises quantitative clinical pharmacology that is at once more predictive, more individualised, and more efficient than either mechanistic or data-driven modelling could achieve alone.</w:t>
      </w:r>
    </w:p>
    <w:p>
      <w:pPr>
        <w:pStyle w:val="Heading1"/>
      </w:pPr>
      <w:r>
        <w:t xml:space="preserve">References</w:t>
      </w:r>
    </w:p>
    <w:p>
      <w:pPr>
        <w:pStyle w:val="References"/>
      </w:pPr>
      <w:r>
        <w:t xml:space="preserve">[1] Kola, I., &amp; Landis, J. (2004). Can the pharmaceutical industry reduce attrition rates? Nature Reviews Drug Discovery, 3(8), 711–715.</w:t>
      </w:r>
    </w:p>
    <w:p>
      <w:pPr>
        <w:pStyle w:val="References"/>
      </w:pPr>
      <w:r>
        <w:t xml:space="preserve">[2] Jones, H., &amp; Rowland-Yeo, K. (2013). Basic concepts in physiologically based pharmacokinetic modeling in drug discovery and development. CPT: Pharmacometrics &amp; Systems Pharmacology, 2(8), e63.</w:t>
      </w:r>
    </w:p>
    <w:p>
      <w:pPr>
        <w:pStyle w:val="References"/>
      </w:pPr>
      <w:r>
        <w:t xml:space="preserve">[3] Vamathevan, J., Clark, D., Czodrowski, P., et al. (2019). Applications of machine learning in drug discovery and development. Nature Reviews Drug Discovery, 18(6), 463–477.</w:t>
      </w:r>
    </w:p>
    <w:p>
      <w:pPr>
        <w:pStyle w:val="References"/>
      </w:pPr>
      <w:r>
        <w:t xml:space="preserve">[4] Cherkasov, A., Muratov, E. N., Fourches, D., et al. (2014). QSAR modeling: Where have you been? Where are you going to? Journal of Medicinal Chemistry, 57(12), 4977–5010.</w:t>
      </w:r>
    </w:p>
    <w:p>
      <w:pPr>
        <w:pStyle w:val="References"/>
      </w:pPr>
      <w:r>
        <w:t xml:space="preserve">[5] Todeschini, R., &amp; Consonni, V. (2009). Molecular Descriptors for Chemoinformatics. Wiley-VCH.</w:t>
      </w:r>
    </w:p>
    <w:p>
      <w:pPr>
        <w:pStyle w:val="References"/>
      </w:pPr>
      <w:r>
        <w:t xml:space="preserve">[6] Rogers, D., &amp; Hahn, M. (2010). Extended-connectivity fingerprints. Journal of Chemical Information and Modeling, 50(5), 742–754.</w:t>
      </w:r>
    </w:p>
    <w:p>
      <w:pPr>
        <w:pStyle w:val="References"/>
      </w:pPr>
      <w:r>
        <w:t xml:space="preserve">[7] Gilmer, J., Schoenholz, S. S., Riley, P. F., et al. (2017). Neural message passing for quantum chemistry. Proceedings of the 34th International Conference on Machine Learning, 1263–1272.</w:t>
      </w:r>
    </w:p>
    <w:p>
      <w:pPr>
        <w:pStyle w:val="References"/>
      </w:pPr>
      <w:r>
        <w:t xml:space="preserve">[8] Yang, K., Swanson, K., Jin, W., et al. (2019). Analyzing learned molecular representations for property prediction. Journal of Chemical Information and Modeling, 59(8), 3370–3388.</w:t>
      </w:r>
    </w:p>
    <w:p>
      <w:pPr>
        <w:pStyle w:val="References"/>
      </w:pPr>
      <w:r>
        <w:t xml:space="preserve">[9] Weininger, D. (1988). SMILES, a chemical language and information system. Journal of Chemical Information and Computer Sciences, 28(1), 31–36.</w:t>
      </w:r>
    </w:p>
    <w:p>
      <w:pPr>
        <w:pStyle w:val="References"/>
      </w:pPr>
      <w:r>
        <w:t xml:space="preserve">[10] Jiang, D., Wu, Z., Hsieh, C. Y., et al. (2021). Could graph neural networks learn better molecular representation for drug discovery? Journal of Cheminformatics, 13(1), 12.</w:t>
      </w:r>
    </w:p>
    <w:p>
      <w:pPr>
        <w:pStyle w:val="References"/>
      </w:pPr>
      <w:r>
        <w:t xml:space="preserve">[11] Svetnik, V., Liaw, A., Tong, C., et al. (2003). Random forest: A classification and regression tool for compound classification and QSAR modeling. Journal of Chemical Information and Computer Sciences, 43(6), 1947–1958.</w:t>
      </w:r>
    </w:p>
    <w:p>
      <w:pPr>
        <w:pStyle w:val="References"/>
      </w:pPr>
      <w:r>
        <w:t xml:space="preserve">[12] Chen, T., &amp; Guestrin, C. (2016). XGBoost: A scalable tree boosting system. Proceedings of the 22nd ACM SIGKDD International Conference on Knowledge Discovery and Data Mining, 785–794.</w:t>
      </w:r>
    </w:p>
    <w:p>
      <w:pPr>
        <w:pStyle w:val="References"/>
      </w:pPr>
      <w:r>
        <w:t xml:space="preserve">[13] Ramsundar, B., Kearnes, S., Riley, P., et al. (2015). Massively multitask networks for drug discovery. arXiv preprint arXiv:1502.02072.</w:t>
      </w:r>
    </w:p>
    <w:p>
      <w:pPr>
        <w:pStyle w:val="References"/>
      </w:pPr>
      <w:r>
        <w:t xml:space="preserve">[14] Wu, Z., Ramsundar, B., Feinberg, E. N., et al. (2018). MoleculeNet: A benchmark for molecular machine learning. Chemical Science, 9(2), 513–530.</w:t>
      </w:r>
    </w:p>
    <w:p>
      <w:pPr>
        <w:pStyle w:val="References"/>
      </w:pPr>
      <w:r>
        <w:t xml:space="preserve">[15] Lombardo, F., Berellini, G., &amp; Obach, R. S. (2018). Trend analysis of a database of intravenous pharmacokinetic parameters in humans. Drug Metabolism and Disposition, 46(11), 1466–1477.</w:t>
      </w:r>
    </w:p>
    <w:p>
      <w:pPr>
        <w:pStyle w:val="References"/>
      </w:pPr>
      <w:r>
        <w:t xml:space="preserve">[16] Zhao, P., Zhang, L., Grillo, J. A., et al. (2011). Applications of physiologically based pharmacokinetic modeling in regulatory review. Clinical Pharmacology &amp; Therapeutics, 89(2), 259–267.</w:t>
      </w:r>
    </w:p>
    <w:p>
      <w:pPr>
        <w:pStyle w:val="References"/>
      </w:pPr>
      <w:r>
        <w:t xml:space="preserve">[17] Obach, R. S. (2011). Predicting clearance in humans from in vitro data. Current Topics in Medicinal Chemistry, 11(4), 334–339.</w:t>
      </w:r>
    </w:p>
    <w:p>
      <w:pPr>
        <w:pStyle w:val="References"/>
      </w:pPr>
      <w:r>
        <w:t xml:space="preserve">[18] Sheridan, R. P. (2013). Time-split cross-validation as a method for estimating the goodness of prospective prediction. Journal of Chemical Information and Modeling, 53(4), 783–790.</w:t>
      </w:r>
    </w:p>
    <w:p>
      <w:pPr>
        <w:pStyle w:val="References"/>
      </w:pPr>
      <w:r>
        <w:t xml:space="preserve">[19] Kramer, C., Kalliokoski, T., Gedeck, P., &amp; Vulpetti, A. (2012). The experimental uncertainty of heterogeneous public activity data. Journal of Medicinal Chemistry, 55(11), 5165–5173.</w:t>
      </w:r>
    </w:p>
    <w:p>
      <w:pPr>
        <w:pStyle w:val="References"/>
      </w:pPr>
      <w:r>
        <w:t xml:space="preserve">[20] Huang, K., Fu, T., Gao, W., et al. (2021). Therapeutics Data Commons: Machine learning datasets and tasks for drug discovery. NeurIPS Datasets and Benchmarks.</w:t>
      </w:r>
    </w:p>
    <w:p>
      <w:pPr>
        <w:pStyle w:val="References"/>
      </w:pPr>
      <w:r>
        <w:t xml:space="preserve">[21] Bender, A., &amp; Cortés-Ciriano, I. (2021). Artificial intelligence in drug discovery: What is realistic, what are illusions? Drug Discovery Today, 26(2), 511–524.</w:t>
      </w:r>
    </w:p>
    <w:p>
      <w:pPr>
        <w:pStyle w:val="References"/>
      </w:pPr>
      <w:r>
        <w:t xml:space="preserve">[22] Walters, W. P., &amp; Barzilay, R. (2021). Critical assessment of AI in drug discovery. Expert Opinion on Drug Discovery, 16(9), 937–947.</w:t>
      </w:r>
    </w:p>
    <w:p>
      <w:pPr>
        <w:pStyle w:val="References"/>
      </w:pPr>
      <w:r>
        <w:t xml:space="preserve">[23] Tropsha, A. (2010). Best practices for QSAR model development, validation, and exploitation. Molecular Informatics, 29(6-7), 476–488.</w:t>
      </w:r>
    </w:p>
    <w:p>
      <w:pPr>
        <w:pStyle w:val="References"/>
      </w:pPr>
      <w:r>
        <w:t xml:space="preserve">[24] Segall, M. D. (2012). Multi-parameter optimization: Identifying high quality compounds with a balance of properties. Current Pharmaceutical Design, 18(9), 1292–1310.</w:t>
      </w:r>
    </w:p>
    <w:p>
      <w:pPr>
        <w:pStyle w:val="References"/>
      </w:pPr>
      <w:r>
        <w:t xml:space="preserve">[25] Schneider, P., Walters, W. P., Plowright, A. T., et al. (2020). Rethinking drug design in the artificial intelligence era. Nature Reviews Drug Discovery, 19(5), 353–364.</w:t>
      </w:r>
    </w:p>
    <w:p>
      <w:pPr>
        <w:pStyle w:val="References"/>
      </w:pPr>
      <w:r>
        <w:t xml:space="preserve">[26] Stokes, J. M., Yang, K., Swanson, K., et al. (2020). A deep learning approach to antibiotic discovery. Cell, 180(4), 688–702.</w:t>
      </w:r>
    </w:p>
    <w:p>
      <w:pPr>
        <w:pStyle w:val="References"/>
      </w:pPr>
      <w:r>
        <w:t xml:space="preserve">[27] Waring, M. J., Arrowsmith, J., Leach, A. R., et al. (2015). An analysis of the attrition of drug candidates from four major pharmaceutical companies. Nature Reviews Drug Discovery, 14(7), 475–486.</w:t>
      </w:r>
    </w:p>
    <w:p>
      <w:pPr>
        <w:pStyle w:val="References"/>
      </w:pPr>
      <w:r>
        <w:t xml:space="preserve">[28] Mervin, L. H., Johansson, S., Semenova, E., et al. (2021). Uncertainty quantification in drug design. Drug Discovery Today, 26(2), 474–489.</w:t>
      </w:r>
    </w:p>
    <w:p>
      <w:pPr>
        <w:pStyle w:val="References"/>
      </w:pPr>
      <w:r>
        <w:t xml:space="preserve">[29] Holford, N. H., &amp; Sheiner, L. B. (1981). Understanding the dose-effect relationship. Clinical Pharmacokinetics, 6(6), 429–453.</w:t>
      </w:r>
    </w:p>
    <w:p>
      <w:pPr>
        <w:pStyle w:val="References"/>
      </w:pPr>
      <w:r>
        <w:t xml:space="preserve">[30] Dayneka, N. L., Garg, V., &amp; Jusko, W. J. (1993). Comparison of four basic models of indirect pharmacodynamic responses. Journal of Pharmacokinetics and Biopharmaceutics, 21(4), 457–478.</w:t>
      </w:r>
    </w:p>
    <w:p>
      <w:pPr>
        <w:pStyle w:val="References"/>
      </w:pPr>
      <w:r>
        <w:t xml:space="preserve">[31] Lu, J., Deng, K., Zhang, X., et al. (2021). Neural-ODE for pharmacokinetics modeling and its advantage to alternative machine learning models. iScience, 24(7), 102804.</w:t>
      </w:r>
    </w:p>
    <w:p>
      <w:pPr>
        <w:pStyle w:val="References"/>
      </w:pPr>
      <w:r>
        <w:t xml:space="preserve">[32] Sheiner, L. B., &amp; Steimer, J. L. (2000). Pharmacokinetic/pharmacodynamic modeling in drug development. Annual Review of Pharmacology and Toxicology, 40, 67–95.</w:t>
      </w:r>
    </w:p>
    <w:p>
      <w:pPr>
        <w:pStyle w:val="References"/>
      </w:pPr>
      <w:r>
        <w:t xml:space="preserve">[33] Koch, G., Pfister, M., Daunhawer, I., et al. (2020). Pharmacometrics and machine learning partner to advance clinical data analysis. Clinical Pharmacology &amp; Therapeutics, 107(4), 926–933.</w:t>
      </w:r>
    </w:p>
    <w:p>
      <w:pPr>
        <w:pStyle w:val="References"/>
      </w:pPr>
      <w:r>
        <w:t xml:space="preserve">[34] Raissi, M., Perdikaris, P., &amp; Karniadakis, G. E. (2019). Physics-informed neural networks. Journal of Computational Physics, 378, 686–707.</w:t>
      </w:r>
    </w:p>
    <w:p>
      <w:pPr>
        <w:pStyle w:val="References"/>
      </w:pPr>
      <w:r>
        <w:t xml:space="preserve">[35] Rasmussen, C. E., &amp; Williams, C. K. I. (2006). Gaussian Processes for Machine Learning. MIT Press.</w:t>
      </w:r>
    </w:p>
    <w:p>
      <w:pPr>
        <w:pStyle w:val="References"/>
      </w:pPr>
      <w:r>
        <w:t xml:space="preserve">[36] Mould, D. R., &amp; Upton, R. N. (2013). Basic concepts in population modeling, simulation, and model-based drug development. CPT: Pharmacometrics &amp; Systems Pharmacology, 2(4), e38.</w:t>
      </w:r>
    </w:p>
    <w:p>
      <w:pPr>
        <w:pStyle w:val="References"/>
      </w:pPr>
      <w:r>
        <w:t xml:space="preserve">[37] Janssen, A., Bennis, F. C., &amp; Mathôt, R. A. A. (2022). Adoption of machine learning in pharmacometrics: An overview of recent implementations. Pharmaceutics, 14(9), 1814.</w:t>
      </w:r>
    </w:p>
    <w:p>
      <w:pPr>
        <w:pStyle w:val="References"/>
      </w:pPr>
      <w:r>
        <w:t xml:space="preserve">[38] Darwich, A. S., Ogungbenro, K., Vinks, A. A., et al. (2017). Why has model-informed precision dosing not yet become common clinical reality? Clinical Pharmacology &amp; Therapeutics, 101(5), 646–656.</w:t>
      </w:r>
    </w:p>
    <w:p>
      <w:pPr>
        <w:pStyle w:val="References"/>
      </w:pPr>
      <w:r>
        <w:t xml:space="preserve">[39] Keutzer, L., You, H., Farnoud, A., et al. (2022). Machine learning and pharmacometrics for prediction of pharmacokinetic data. Pharmaceutics, 14(8), 1530.</w:t>
      </w:r>
    </w:p>
    <w:p>
      <w:pPr>
        <w:pStyle w:val="References"/>
      </w:pPr>
      <w:r>
        <w:t xml:space="preserve">[40] Ribba, B., Dudal, S., Lavé, T., &amp; Peck, R. W. (2020). Model-informed artificial intelligence: Reinforcement learning for precision dosing. Clinical Pharmacology &amp; Therapeutics, 107(4), 853–857.</w:t>
      </w:r>
    </w:p>
    <w:p>
      <w:pPr>
        <w:pStyle w:val="References"/>
      </w:pPr>
      <w:r>
        <w:t xml:space="preserve">[41] Komorowski, M., Celi, L. A., Badawi, O., et al. (2018). The artificial intelligence clinician learns optimal treatment strategies for sepsis. Nature Medicine, 24(11), 1716–1720.</w:t>
      </w:r>
    </w:p>
    <w:p>
      <w:pPr>
        <w:pStyle w:val="References"/>
      </w:pPr>
      <w:r>
        <w:t xml:space="preserve">[42] Peck, R. W. (2019). The right dose for every patient: A key step for precision medicine. Nature Reviews Drug Discovery, 15(3), 145–146.</w:t>
      </w:r>
    </w:p>
    <w:p>
      <w:pPr>
        <w:pStyle w:val="References"/>
      </w:pPr>
      <w:r>
        <w:t xml:space="preserve">[43] Rudin, C. (2019). Stop explaining black box machine learning models for high stakes decisions. Nature Machine Intelligence, 1(5), 206–215.</w:t>
      </w:r>
    </w:p>
    <w:p>
      <w:pPr>
        <w:pStyle w:val="References"/>
      </w:pPr>
      <w:r>
        <w:t xml:space="preserve">[44] Lundberg, S. M., &amp; Lee, S. I. (2017). A unified approach to interpreting model predictions. Advances in Neural Information Processing Systems, 30, 4765–4774.</w:t>
      </w:r>
    </w:p>
    <w:p>
      <w:pPr>
        <w:pStyle w:val="References"/>
      </w:pPr>
      <w:r>
        <w:t xml:space="preserve">[45] Ghahramani, Z. (2015). Probabilistic machine learning and artificial intelligence. Nature, 521(7553), 452–459.</w:t>
      </w:r>
    </w:p>
    <w:p>
      <w:pPr>
        <w:pStyle w:val="References"/>
      </w:pPr>
      <w:r>
        <w:t xml:space="preserve">[46] Angelopoulos, A. N., &amp; Bates, S. (2023). Conformal prediction: A gentle introduction. Foundations and Trends in Machine Learning, 16(4), 494–591.</w:t>
      </w:r>
    </w:p>
    <w:p>
      <w:pPr>
        <w:pStyle w:val="References"/>
      </w:pPr>
      <w:r>
        <w:t xml:space="preserve">[47] Madabushi, R., Wang, Y., &amp; Zineh, I. (2019). A holistic and integrative approach to model-informed drug development. Clinical Pharmacology &amp; Therapeutics, 105(1), 28–31.</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keepNext/>
    </w:pPr>
    <w:rPr>
      <w:b/>
      <w:sz w:val="30"/>
      <w:szCs w:val="30"/>
    </w:rPr>
  </w:style>
  <w:style w:type="paragraph" w:styleId="Heading2">
    <w:name w:val="heading 2"/>
    <w:basedOn w:val="Normal"/>
    <w:pPr>
      <w:spacing w:before="240" w:after="120"/>
      <w:jc w:val="left"/>
      <w:keepNext/>
    </w:pPr>
    <w:rPr>
      <w:b/>
      <w:sz w:val="26"/>
      <w:szCs w:val="26"/>
    </w:rPr>
  </w:style>
  <w:style w:type="paragraph" w:styleId="Heading3">
    <w:name w:val="heading 3"/>
    <w:basedOn w:val="Normal"/>
    <w:pPr>
      <w:spacing w:before="200" w:after="100"/>
      <w:jc w:val="left"/>
      <w:keepNext/>
    </w:pPr>
    <w:rPr>
      <w:b/>
      <w:i/>
      <w:sz w:val="24"/>
      <w:szCs w:val="24"/>
    </w:rPr>
  </w:style>
  <w:style w:type="paragraph" w:styleId="Abstract">
    <w:name w:val="Abstract"/>
    <w:basedOn w:val="Normal"/>
    <w:pPr>
      <w:ind w:left="576" w:right="576"/>
    </w:pPr>
    <w:rPr>
      <w:i/>
    </w:rPr>
  </w:style>
  <w:style w:type="paragraph" w:styleId="References">
    <w:name w:val="References"/>
    <w:basedOn w:val="Normal"/>
    <w:pPr>
      <w:ind w:left="480" w:hanging="480"/>
      <w:spacing w:after="60"/>
      <w:jc w:val="left"/>
    </w:pPr>
    <w:rPr>
      <w:sz w:val="22"/>
      <w:szCs w:val="22"/>
    </w:rPr>
  </w:style>
  <w:style w:type="paragraph" w:styleId="FigureImage">
    <w:name w:val="Figure Image"/>
    <w:basedOn w:val="Normal"/>
    <w:pPr>
      <w:jc w:val="center"/>
      <w:spacing w:before="120" w:after="60"/>
    </w:pPr>
  </w:style>
  <w:style w:type="paragraph" w:styleId="FigureCaption">
    <w:name w:val="Figure Caption"/>
    <w:basedOn w:val="Normal"/>
    <w:pPr>
      <w:jc w:val="center"/>
      <w:spacing w:before="60" w:after="240"/>
    </w:pPr>
    <w:rPr>
      <w:i/>
      <w:sz w:val="22"/>
      <w:szCs w:val="22"/>
    </w:rPr>
  </w:style>
  <w:style w:type="paragraph" w:styleId="TableCaption">
    <w:name w:val="Table Caption"/>
    <w:basedOn w:val="Normal"/>
    <w:pPr>
      <w:spacing w:before="180" w:after="60"/>
      <w:jc w:val="left"/>
    </w:pPr>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Figure_6_1_ADME_Workflow.png"/>
<Relationship Id="rId11" Type="http://schemas.openxmlformats.org/officeDocument/2006/relationships/image" Target="media/Figure_6_2_Exposure_Response.png"/>
<Relationship Id="rId12" Type="http://schemas.openxmlformats.org/officeDocument/2006/relationships/image" Target="media/Figure_6_4_Precision_Dosing.png"/>
<Relationship Id="rId13" Type="http://schemas.openxmlformats.org/officeDocument/2006/relationships/image" Target="media/Figure_6_3_Hybrid_PBPK.png"/>
</Relationships>
</file>