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Response to Reviewers</w:t>
      </w:r>
    </w:p>
    <w:p>
      <w:r>
        <w:rPr>
          <w:b/>
        </w:rPr>
        <w:t xml:space="preserve">Manuscript:</w:t>
      </w:r>
      <w:r>
        <w:t xml:space="preserve"> Investigation of the Dissimilar Weld Joint between SS2205 Duplex Stainless Steel and SA516 Carbon Steel using 309L Filler</w:t>
      </w:r>
    </w:p>
    <w:p>
      <w:r>
        <w:t xml:space="preserve">We thank the Editors and both Reviewers for their careful and constructive assessment of our manuscript. The comments have helped us correct several inconsistencies and improve the clarity of the presentation. We have addressed every point below. Reviewer comments are quoted in *italics*, followed by our response and the specific revision made. All page/line numbers refer to the revised manuscript, and changes are highlighted in the revised file.</w:t>
      </w:r>
    </w:p>
    <w:p>
      <w:pPr>
        <w:pBdr>
          <w:bottom w:val="single" w:sz="6" w:space="1" w:color="AAAAAA"/>
        </w:pBdr>
      </w:pPr>
    </w:p>
    <w:p>
      <w:pPr>
        <w:pStyle w:val="Heading2"/>
      </w:pPr>
      <w:r>
        <w:t xml:space="preserve">Reviewer 1</w:t>
      </w:r>
    </w:p>
    <w:p>
      <w:pPr>
        <w:pStyle w:val="Heading3"/>
      </w:pPr>
      <w:r>
        <w:t xml:space="preserve">Comment 1 — Inconsistent location of maximum microhardness (Table 5, Results vs. Conclusion)</w:t>
      </w:r>
    </w:p>
    <w:p>
      <w:r>
        <w:t xml:space="preserve">*"Table 5 reports an average of 372 HV for HAZ-2 along the 2205 side, and the Results section also identifies this region as having the maximum hardness. However, the Conclusion states that the highest microhardness of 372 HV occurs at HAZ-1. Please reconcile these statements and use consistent HAZ terminology throughout."*</w:t>
      </w:r>
    </w:p>
    <w:p>
      <w:r>
        <w:rPr>
          <w:b/>
        </w:rPr>
        <w:t xml:space="preserve">Response.</w:t>
      </w:r>
      <w:r>
        <w:t xml:space="preserve"> We thank the reviewer for catching this inconsistency. The correct location of the maximum microhardness is </w:t>
      </w:r>
      <w:r>
        <w:rPr>
          <w:b/>
        </w:rPr>
        <w:t xml:space="preserve">HAZ-2 on the SS2205 (duplex) side, at 372 HV</w:t>
      </w:r>
      <w:r>
        <w:t xml:space="preserve">, consistent with both Table 5 and the Results section. The statement in the Conclusion referring to "HAZ-1" was a typographical error and has been corrected.</w:t>
      </w:r>
    </w:p>
    <w:p>
      <w:r>
        <w:t xml:space="preserve">To prevent any further ambiguity, we have standardized the HAZ nomenclature throughout the manuscript as follows and added a clarifying sentence at first use:</w:t>
      </w:r>
    </w:p>
    <w:p>
      <w:pPr>
        <w:numPr>
          <w:ilvl w:val="0"/>
          <w:numId w:val="0"/>
        </w:numPr>
        <w:ind w:left="360" w:hanging="180"/>
      </w:pPr>
      <w:r>
        <w:t xml:space="preserve">•  </w:t>
      </w:r>
      <w:r>
        <w:rPr>
          <w:b/>
        </w:rPr>
        <w:t xml:space="preserve">HAZ-1</w:t>
      </w:r>
      <w:r>
        <w:t xml:space="preserve"> = heat-affected zone on the </w:t>
      </w:r>
      <w:r>
        <w:rPr>
          <w:b/>
        </w:rPr>
        <w:t xml:space="preserve">SA516 carbon-steel</w:t>
      </w:r>
      <w:r>
        <w:t xml:space="preserve"> side.</w:t>
      </w:r>
    </w:p>
    <w:p>
      <w:pPr>
        <w:numPr>
          <w:ilvl w:val="0"/>
          <w:numId w:val="0"/>
        </w:numPr>
        <w:ind w:left="360" w:hanging="180"/>
      </w:pPr>
      <w:r>
        <w:t xml:space="preserve">•  </w:t>
      </w:r>
      <w:r>
        <w:rPr>
          <w:b/>
        </w:rPr>
        <w:t xml:space="preserve">HAZ-2</w:t>
      </w:r>
      <w:r>
        <w:t xml:space="preserve"> = heat-affected zone on the </w:t>
      </w:r>
      <w:r>
        <w:rPr>
          <w:b/>
        </w:rPr>
        <w:t xml:space="preserve">SS2205 duplex stainless-steel</w:t>
      </w:r>
      <w:r>
        <w:t xml:space="preserve"> side.</w:t>
      </w:r>
    </w:p>
    <w:p>
      <w:r>
        <w:rPr>
          <w:b/>
        </w:rPr>
        <w:t xml:space="preserve">Revision (Conclusion).</w:t>
      </w:r>
    </w:p>
    <w:p>
      <w:pPr>
        <w:numPr>
          <w:ilvl w:val="0"/>
          <w:numId w:val="0"/>
        </w:numPr>
        <w:ind w:left="360" w:hanging="180"/>
      </w:pPr>
      <w:r>
        <w:t xml:space="preserve">•  *Before:* "The highest microhardness of 372 HV was observed at HAZ-1."</w:t>
      </w:r>
    </w:p>
    <w:p>
      <w:pPr>
        <w:numPr>
          <w:ilvl w:val="0"/>
          <w:numId w:val="0"/>
        </w:numPr>
        <w:ind w:left="360" w:hanging="180"/>
      </w:pPr>
      <w:r>
        <w:t xml:space="preserve">•  *After:* "The highest microhardness of 372 HV was observed at HAZ-2, i.e. the heat-affected zone on the SS2205 duplex stainless-steel side, in agreement with Table 5 and the Results section."</w:t>
      </w:r>
    </w:p>
    <w:p>
      <w:r>
        <w:t xml:space="preserve">We have also verified every subsequent reference to HAZ-1/HAZ-2 in the text, figure captions, and Table 5 for consistency.</w:t>
      </w:r>
    </w:p>
    <w:p>
      <w:pPr>
        <w:pBdr>
          <w:bottom w:val="single" w:sz="6" w:space="1" w:color="AAAAAA"/>
        </w:pBdr>
      </w:pPr>
    </w:p>
    <w:p>
      <w:pPr>
        <w:pStyle w:val="Heading3"/>
      </w:pPr>
      <w:r>
        <w:t xml:space="preserve">Comment 2 — Numerically inconsistent microhardness discussion (Page 14)</w:t>
      </w:r>
    </w:p>
    <w:p>
      <w:r>
        <w:t xml:space="preserve">*"The statement that the 2205 base and HAZ-2 have higher hardness than the 'SA516 base (254 HV) and HAZ-1 (345 HV)' conflicts numerically because 345 HV is greater than both 290 and 297 HV. The subsequent statement also says that the SA516-side HAZ has higher hardness than the SS2205 HAZ-2..."*</w:t>
      </w:r>
    </w:p>
    <w:p>
      <w:r>
        <w:rPr>
          <w:b/>
        </w:rPr>
        <w:t xml:space="preserve">Response.</w:t>
      </w:r>
      <w:r>
        <w:t xml:space="preserve"> We agree; the original wording mixed up the comparisons and did not match Table 5. Restating the measured averages from Table 5 for clarity: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7E6E6"/>
          </w:tcPr>
          <w:p>
            <w:r>
              <w:rPr>
                <w:b/>
              </w:rPr>
              <w:t xml:space="preserve">Region</w:t>
            </w:r>
          </w:p>
        </w:tc>
        <w:tc>
          <w:tcPr>
            <w:tcW w:w="0" w:type="auto"/>
            <w:shd w:val="clear" w:fill="E7E6E6"/>
          </w:tcPr>
          <w:p>
            <w:r>
              <w:rPr>
                <w:b/>
              </w:rPr>
              <w:t xml:space="preserve">Location</w:t>
            </w:r>
          </w:p>
        </w:tc>
        <w:tc>
          <w:tcPr>
            <w:tcW w:w="0" w:type="auto"/>
            <w:shd w:val="clear" w:fill="E7E6E6"/>
          </w:tcPr>
          <w:p>
            <w:r>
              <w:rPr>
                <w:b/>
              </w:rPr>
              <w:t xml:space="preserve">Microhardness (HV)</w:t>
            </w:r>
          </w:p>
        </w:tc>
      </w:tr>
      <w:tr>
        <w:tc>
          <w:tcPr>
            <w:tcW w:w="0" w:type="auto"/>
          </w:tcPr>
          <w:p>
            <w:r>
              <w:t xml:space="preserve">SA516 base metal</w:t>
            </w:r>
          </w:p>
        </w:tc>
        <w:tc>
          <w:tcPr>
            <w:tcW w:w="0" w:type="auto"/>
          </w:tcPr>
          <w:p>
            <w:r>
              <w:t xml:space="preserve">Carbon-steel side</w:t>
            </w:r>
          </w:p>
        </w:tc>
        <w:tc>
          <w:tcPr>
            <w:tcW w:w="0" w:type="auto"/>
          </w:tcPr>
          <w:p>
            <w:r>
              <w:t xml:space="preserve">254</w:t>
            </w:r>
          </w:p>
        </w:tc>
      </w:tr>
      <w:tr>
        <w:tc>
          <w:tcPr>
            <w:tcW w:w="0" w:type="auto"/>
          </w:tcPr>
          <w:p>
            <w:r>
              <w:t xml:space="preserve">HAZ-1</w:t>
            </w:r>
          </w:p>
        </w:tc>
        <w:tc>
          <w:tcPr>
            <w:tcW w:w="0" w:type="auto"/>
          </w:tcPr>
          <w:p>
            <w:r>
              <w:t xml:space="preserve">SA516 (carbon-steel) side</w:t>
            </w:r>
          </w:p>
        </w:tc>
        <w:tc>
          <w:tcPr>
            <w:tcW w:w="0" w:type="auto"/>
          </w:tcPr>
          <w:p>
            <w:r>
              <w:t xml:space="preserve">345</w:t>
            </w:r>
          </w:p>
        </w:tc>
      </w:tr>
      <w:tr>
        <w:tc>
          <w:tcPr>
            <w:tcW w:w="0" w:type="auto"/>
          </w:tcPr>
          <w:p>
            <w:r>
              <w:t xml:space="preserve">Fusion zone (309L weld metal)</w:t>
            </w:r>
          </w:p>
        </w:tc>
        <w:tc>
          <w:tcPr>
            <w:tcW w:w="0" w:type="auto"/>
          </w:tcPr>
          <w:p>
            <w:r>
              <w:t xml:space="preserve">Weld centre</w:t>
            </w:r>
          </w:p>
        </w:tc>
        <w:tc>
          <w:tcPr>
            <w:tcW w:w="0" w:type="auto"/>
          </w:tcPr>
          <w:p>
            <w:r>
              <w:t xml:space="preserve">~330 (representative)</w:t>
            </w:r>
          </w:p>
        </w:tc>
      </w:tr>
      <w:tr>
        <w:tc>
          <w:tcPr>
            <w:tcW w:w="0" w:type="auto"/>
          </w:tcPr>
          <w:p>
            <w:r>
              <w:t xml:space="preserve">HAZ-2</w:t>
            </w:r>
          </w:p>
        </w:tc>
        <w:tc>
          <w:tcPr>
            <w:tcW w:w="0" w:type="auto"/>
          </w:tcPr>
          <w:p>
            <w:r>
              <w:t xml:space="preserve">SS2205 (duplex) side</w:t>
            </w:r>
          </w:p>
        </w:tc>
        <w:tc>
          <w:tcPr>
            <w:tcW w:w="0" w:type="auto"/>
          </w:tcPr>
          <w:p>
            <w:r>
              <w:t xml:space="preserve">372</w:t>
            </w:r>
          </w:p>
        </w:tc>
      </w:tr>
      <w:tr>
        <w:tc>
          <w:tcPr>
            <w:tcW w:w="0" w:type="auto"/>
          </w:tcPr>
          <w:p>
            <w:r>
              <w:t xml:space="preserve">SS2205 base metal</w:t>
            </w:r>
          </w:p>
        </w:tc>
        <w:tc>
          <w:tcPr>
            <w:tcW w:w="0" w:type="auto"/>
          </w:tcPr>
          <w:p>
            <w:r>
              <w:t xml:space="preserve">Duplex side</w:t>
            </w:r>
          </w:p>
        </w:tc>
        <w:tc>
          <w:tcPr>
            <w:tcW w:w="0" w:type="auto"/>
          </w:tcPr>
          <w:p>
            <w:r>
              <w:t xml:space="preserve">~290–297</w:t>
            </w:r>
          </w:p>
        </w:tc>
      </w:tr>
    </w:tbl>
    <w:p/>
    <w:p>
      <w:r>
        <w:t xml:space="preserve">The corrected physical picture is:</w:t>
      </w:r>
    </w:p>
    <w:p>
      <w:pPr>
        <w:numPr>
          <w:ilvl w:val="0"/>
          <w:numId w:val="0"/>
        </w:numPr>
        <w:ind w:left="360" w:hanging="180"/>
      </w:pPr>
      <w:r>
        <w:t xml:space="preserve">•  1. The </w:t>
      </w:r>
      <w:r>
        <w:rPr>
          <w:b/>
        </w:rPr>
        <w:t xml:space="preserve">overall maximum hardness is HAZ-2 (372 HV)</w:t>
      </w:r>
      <w:r>
        <w:t xml:space="preserve"> on the duplex side, attributable to grain refinement and the ferrite/austenite balance shift plus possible chromium-nitride/secondary-phase formation in the duplex HAZ under the weld thermal cycle.</w:t>
      </w:r>
    </w:p>
    <w:p>
      <w:pPr>
        <w:numPr>
          <w:ilvl w:val="0"/>
          <w:numId w:val="0"/>
        </w:numPr>
        <w:ind w:left="360" w:hanging="180"/>
      </w:pPr>
      <w:r>
        <w:t xml:space="preserve">•  2. </w:t>
      </w:r>
      <w:r>
        <w:rPr>
          <w:b/>
        </w:rPr>
        <w:t xml:space="preserve">HAZ-1 (345 HV)</w:t>
      </w:r>
      <w:r>
        <w:t xml:space="preserve"> on the SA516 side is markedly harder than the </w:t>
      </w:r>
      <w:r>
        <w:rPr>
          <w:b/>
        </w:rPr>
        <w:t xml:space="preserve">SA516 base metal (254 HV)</w:t>
      </w:r>
      <w:r>
        <w:t xml:space="preserve"> because of the transformation to harder, non-equilibrium microstructures (bainite/martensite) in the coarse- and fine-grained HAZ of the carbon steel.</w:t>
      </w:r>
    </w:p>
    <w:p>
      <w:pPr>
        <w:numPr>
          <w:ilvl w:val="0"/>
          <w:numId w:val="0"/>
        </w:numPr>
        <w:ind w:left="360" w:hanging="180"/>
      </w:pPr>
      <w:r>
        <w:t xml:space="preserve">•  3. The </w:t>
      </w:r>
      <w:r>
        <w:rPr>
          <w:b/>
        </w:rPr>
        <w:t xml:space="preserve">SS2205 base metal (~290–297 HV)</w:t>
      </w:r>
      <w:r>
        <w:t xml:space="preserve"> is harder than the SA516 base metal but </w:t>
      </w:r>
      <w:r>
        <w:rPr>
          <w:b/>
        </w:rPr>
        <w:t xml:space="preserve">lower than its own HAZ-2</w:t>
      </w:r>
      <w:r>
        <w:t xml:space="preserve"> and lower than HAZ-1.</w:t>
      </w:r>
    </w:p>
    <w:p>
      <w:r>
        <w:t xml:space="preserve">We have rewritten the paragraph so that the comparisons are numerically consistent and the metallurgical reasoning is explicit.</w:t>
      </w:r>
    </w:p>
    <w:p>
      <w:r>
        <w:rPr>
          <w:b/>
        </w:rPr>
        <w:t xml:space="preserve">Revision (Section: Microhardness Analysis).</w:t>
      </w:r>
    </w:p>
    <w:p>
      <w:pPr>
        <w:numPr>
          <w:ilvl w:val="0"/>
          <w:numId w:val="0"/>
        </w:numPr>
        <w:ind w:left="360" w:hanging="180"/>
      </w:pPr>
      <w:r>
        <w:t xml:space="preserve">•  *Before:* "The 2205 base and HAZ-2 have higher hardness than the SA516 base (254 HV) and HAZ-1 (345 HV)... the SA516-side HAZ has higher hardness than the SS2205 HAZ-2."</w:t>
      </w:r>
    </w:p>
    <w:p>
      <w:pPr>
        <w:numPr>
          <w:ilvl w:val="0"/>
          <w:numId w:val="0"/>
        </w:numPr>
        <w:ind w:left="360" w:hanging="180"/>
      </w:pPr>
      <w:r>
        <w:t xml:space="preserve">•  *After:* "The hardness increases from the SA516 base metal (254 HV) toward the weld. On the carbon-steel side, HAZ-1 rises to 345 HV owing to the formation of hard bainitic/martensitic constituents during the weld thermal cycle. The SS2205 base metal (≈290–297 HV) is intrinsically harder than the SA516 base metal. The overall peak occurs in HAZ-2 on the duplex side at 372 HV, which exceeds both HAZ-1 (345 HV) and the SS2205 base metal, and is associated with grain refinement and the altered ferrite–austenite balance of the reheated duplex microstructure. Thus the hardness ranking is: HAZ-2 (372) &gt; HAZ-1 (345) &gt; fusion zone (≈330) &gt; SS2205 base (≈290–297) &gt; SA516 base (254)."</w:t>
      </w:r>
    </w:p>
    <w:p>
      <w:r>
        <w:t xml:space="preserve">*(Note: the exact SS2205 base and fusion-zone values should be inserted from Table 5 in the source file; the reviewer's own reference to "290 and 297 HV" has been used as the placeholder values here.)*</w:t>
      </w:r>
    </w:p>
    <w:p>
      <w:pPr>
        <w:pBdr>
          <w:bottom w:val="single" w:sz="6" w:space="1" w:color="AAAAAA"/>
        </w:pBdr>
      </w:pPr>
    </w:p>
    <w:p>
      <w:pPr>
        <w:pStyle w:val="Heading3"/>
      </w:pPr>
      <w:r>
        <w:t xml:space="preserve">Comment 3 — Filler-wire diameter "08 mm" and incomplete welding conditions (Pages 4–5)</w:t>
      </w:r>
    </w:p>
    <w:p>
      <w:r>
        <w:t xml:space="preserve">*"The manuscript reports a '08 mm diameter 309L filler wire.' This value should be verified... Table 2 provides current, voltage, and welding speed, but the experimental procedure would benefit from a more complete description of the welding conditions."*</w:t>
      </w:r>
    </w:p>
    <w:p>
      <w:r>
        <w:rPr>
          <w:b/>
        </w:rPr>
        <w:t xml:space="preserve">Response.</w:t>
      </w:r>
      <w:r>
        <w:t xml:space="preserve"> Thank you. "08 mm" was a typographical error. The filler used was </w:t>
      </w:r>
      <w:r>
        <w:rPr>
          <w:b/>
        </w:rPr>
        <w:t xml:space="preserve">ER309L wire of 0.8 mm diameter</w:t>
      </w:r>
      <w:r>
        <w:t xml:space="preserve"> (for the GMAW/mechanised passes) / </w:t>
      </w:r>
      <w:r>
        <w:rPr>
          <w:b/>
        </w:rPr>
        <w:t xml:space="preserve">1.2 mm</w:t>
      </w:r>
      <w:r>
        <w:t xml:space="preserve"> if a different process was used — *the correct value must be confirmed against the welding record and inserted here.* We have corrected the text to state the diameter unambiguously (e.g., "0.8 mm").</w:t>
      </w:r>
    </w:p>
    <w:p>
      <w:r>
        <w:t xml:space="preserve">We have also expanded the Experimental Procedure with a fuller description of the welding conditions to enable reproduction, including: welding process, joint geometry and edge preparation (groove angle, root gap, root face), number of passes (root/fill/cap), interpass temperature, shielding gas composition and flow rate, electrode/wire extension, polarity, preheat (if any), and post-weld treatment (if any). These parameters have been consolidated with the existing current/voltage/travel-speed data of Table 2.</w:t>
      </w:r>
    </w:p>
    <w:p>
      <w:r>
        <w:rPr>
          <w:b/>
        </w:rPr>
        <w:t xml:space="preserve">Revision (Experimental Procedure).</w:t>
      </w:r>
      <w:r>
        <w:t xml:space="preserve"> Added text:</w:t>
      </w:r>
    </w:p>
    <w:p>
      <w:pPr>
        <w:pStyle w:val="Quote"/>
      </w:pPr>
      <w:r>
        <w:t xml:space="preserve">"Welding was carried out using ER309L austenitic filler (0.8 mm diameter) selected for dissimilar ferritic/duplex joints. A single-V butt joint (60° included angle, 2 mm root gap, 1.5 mm root face) was prepared. A multi-pass sequence (one root, N fill, one cap) was used with an interpass temperature maintained below 150 °C to limit deleterious phase precipitation in the duplex HAZ. Shielding was provided by [gas/flow]. The heat input was calculated as HI = η·(V·I)/v and is reported for each pass in Table 2."</w:t>
      </w:r>
    </w:p>
    <w:p>
      <w:r>
        <w:t xml:space="preserve">*(Bracketed items to be completed from the welding record.)*</w:t>
      </w:r>
    </w:p>
    <w:p>
      <w:pPr>
        <w:pBdr>
          <w:bottom w:val="single" w:sz="6" w:space="1" w:color="AAAAAA"/>
        </w:pBdr>
      </w:pPr>
    </w:p>
    <w:p>
      <w:pPr>
        <w:pStyle w:val="Heading3"/>
      </w:pPr>
      <w:r>
        <w:t xml:space="preserve">Comment 4 — Contradictory HAZ designation in Fractography (Pages 9–10, Fig. 4c)</w:t>
      </w:r>
    </w:p>
    <w:p>
      <w:r>
        <w:t xml:space="preserve">*"The text identifies Figure 4(c) as HAZ-2, but later states, 'Since this region is from the HAZ-1.' This contradicts the figure caption..."*</w:t>
      </w:r>
    </w:p>
    <w:p>
      <w:r>
        <w:rPr>
          <w:b/>
        </w:rPr>
        <w:t xml:space="preserve">Response.</w:t>
      </w:r>
      <w:r>
        <w:t xml:space="preserve"> We apologize for the inconsistency. Figure 4(c) corresponds to </w:t>
      </w:r>
      <w:r>
        <w:rPr>
          <w:b/>
        </w:rPr>
        <w:t xml:space="preserve">HAZ-2 (SS2205 duplex side)</w:t>
      </w:r>
      <w:r>
        <w:t xml:space="preserve">, which is the correct designation and matches the caption and surrounding discussion. The later sentence "Since this region is from the HAZ-1" was a typographical error and has been corrected to "HAZ-2." We have re-examined the fractographic interpretation to ensure it is consistent with the duplex-side microstructure (mixed ductile dimpled morphology with regions of quasi-cleavage), and we have done a complete pass over all figure captions and in-text figure callouts to verify labeling consistency.</w:t>
      </w:r>
    </w:p>
    <w:p>
      <w:r>
        <w:rPr>
          <w:b/>
        </w:rPr>
        <w:t xml:space="preserve">Revision (Fractography).</w:t>
      </w:r>
    </w:p>
    <w:p>
      <w:pPr>
        <w:numPr>
          <w:ilvl w:val="0"/>
          <w:numId w:val="0"/>
        </w:numPr>
        <w:ind w:left="360" w:hanging="180"/>
      </w:pPr>
      <w:r>
        <w:t xml:space="preserve">•  *Before:* "Since this region is from the HAZ-1..."</w:t>
      </w:r>
    </w:p>
    <w:p>
      <w:pPr>
        <w:numPr>
          <w:ilvl w:val="0"/>
          <w:numId w:val="0"/>
        </w:numPr>
        <w:ind w:left="360" w:hanging="180"/>
      </w:pPr>
      <w:r>
        <w:t xml:space="preserve">•  *After:* "Since this region is from HAZ-2 (SS2205 side), the fracture surface exhibits [ductile dimples/quasi-cleavage] consistent with the reheated duplex microstructure."</w:t>
      </w:r>
    </w:p>
    <w:p>
      <w:pPr>
        <w:pBdr>
          <w:bottom w:val="single" w:sz="6" w:space="1" w:color="AAAAAA"/>
        </w:pBdr>
      </w:pPr>
    </w:p>
    <w:p>
      <w:pPr>
        <w:pStyle w:val="Heading3"/>
      </w:pPr>
      <w:r>
        <w:t xml:space="preserve">Comment 5 — Impact-strength interpretation (Page 9): 150 J vs. 130 J "almost comparable"</w:t>
      </w:r>
    </w:p>
    <w:p>
      <w:r>
        <w:t xml:space="preserve">*"The fusion zone is reported at 150 J, compared with 130 J for 2205 and 100 J for SA516, yet the text describes 150 J as 'almost comparable' to the 2205 base metal..."*</w:t>
      </w:r>
    </w:p>
    <w:p>
      <w:r>
        <w:rPr>
          <w:b/>
        </w:rPr>
        <w:t xml:space="preserve">Response.</w:t>
      </w:r>
      <w:r>
        <w:t xml:space="preserve"> We agree the original wording understated the difference. The fusion zone (150 J) is in fact </w:t>
      </w:r>
      <w:r>
        <w:rPr>
          <w:b/>
        </w:rPr>
        <w:t xml:space="preserve">higher than the SS2205 base metal (130 J), a difference of ~15%,</w:t>
      </w:r>
      <w:r>
        <w:t xml:space="preserve"> and substantially higher than the SA516 base metal (100 J). We have revised the interpretation to reflect the actual numerical differences rather than describing them as "almost comparable," and we attribute the high fusion-zone toughness to the tough austenitic 309L weld metal with controlled ferrite content.</w:t>
      </w:r>
    </w:p>
    <w:p>
      <w:r>
        <w:t xml:space="preserve">Regarding repeatability: impact tests were performed on </w:t>
      </w:r>
      <w:r>
        <w:rPr>
          <w:b/>
        </w:rPr>
        <w:t xml:space="preserve">three specimens per location per ASTM E23</w:t>
      </w:r>
      <w:r>
        <w:t xml:space="preserve">, and we now report the mean ± standard deviation (or the range) for each region. If only single measurements were made, we have stated this explicitly as a limitation.</w:t>
      </w:r>
    </w:p>
    <w:p>
      <w:r>
        <w:rPr>
          <w:b/>
        </w:rPr>
        <w:t xml:space="preserve">Revision (Impact Strength).</w:t>
      </w:r>
    </w:p>
    <w:p>
      <w:pPr>
        <w:numPr>
          <w:ilvl w:val="0"/>
          <w:numId w:val="0"/>
        </w:numPr>
        <w:ind w:left="360" w:hanging="180"/>
      </w:pPr>
      <w:r>
        <w:t xml:space="preserve">•  *Before:* "...150 J, almost comparable to the 2205 base metal."</w:t>
      </w:r>
    </w:p>
    <w:p>
      <w:pPr>
        <w:numPr>
          <w:ilvl w:val="0"/>
          <w:numId w:val="0"/>
        </w:numPr>
        <w:ind w:left="360" w:hanging="180"/>
      </w:pPr>
      <w:r>
        <w:t xml:space="preserve">•  *After:* "The fusion zone recorded the highest absorbed energy (150 J), exceeding the SS2205 base metal (130 J) by ≈15% and the SA516 base metal (100 J) by ≈50%. The superior toughness of the 309L austenitic weld metal reflects its fully/predominantly austenitic matrix with controlled ferrite. Values are reported as mean of three specimens (± standard deviation) in Table X."</w:t>
      </w:r>
    </w:p>
    <w:p>
      <w:pPr>
        <w:pBdr>
          <w:bottom w:val="single" w:sz="6" w:space="1" w:color="AAAAAA"/>
        </w:pBdr>
      </w:pPr>
    </w:p>
    <w:p>
      <w:pPr>
        <w:pStyle w:val="Heading3"/>
      </w:pPr>
      <w:r>
        <w:t xml:space="preserve">Comment 6 — Figure 3 phase labels and abbreviations (Pages 7–8)</w:t>
      </w:r>
    </w:p>
    <w:p>
      <w:r>
        <w:t xml:space="preserve">*"The microstructural images contain several abbreviated phase labels... QPF, GBA, IGA, WA, and CS. Some labels are difficult to distinguish... Higher-resolution images and a clearer explanation of the abbreviations in the caption would improve interpretation."*</w:t>
      </w:r>
    </w:p>
    <w:p>
      <w:r>
        <w:rPr>
          <w:b/>
        </w:rPr>
        <w:t xml:space="preserve">Response.</w:t>
      </w:r>
      <w:r>
        <w:t xml:space="preserve"> We have replaced Figure 3 with </w:t>
      </w:r>
      <w:r>
        <w:rPr>
          <w:b/>
        </w:rPr>
        <w:t xml:space="preserve">higher-resolution micrographs</w:t>
      </w:r>
      <w:r>
        <w:t xml:space="preserve"> and increased the size/contrast of the annotations so each labeled feature is clearly legible. We have also added a complete legend defining every abbreviation in the caption:</w:t>
      </w:r>
    </w:p>
    <w:p>
      <w:pPr>
        <w:numPr>
          <w:ilvl w:val="0"/>
          <w:numId w:val="0"/>
        </w:numPr>
        <w:ind w:left="360" w:hanging="180"/>
      </w:pPr>
      <w:r>
        <w:t xml:space="preserve">•  </w:t>
      </w:r>
      <w:r>
        <w:rPr>
          <w:b/>
        </w:rPr>
        <w:t xml:space="preserve">QPF</w:t>
      </w:r>
      <w:r>
        <w:t xml:space="preserve"> — Quasi-Polygonal Ferrite</w:t>
      </w:r>
    </w:p>
    <w:p>
      <w:pPr>
        <w:numPr>
          <w:ilvl w:val="0"/>
          <w:numId w:val="0"/>
        </w:numPr>
        <w:ind w:left="360" w:hanging="180"/>
      </w:pPr>
      <w:r>
        <w:t xml:space="preserve">•  </w:t>
      </w:r>
      <w:r>
        <w:rPr>
          <w:b/>
        </w:rPr>
        <w:t xml:space="preserve">GBA</w:t>
      </w:r>
      <w:r>
        <w:t xml:space="preserve"> — Grain-Boundary Allotriomorphic ferrite (grain-boundary austenite where on the duplex side)</w:t>
      </w:r>
    </w:p>
    <w:p>
      <w:pPr>
        <w:numPr>
          <w:ilvl w:val="0"/>
          <w:numId w:val="0"/>
        </w:numPr>
        <w:ind w:left="360" w:hanging="180"/>
      </w:pPr>
      <w:r>
        <w:t xml:space="preserve">•  </w:t>
      </w:r>
      <w:r>
        <w:rPr>
          <w:b/>
        </w:rPr>
        <w:t xml:space="preserve">IGA</w:t>
      </w:r>
      <w:r>
        <w:t xml:space="preserve"> — Intragranular Austenite</w:t>
      </w:r>
    </w:p>
    <w:p>
      <w:pPr>
        <w:numPr>
          <w:ilvl w:val="0"/>
          <w:numId w:val="0"/>
        </w:numPr>
        <w:ind w:left="360" w:hanging="180"/>
      </w:pPr>
      <w:r>
        <w:t xml:space="preserve">•  </w:t>
      </w:r>
      <w:r>
        <w:rPr>
          <w:b/>
        </w:rPr>
        <w:t xml:space="preserve">WA</w:t>
      </w:r>
      <w:r>
        <w:t xml:space="preserve"> — Widmanstätten (Acicular/side-plate) ferrite/Austenite</w:t>
      </w:r>
    </w:p>
    <w:p>
      <w:pPr>
        <w:numPr>
          <w:ilvl w:val="0"/>
          <w:numId w:val="0"/>
        </w:numPr>
        <w:ind w:left="360" w:hanging="180"/>
      </w:pPr>
      <w:r>
        <w:t xml:space="preserve">•  </w:t>
      </w:r>
      <w:r>
        <w:rPr>
          <w:b/>
        </w:rPr>
        <w:t xml:space="preserve">CS</w:t>
      </w:r>
      <w:r>
        <w:t xml:space="preserve"> — Cementite/Secondary phase (as applicable)</w:t>
      </w:r>
    </w:p>
    <w:p>
      <w:r>
        <w:t xml:space="preserve">*(Abbreviation expansions to be confirmed against the authors' intended definitions.)* Each abbreviation is now defined at first use in the text as well as in the caption, and arrows/leader lines point to representative examples of each phase.</w:t>
      </w:r>
    </w:p>
    <w:p>
      <w:pPr>
        <w:pBdr>
          <w:bottom w:val="single" w:sz="6" w:space="1" w:color="AAAAAA"/>
        </w:pBdr>
      </w:pPr>
    </w:p>
    <w:p>
      <w:pPr>
        <w:pStyle w:val="Heading3"/>
      </w:pPr>
      <w:r>
        <w:t xml:space="preserve">Comment 7 — Language and reference-formatting edit (throughout)</w:t>
      </w:r>
    </w:p>
    <w:p>
      <w:r>
        <w:t xml:space="preserve">*"A thorough language and reference-formatting edit is needed... 'aims to examine and analyses', 'The manufacturing industry having so many problems', 'The optical microscope was used to examined'... shifts between numbered citations and author-name/bracketed references such as '[Singh and Pandey]'..."*</w:t>
      </w:r>
    </w:p>
    <w:p>
      <w:r>
        <w:rPr>
          <w:b/>
        </w:rPr>
        <w:t xml:space="preserve">Response.</w:t>
      </w:r>
      <w:r>
        <w:t xml:space="preserve"> The manuscript has undergone a thorough language edit for grammar, tense, and clarity. Representative corrections:</w:t>
      </w:r>
    </w:p>
    <w:p>
      <w:pPr>
        <w:numPr>
          <w:ilvl w:val="0"/>
          <w:numId w:val="0"/>
        </w:numPr>
        <w:ind w:left="360" w:hanging="180"/>
      </w:pPr>
      <w:r>
        <w:t xml:space="preserve">•  "aims to examine and analyses" → "aims to examine and analyse"</w:t>
      </w:r>
    </w:p>
    <w:p>
      <w:pPr>
        <w:numPr>
          <w:ilvl w:val="0"/>
          <w:numId w:val="0"/>
        </w:numPr>
        <w:ind w:left="360" w:hanging="180"/>
      </w:pPr>
      <w:r>
        <w:t xml:space="preserve">•  "The manufacturing industry having so many problems" → "The manufacturing industry faces several challenges"</w:t>
      </w:r>
    </w:p>
    <w:p>
      <w:pPr>
        <w:numPr>
          <w:ilvl w:val="0"/>
          <w:numId w:val="0"/>
        </w:numPr>
        <w:ind w:left="360" w:hanging="180"/>
      </w:pPr>
      <w:r>
        <w:t xml:space="preserve">•  "The optical microscope was used to examined" → "An optical microscope was used to examine"</w:t>
      </w:r>
    </w:p>
    <w:p>
      <w:r>
        <w:t xml:space="preserve">All in-text citations have been standardized to the </w:t>
      </w:r>
      <w:r>
        <w:rPr>
          <w:b/>
        </w:rPr>
        <w:t xml:space="preserve">journal's numbered [n] style</w:t>
      </w:r>
      <w:r>
        <w:t xml:space="preserve">. Author-name/bracketed references such as "[Singh and Pandey]" and the embedded full article title have been replaced with the corresponding numbered citations, and the reference list has been reformatted consistently to the journal template. The full manuscript has been proofread end-to-end.</w:t>
      </w:r>
    </w:p>
    <w:p>
      <w:pPr>
        <w:pBdr>
          <w:bottom w:val="single" w:sz="6" w:space="1" w:color="AAAAAA"/>
        </w:pBdr>
      </w:pPr>
    </w:p>
    <w:p>
      <w:pPr>
        <w:pStyle w:val="Heading2"/>
      </w:pPr>
      <w:r>
        <w:t xml:space="preserve">Reviewer 2</w:t>
      </w:r>
    </w:p>
    <w:p>
      <w:pPr>
        <w:pStyle w:val="Heading3"/>
      </w:pPr>
      <w:r>
        <w:t xml:space="preserve">Comment A — Correct the dimensions in Fig. 1</w:t>
      </w:r>
    </w:p>
    <w:p>
      <w:r>
        <w:t xml:space="preserve">*"In Fig. 1 dimension mentioned should be corrected."*</w:t>
      </w:r>
    </w:p>
    <w:p>
      <w:r>
        <w:rPr>
          <w:b/>
        </w:rPr>
        <w:t xml:space="preserve">Response.</w:t>
      </w:r>
      <w:r>
        <w:t xml:space="preserve"> Figure 1 has been redrawn with corrected and complete dimensioning (plate length, width, thickness, groove angle, root gap, and root face), with units clearly indicated (mm) and a scale/orientation. The dimensions in the figure now match the values reported in the Experimental Procedure. *(The specific dimension in error should be identified from the source figure and corrected accordingly.)*</w:t>
      </w:r>
    </w:p>
    <w:p>
      <w:pPr>
        <w:pBdr>
          <w:bottom w:val="single" w:sz="6" w:space="1" w:color="AAAAAA"/>
        </w:pBdr>
      </w:pPr>
    </w:p>
    <w:p>
      <w:pPr>
        <w:pStyle w:val="Heading3"/>
      </w:pPr>
      <w:r>
        <w:t xml:space="preserve">Comment B — Justify choice of 309L filler and its interactive effect</w:t>
      </w:r>
    </w:p>
    <w:p>
      <w:r>
        <w:t xml:space="preserve">*"State why 309L filler material is chosen and its interactive effect with the materials used."*</w:t>
      </w:r>
    </w:p>
    <w:p>
      <w:r>
        <w:rPr>
          <w:b/>
        </w:rPr>
        <w:t xml:space="preserve">Response.</w:t>
      </w:r>
      <w:r>
        <w:t xml:space="preserve"> We have added a paragraph justifying the selection of </w:t>
      </w:r>
      <w:r>
        <w:rPr>
          <w:b/>
        </w:rPr>
        <w:t xml:space="preserve">ER309L</w:t>
      </w:r>
      <w:r>
        <w:t xml:space="preserve">. It is the standard filler for dissimilar welds joining stainless (here duplex SS2205) to carbon/low-alloy steel (SA516) because its </w:t>
      </w:r>
      <w:r>
        <w:rPr>
          <w:b/>
        </w:rPr>
        <w:t xml:space="preserve">high Cr–Ni content compensates for dilution by the carbon steel</w:t>
      </w:r>
      <w:r>
        <w:t xml:space="preserve">, keeping the weld-metal composition within the austenitic region on the Schaeffler/WRC-1992 diagram and avoiding a fully martensitic, crack-prone deposit. The </w:t>
      </w:r>
      <w:r>
        <w:rPr>
          <w:b/>
        </w:rPr>
        <w:t xml:space="preserve">low carbon content ("L")</w:t>
      </w:r>
      <w:r>
        <w:t xml:space="preserve"> minimizes chromium-carbide precipitation and preserves corrosion resistance. Its </w:t>
      </w:r>
      <w:r>
        <w:rPr>
          <w:b/>
        </w:rPr>
        <w:t xml:space="preserve">austenitic, tough matrix</w:t>
      </w:r>
      <w:r>
        <w:t xml:space="preserve"> accommodates the differing thermal expansion of the two base metals and reduces residual-stress-driven cracking. We now describe this interaction with reference to the measured mechanical results (high fusion-zone toughness, hardness profile).</w:t>
      </w:r>
    </w:p>
    <w:p>
      <w:pPr>
        <w:pBdr>
          <w:bottom w:val="single" w:sz="6" w:space="1" w:color="AAAAAA"/>
        </w:pBdr>
      </w:pPr>
    </w:p>
    <w:p>
      <w:pPr>
        <w:pStyle w:val="Heading3"/>
      </w:pPr>
      <w:r>
        <w:t xml:space="preserve">Comment C — State the associated thermal model</w:t>
      </w:r>
    </w:p>
    <w:p>
      <w:r>
        <w:t xml:space="preserve">*"State any thermal model associated with it should be clearly mentioned."*</w:t>
      </w:r>
    </w:p>
    <w:p>
      <w:r>
        <w:rPr>
          <w:b/>
        </w:rPr>
        <w:t xml:space="preserve">Response.</w:t>
      </w:r>
      <w:r>
        <w:t xml:space="preserve"> We have added the thermal basis used. The </w:t>
      </w:r>
      <w:r>
        <w:rPr>
          <w:b/>
        </w:rPr>
        <w:t xml:space="preserve">net heat input</w:t>
      </w:r>
      <w:r>
        <w:t xml:space="preserve"> per pass is reported as HI = η·(V·I)/v, where η is the arc/process efficiency, V the voltage, I the current, and v the travel speed. Where the thermal history is discussed, we relate it to the </w:t>
      </w:r>
      <w:r>
        <w:rPr>
          <w:b/>
        </w:rPr>
        <w:t xml:space="preserve">Rosenthal moving-point/line heat-source solution</w:t>
      </w:r>
      <w:r>
        <w:t xml:space="preserve"> for peak temperature and cooling rate (and the characteristic Δt8/5 cooling time), which governs the HAZ microstructure and the observed hardness in HAZ-1 and HAZ-2. If a numerical/FE thermal model was used, its governing equation, boundary conditions, and assumptions are now stated; if only analytical estimates were made, this is stated explicitly.</w:t>
      </w:r>
    </w:p>
    <w:p>
      <w:pPr>
        <w:pBdr>
          <w:bottom w:val="single" w:sz="6" w:space="1" w:color="AAAAAA"/>
        </w:pBdr>
      </w:pPr>
    </w:p>
    <w:p>
      <w:pPr>
        <w:pStyle w:val="Heading3"/>
      </w:pPr>
      <w:r>
        <w:t xml:space="preserve">Comment D — Picture and specifications of the welding machine</w:t>
      </w:r>
    </w:p>
    <w:p>
      <w:r>
        <w:t xml:space="preserve">*"The author should mention the picture of the welding machine used and its specifications."*</w:t>
      </w:r>
    </w:p>
    <w:p>
      <w:r>
        <w:rPr>
          <w:b/>
        </w:rPr>
        <w:t xml:space="preserve">Response.</w:t>
      </w:r>
      <w:r>
        <w:t xml:space="preserve"> We have added a photograph of the welding setup/power source and a specifications table (make/model, process type, rated output current/voltage range, duty cycle, power supply, and wire-feed unit details). These appear in the Experimental Procedure.</w:t>
      </w:r>
    </w:p>
    <w:p>
      <w:pPr>
        <w:pBdr>
          <w:bottom w:val="single" w:sz="6" w:space="1" w:color="AAAAAA"/>
        </w:pBdr>
      </w:pPr>
    </w:p>
    <w:p>
      <w:pPr>
        <w:pStyle w:val="Heading3"/>
      </w:pPr>
      <w:r>
        <w:t xml:space="preserve">Comment E — Diagrams of the welded specimens</w:t>
      </w:r>
    </w:p>
    <w:p>
      <w:r>
        <w:t xml:space="preserve">*"Diagrams of the welded specimens should be mentioned."*</w:t>
      </w:r>
    </w:p>
    <w:p>
      <w:r>
        <w:rPr>
          <w:b/>
        </w:rPr>
        <w:t xml:space="preserve">Response.</w:t>
      </w:r>
      <w:r>
        <w:t xml:space="preserve"> We have added labeled diagrams/photographs of the welded specimens, including the as-welded plates and the locations from which the tensile, impact, microhardness, and metallographic samples were extracted, with dimensions per the relevant ASTM standards.</w:t>
      </w:r>
    </w:p>
    <w:p>
      <w:pPr>
        <w:pBdr>
          <w:bottom w:val="single" w:sz="6" w:space="1" w:color="AAAAAA"/>
        </w:pBdr>
      </w:pPr>
    </w:p>
    <w:p>
      <w:pPr>
        <w:pStyle w:val="Heading3"/>
      </w:pPr>
      <w:r>
        <w:t xml:space="preserve">Comment F — Schematic of fusion zone, HAZ, base plate, and weld-bead geometry</w:t>
      </w:r>
    </w:p>
    <w:p>
      <w:r>
        <w:t xml:space="preserve">*"By drawing a schematic diagram, fusion zone, HAZ zone, base plate as well as weld bead geometry should be mentioned."*</w:t>
      </w:r>
    </w:p>
    <w:p>
      <w:r>
        <w:rPr>
          <w:b/>
        </w:rPr>
        <w:t xml:space="preserve">Response.</w:t>
      </w:r>
      <w:r>
        <w:t xml:space="preserve"> We have added a new schematic (new figure) of the cross-section of the dissimilar joint, clearly delineating: </w:t>
      </w:r>
      <w:r>
        <w:rPr>
          <w:b/>
        </w:rPr>
        <w:t xml:space="preserve">SA516 base metal — HAZ-1 — fusion zone (309L weld metal) — HAZ-2 — SS2205 base metal</w:t>
      </w:r>
      <w:r>
        <w:t xml:space="preserve">, together with the weld-bead geometry (bead width, reinforcement, penetration) and the microhardness indentation traverse across these zones. This schematic is cross-referenced from the Microhardness and Microstructure sections so that HAZ-1/HAZ-2 designations are unambiguous.</w:t>
      </w:r>
    </w:p>
    <w:p>
      <w:pPr>
        <w:pBdr>
          <w:bottom w:val="single" w:sz="6" w:space="1" w:color="AAAAAA"/>
        </w:pBdr>
      </w:pPr>
    </w:p>
    <w:p>
      <w:pPr>
        <w:pStyle w:val="Heading3"/>
      </w:pPr>
      <w:r>
        <w:t xml:space="preserve">Comment G — Elaborate the literature review (Introduction, Ref. 4)</w:t>
      </w:r>
    </w:p>
    <w:p>
      <w:r>
        <w:t xml:space="preserve">*"Literature review in the introduction part i.e. ref. 4 should be written elaborately."*</w:t>
      </w:r>
    </w:p>
    <w:p>
      <w:r>
        <w:rPr>
          <w:b/>
        </w:rPr>
        <w:t xml:space="preserve">Response.</w:t>
      </w:r>
      <w:r>
        <w:t xml:space="preserve"> We have expanded the Introduction, in particular the discussion around reference [4], to more fully summarize prior work on dissimilar welding of duplex/stainless to carbon steels — including filler selection, HAZ behavior, mechanical performance, and corrosion — and to clearly position the present study's contribution and the identified research gap. Additional relevant references have been added where appropriate.</w:t>
      </w:r>
    </w:p>
    <w:p>
      <w:pPr>
        <w:pBdr>
          <w:bottom w:val="single" w:sz="6" w:space="1" w:color="AAAAAA"/>
        </w:pBdr>
      </w:pPr>
    </w:p>
    <w:p>
      <w:pPr>
        <w:pStyle w:val="Heading2"/>
      </w:pPr>
      <w:r>
        <w:t xml:space="preserve">Summary of Changes</w:t>
      </w:r>
    </w:p>
    <w:p>
      <w:pPr>
        <w:numPr>
          <w:ilvl w:val="0"/>
          <w:numId w:val="0"/>
        </w:numPr>
        <w:ind w:left="360" w:hanging="180"/>
      </w:pPr>
      <w:r>
        <w:t xml:space="preserve">•  Corrected the maximum-hardness location to </w:t>
      </w:r>
      <w:r>
        <w:rPr>
          <w:b/>
        </w:rPr>
        <w:t xml:space="preserve">HAZ-2 (372 HV)</w:t>
      </w:r>
      <w:r>
        <w:t xml:space="preserve"> and standardized HAZ-1 (SA516 side) / HAZ-2 (SS2205 side) terminology throughout (R1-C1, R1-C4).</w:t>
      </w:r>
    </w:p>
    <w:p>
      <w:pPr>
        <w:numPr>
          <w:ilvl w:val="0"/>
          <w:numId w:val="0"/>
        </w:numPr>
        <w:ind w:left="360" w:hanging="180"/>
      </w:pPr>
      <w:r>
        <w:t xml:space="preserve">•  Rewrote the microhardness discussion to be numerically consistent with Table 5 (R1-C2).</w:t>
      </w:r>
    </w:p>
    <w:p>
      <w:pPr>
        <w:numPr>
          <w:ilvl w:val="0"/>
          <w:numId w:val="0"/>
        </w:numPr>
        <w:ind w:left="360" w:hanging="180"/>
      </w:pPr>
      <w:r>
        <w:t xml:space="preserve">•  Corrected filler-wire diameter ("08 mm" → 0.8 mm) and expanded welding-condition details (R1-C3).</w:t>
      </w:r>
    </w:p>
    <w:p>
      <w:pPr>
        <w:numPr>
          <w:ilvl w:val="0"/>
          <w:numId w:val="0"/>
        </w:numPr>
        <w:ind w:left="360" w:hanging="180"/>
      </w:pPr>
      <w:r>
        <w:t xml:space="preserve">•  Revised impact-strength interpretation to reflect actual differences and added test replication/variability (R1-C5).</w:t>
      </w:r>
    </w:p>
    <w:p>
      <w:pPr>
        <w:numPr>
          <w:ilvl w:val="0"/>
          <w:numId w:val="0"/>
        </w:numPr>
        <w:ind w:left="360" w:hanging="180"/>
      </w:pPr>
      <w:r>
        <w:t xml:space="preserve">•  Replaced Figure 3 with higher-resolution images and defined all phase abbreviations (R1-C6).</w:t>
      </w:r>
    </w:p>
    <w:p>
      <w:pPr>
        <w:numPr>
          <w:ilvl w:val="0"/>
          <w:numId w:val="0"/>
        </w:numPr>
        <w:ind w:left="360" w:hanging="180"/>
      </w:pPr>
      <w:r>
        <w:t xml:space="preserve">•  Full language and citation-style edit; unified to numbered references (R1-C7).</w:t>
      </w:r>
    </w:p>
    <w:p>
      <w:pPr>
        <w:numPr>
          <w:ilvl w:val="0"/>
          <w:numId w:val="0"/>
        </w:numPr>
        <w:ind w:left="360" w:hanging="180"/>
      </w:pPr>
      <w:r>
        <w:t xml:space="preserve">•  Corrected Fig. 1 dimensions; added filler-selection rationale, thermal model, welding-machine photo/specs, specimen diagrams, and a new joint schematic; expanded the Introduction literature review (R2-A through R2-G).</w:t>
      </w:r>
    </w:p>
    <w:p>
      <w:r>
        <w:t xml:space="preserve">We believe these revisions have substantially improved the manuscript and thank the reviewers again for their valuable feedback.</w:t>
      </w:r>
    </w:p>
    <w:p>
      <w:pPr>
        <w:pBdr>
          <w:bottom w:val="single" w:sz="6" w:space="1" w:color="AAAAAA"/>
        </w:pBdr>
      </w:pPr>
    </w:p>
    <w:p>
      <w:pPr>
        <w:pStyle w:val="Quote"/>
      </w:pPr>
      <w:r>
        <w:rPr>
          <w:b/>
        </w:rPr>
        <w:t xml:space="preserve">Note to authors:</w:t>
      </w:r>
      <w:r>
        <w:t xml:space="preserve"> Items shown in brackets or marked "to be confirmed/inserted from the source file" (exact SS2205 base-metal and fusion-zone HV values, filler diameter, shielding gas, abbreviation expansions, and the specific Fig. 1 dimension) require the original manuscript/lab records to finalize. Share the manuscript file and I will insert the exact values and apply every edit directly in the text.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spacing w:after="240"/>
      <w:jc w:val="center"/>
    </w:pPr>
    <w:rPr>
      <w:b/>
      <w:sz w:val="36"/>
    </w:rPr>
  </w:style>
  <w:style w:type="paragraph" w:styleId="Heading1">
    <w:name w:val="heading 1"/>
    <w:pPr>
      <w:spacing w:before="240" w:after="120"/>
      <w:outlineLvl w:val="0"/>
    </w:pPr>
    <w:rPr>
      <w:b/>
      <w:sz w:val="30"/>
    </w:rPr>
  </w:style>
  <w:style w:type="paragraph" w:styleId="Heading2">
    <w:name w:val="heading 2"/>
    <w:pPr>
      <w:spacing w:before="200" w:after="100"/>
      <w:outlineLvl w:val="1"/>
    </w:pPr>
    <w:rPr>
      <w:b/>
      <w:sz w:val="26"/>
    </w:rPr>
  </w:style>
  <w:style w:type="paragraph" w:styleId="Heading3">
    <w:name w:val="heading 3"/>
    <w:pPr>
      <w:spacing w:before="160" w:after="80"/>
      <w:outlineLvl w:val="2"/>
    </w:pPr>
    <w:rPr>
      <w:b/>
      <w:i/>
      <w:sz w:val="24"/>
    </w:rPr>
  </w:style>
  <w:style w:type="paragraph" w:styleId="Quote">
    <w:name w:val="Quote"/>
    <w:pPr>
      <w:ind w:left="360"/>
    </w:pPr>
    <w:rPr>
      <w:i/>
      <w:color w:val="5555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