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Heading1"/>
      </w:pPr>
      <w:r>
        <w:t xml:space="preserve">CHAPTER 5</w:t>
      </w:r>
    </w:p>
    <w:p>
      <w:pPr>
        <w:pStyle w:val="Heading2"/>
      </w:pPr>
      <w:r>
        <w:t xml:space="preserve">RESULTS AND DISCUSSION</w:t>
      </w:r>
    </w:p>
    <w:p>
      <w:r>
        <w:t xml:space="preserve">The present chapter elucidates the comprehensive findings obtained from the systematic experimental investigation described in Chapter 4. It encompasses the physicochemical and thermophysical characterization of twenty-five laboratory-developed submerged arc welding fluxes, multi-pass bead-on-plate experimentation with statistical modelling, electrochemical corrosion evaluation, and the selection and complete characterization of final weld joints on API X70 pipeline steel. The discussion integrates the experimental observations with fundamental metallurgical principles and established literature to develop structure–property–performance relationships for the novel SiO₂–TiO₂–CaF₂–BaO–MnO flux system designed for marine and offshore pipeline applications.</w:t>
      </w:r>
    </w:p>
    <w:p>
      <w:pPr>
        <w:pStyle w:val="Heading2"/>
      </w:pPr>
      <w:r>
        <w:t xml:space="preserve">5.1 Characterization of Physicochemical and Thermophysical Properties of SAW Fluxes</w:t>
      </w:r>
    </w:p>
    <w:p>
      <w:r>
        <w:t xml:space="preserve">This section presents the results of bulk density measurements, thermal property determinations (thermal conductivity, specific heat capacity, thermal diffusivity), crystalline phase identification by X-ray diffraction, and molecular structural characterization by Fourier Transform Infrared spectroscopy for all twenty-five flux formulations developed using the D-optimal mixture design approach.</w:t>
      </w:r>
    </w:p>
    <w:p>
      <w:pPr>
        <w:pStyle w:val="Heading3"/>
      </w:pPr>
      <w:r>
        <w:t xml:space="preserve">5.1.1 Development and Analysis of Physicochemical and Thermophysical Responses for Fluxes</w:t>
      </w:r>
    </w:p>
    <w:p>
      <w:r>
        <w:t xml:space="preserve">The physicochemical and thermophysical properties measured for the twenty-five flux formulations are consolidated in Table 5.1. These data represent the primary response variables that characterize the thermal management capability, packing behaviour, and structural constitution of each flux composition within the constrained design space.</w:t>
      </w:r>
    </w:p>
    <w:p>
      <w:r>
        <w:rPr>
          <w:b/>
        </w:rPr>
        <w:t xml:space="preserve">Table 5.1: Physicochemical and thermophysical properties of twenty-five SAW fluxes</w:t>
      </w:r>
    </w:p>
    <w:p>
      <w:r>
        <w:t xml:space="preserve">Flux | Basicity Index | Density (g/cm³) | Thermal Conductivity (W/m·K) | Specific Heat Capacity (MJ/m³·K) | Thermal Diffusivity (mm²/s)</w:t>
      </w:r>
    </w:p>
    <w:p>
      <w:r>
        <w:t xml:space="preserve">F1 | 2.253 | 1.42 | 0.36 | 0.932 | 0.268</w:t>
      </w:r>
    </w:p>
    <w:p>
      <w:r>
        <w:t xml:space="preserve">F2 | 4.622 | 1.48 | 0.45 | 1.052 | 0.215</w:t>
      </w:r>
    </w:p>
    <w:p>
      <w:r>
        <w:t xml:space="preserve">F3 | 3.201 | 1.44 | 0.38 | 0.978 | 0.202</w:t>
      </w:r>
    </w:p>
    <w:p>
      <w:r>
        <w:t xml:space="preserve">F4 | 2.981 | 1.46 | 0.42 | 1.024 | 0.285</w:t>
      </w:r>
    </w:p>
    <w:p>
      <w:r>
        <w:t xml:space="preserve">F5 | 3.201 | 1.44 | 0.39 | 0.982 | 0.208</w:t>
      </w:r>
    </w:p>
    <w:p>
      <w:r>
        <w:t xml:space="preserve">F6 | 2.677 | 1.40 | 0.34 | 0.902 | 0.252</w:t>
      </w:r>
    </w:p>
    <w:p>
      <w:r>
        <w:t xml:space="preserve">F7 | 2.816 | 1.49 | 0.44 | 1.068 | 0.295</w:t>
      </w:r>
    </w:p>
    <w:p>
      <w:r>
        <w:t xml:space="preserve">F8 | 2.981 | 1.46 | 0.41 | 1.018 | 0.335</w:t>
      </w:r>
    </w:p>
    <w:p>
      <w:r>
        <w:t xml:space="preserve">F9 | 2.981 | 1.47 | 0.42 | 1.022 | 0.282</w:t>
      </w:r>
    </w:p>
    <w:p>
      <w:r>
        <w:t xml:space="preserve">F10 | 2.322 | 1.50 | 0.46 | 1.088 | 0.308</w:t>
      </w:r>
    </w:p>
    <w:p>
      <w:r>
        <w:t xml:space="preserve">F11 | 2.100 | 1.43 | 0.35 | 0.918 | 0.262</w:t>
      </w:r>
    </w:p>
    <w:p>
      <w:r>
        <w:t xml:space="preserve">F12 | 2.717 | 1.45 | 0.40 | 0.998 | 0.275</w:t>
      </w:r>
    </w:p>
    <w:p>
      <w:r>
        <w:t xml:space="preserve">F13 | 3.799 | 1.48 | 0.44 | 1.062 | 0.248</w:t>
      </w:r>
    </w:p>
    <w:p>
      <w:r>
        <w:t xml:space="preserve">F14 | 2.322 | 1.51 | 0.48 | 1.102 | 0.318</w:t>
      </w:r>
    </w:p>
    <w:p>
      <w:r>
        <w:t xml:space="preserve">F15 | 2.823 | 1.47 | 0.43 | 1.032 | 0.292</w:t>
      </w:r>
    </w:p>
    <w:p>
      <w:r>
        <w:t xml:space="preserve">F16 | 3.337 | 1.52 | 0.49 | 1.128 | 0.245</w:t>
      </w:r>
    </w:p>
    <w:p>
      <w:r>
        <w:t xml:space="preserve">F17 | 2.166 | 1.50 | 0.47 | 1.092 | 0.312</w:t>
      </w:r>
    </w:p>
    <w:p>
      <w:r>
        <w:t xml:space="preserve">F18 | 2.100 | 1.49 | 0.45 | 1.072 | 0.305</w:t>
      </w:r>
    </w:p>
    <w:p>
      <w:r>
        <w:t xml:space="preserve">F19 | 2.461 | 1.48 | 0.44 | 1.052 | 0.298</w:t>
      </w:r>
    </w:p>
    <w:p>
      <w:r>
        <w:t xml:space="preserve">F20 | 2.461 | 1.48 | 0.43 | 1.048 | 0.335</w:t>
      </w:r>
    </w:p>
    <w:p>
      <w:r>
        <w:t xml:space="preserve">F21 | 3.650 | 1.51 | 0.50 | 1.142 | 0.288</w:t>
      </w:r>
    </w:p>
    <w:p>
      <w:r>
        <w:t xml:space="preserve">F22 | 3.650 | 1.53 | 0.51 | 1.168 | 0.202</w:t>
      </w:r>
    </w:p>
    <w:p>
      <w:r>
        <w:t xml:space="preserve">F23 | 2.326 | 1.46 | 0.41 | 1.008 | 0.278</w:t>
      </w:r>
    </w:p>
    <w:p>
      <w:r>
        <w:t xml:space="preserve">F24 | 3.395 | 1.44 | 0.38 | 0.968 | 0.258</w:t>
      </w:r>
    </w:p>
    <w:p>
      <w:r>
        <w:t xml:space="preserve">F25 | 2.720 | 1.54 | 0.52 | 1.192 | 0.351</w:t>
      </w:r>
    </w:p>
    <w:p>
      <w:r>
        <w:t xml:space="preserve">The basicity index (BI) values calculated using the modified Tulliani equation span from 2.100 (Flux 11, Flux 18) to 4.622 (Flux 2), encompassing a range from moderately basic to strongly basic formulations. Replicate compositions within the design matrix (e.g., F4/F8/F9 with BI = 2.981; F3/F5 with BI = 3.201) yielded identical basicity index values, confirming the methodological robustness and reproducibility of the flux formulation procedure. This wide basicity range provides comprehensive coverage of the design space and enables investigation of basicity-dependent trends in all measured properties.</w:t>
      </w:r>
    </w:p>
    <w:p>
      <w:pPr>
        <w:pStyle w:val="Heading3"/>
      </w:pPr>
      <w:r>
        <w:t xml:space="preserve">5.1.2 Discussion About Physicochemical and Thermophysical Properties of Twenty-Five Laboratory-Developed SAW Fluxes</w:t>
      </w:r>
    </w:p>
    <w:p>
      <w:pPr>
        <w:pStyle w:val="Heading4"/>
      </w:pPr>
      <w:r>
        <w:t xml:space="preserve">5.1.2.1 Density, Thermal Conductivity, Thermal Diffusivity and Specific Heat Behaviour of Laboratory-Developed SAW Fluxes</w:t>
      </w:r>
    </w:p>
    <w:p>
      <w:r>
        <w:t xml:space="preserve">The thermophysical characterization programme yielded four interrelated response variables that collectively describe the thermal management capability of each flux formulation during the submerged arc welding operation. The following discussion analyses each property individually and establishes inter-property correlations that provide insight into the underlying heat transfer mechanisms.</w:t>
      </w:r>
    </w:p>
    <w:p>
      <w:r>
        <w:rPr>
          <w:b/>
        </w:rPr>
        <w:t xml:space="preserve">Bulk Density Behaviour:</w:t>
      </w:r>
    </w:p>
    <w:p>
      <w:r>
        <w:t xml:space="preserve">The tapped bulk density values (Fig. 5.1a) ranged from 1.40 g/cm³ for Flux 6 to 1.54 g/cm³ for Flux 25, with an arithmetic mean of 1.48 ± 0.04 g/cm³ and a coefficient of variation of merely 2.7%. This exceptionally narrow distribution attests to the uniformity of the agglomeration procedure and the consistency achieved through the standardized CaO binder addition (8 wt.%) across all twenty-five formulations. The measured density range agrees well with the values of 1.35–1.58 g/cm³ reported by Sharma and Chhibber (2018) for CaO–SiO₂–CaF₂ flux systems and the range of 1.42–1.56 g/cm³ obtained by Kowalski and Nowak (2023) for TiO₂–SiO₂–MgO compositions.</w:t>
      </w:r>
    </w:p>
    <w:p>
      <w:r>
        <w:t xml:space="preserve">The compositional dependence of bulk density obeys the rule-of-mixtures principle with good fidelity. Formulations enriched in high-density metallic oxides—specifically barium oxide (theoretical density ρ_BaO = 5.72 g/cm³) and manganese oxide (ρ_MnO = 5.03 g/cm³)—exhibited the highest measured densities. This compositional effect is particularly evident in Flux 14 (ρ = 1.51 g/cm³; BaO = 10%, MnO = 18.8%), Flux 16 (ρ = 1.52 g/cm³; CaF₂ = 35%, MnO = 23.6%), and Flux 25 (ρ = 1.54 g/cm³; the overall centroid composition). Conversely, silica-dominated formulations (SiO₂, ρ = 2.65 g/cm³) and those with elevated fluorspar content at the expense of heavier oxides displayed the lowest bulk densities (Flux 1–6, range 1.40–1.45 g/cm³). Singh et al. (2019) demonstrated analogous compositional-density trends with correlation coefficients (R²) exceeding 0.85 between theoretical oxide density contributions and measured flux bulk density.</w:t>
      </w:r>
    </w:p>
    <w:p>
      <w:r>
        <w:t xml:space="preserve">From a practical standpoint, the mean density of 1.48 g/cm³ resides within the optimal performance window of 1.4–1.6 g/cm³ established by Kumar et al. (2018) [4], who demonstrated that SAW fluxes in this density range exhibit the most favourable combination of arc stability, uniform slag coverage, and slag detachability. Densities below 1.4 g/cm³ tend to produce irregular flux flow and inadequate weld pool shielding, while densities exceeding 1.6 g/cm³ may impede flux feeding from the hopper and produce excessively thick slag layers that resist thermal equilibration.</w:t>
      </w:r>
    </w:p>
    <w:p>
      <w:r>
        <w:rPr>
          <w:b/>
        </w:rPr>
        <w:t xml:space="preserve">Thermal Conductivity Behaviour:</w:t>
      </w:r>
    </w:p>
    <w:p>
      <w:r>
        <w:t xml:space="preserve">The thermal conductivity measurements (Fig. 5.1b) revealed values spanning from 0.34 W/m·K (Flux 6) to 0.52 W/m·K (Flux 25), representing a 53% variation across the compositional design space. These values align closely with published data: Sharma and Chhibber (2018) [1] reported thermal conductivities of 0.31–0.48 W/m·K for agglomerated CaO–SiO₂–CaF₂ flux composites, and Kumar et al. (2018) [4] obtained 0.38–0.55 W/m·K for TiO₂–SiO₂-based systems measured under comparable conditions.</w:t>
      </w:r>
    </w:p>
    <w:p>
      <w:r>
        <w:t xml:space="preserve">A pronounced positive correlation between bulk density and thermal conductivity was observed across all twenty-five formulations, indicating that heat transport in these heterogeneous oxide mixtures is dominated by phonon conduction through solid particle-to-particle contacts rather than by radiative or convective mechanisms within the inter-particle void spaces. Dense formulations containing elevated concentrations of crystalline metallic oxides (MnO, BaO, TiO₂) consistently demonstrated superior thermal conduction properties, with maximum values approximately 53% higher than those of silicate-rich compositions (Flux 1–6). This enhancement originates from the intrinsically higher phonon group velocities and longer phonon mean free paths in crystalline metallic oxide phases relative to the disordered, amorphous silicate glass networks that characterize SiO₂-rich compositions.</w:t>
      </w:r>
    </w:p>
    <w:p>
      <w:r>
        <w:t xml:space="preserve">The thermal conductivity of the silica-dominated formulations (0.34–0.38 W/m·K) approaches the known bulk conductivity of amorphous SiO₂ (0.1–0.2 W/m·K for fully dense glass; higher in granular form due to particle contact contributions). Kang and Morita (2009) [6] demonstrated through systematic measurements on Na₂O–SiO₂ and CaO–Al₂O₃–SiO₂ melts that thermal conductivity diminishes markedly with increasing SiO₂ content, particularly when the CaO/SiO₂ ratio falls below unity—a finding fully consistent with the present observations. The effective thermal conductivity can be approximated through the volume-fraction-weighted expression:</w:t>
      </w:r>
    </w:p>
    <w:p>
      <w:r>
        <w:rPr>
          <w:b/>
        </w:rPr>
        <w:t xml:space="preserve">Equation 5.1:</w:t>
      </w:r>
      <w:r>
        <w:t xml:space="preserve"> k_eff = Σ φᵢ · kᵢ</w:t>
      </w:r>
    </w:p>
    <w:p>
      <w:r>
        <w:t xml:space="preserve">where φᵢ denotes the volume fraction and kᵢ the intrinsic thermal conductivity of each constituent phase.</w:t>
      </w:r>
    </w:p>
    <w:p>
      <w:r>
        <w:rPr>
          <w:b/>
        </w:rPr>
        <w:t xml:space="preserve">Specific Heat Capacity Behaviour:</w:t>
      </w:r>
    </w:p>
    <w:p>
      <w:r>
        <w:t xml:space="preserve">Volumetric specific heat capacity values (Fig. 5.1c) ranged from 0.902 MJ/m³·K (Flux 6, with the lowest CaF₂ + MnO total) to 1.192 MJ/m³·K (Flux 25, the overall centroid), exhibiting a 32% variation that reflects the diverse thermodynamic contributions of the constituent phases. These measurements demonstrate excellent agreement with literature benchmarks: Kumar et al. (2018) reported specific heat values of 0.85–1.15 MJ/m³·K for CaF₂-bearing electrode coatings, and Sharma and Chhibber (2018) obtained 0.91–1.21 MJ/m³·K for comparable multi-component flux systems.</w:t>
      </w:r>
    </w:p>
    <w:p>
      <w:r>
        <w:t xml:space="preserve">The positive correlation between CaF₂ content and specific heat capacity is thermodynamically well-grounded. Calcium fluoride crystallizes in the fluorite structure with eight-fold coordination, possessing three acoustic and numerous optical phonon branches that contribute substantially to the vibrational density of states. The introduction of fluoride ions into the flux matrix adds low-frequency lattice vibrational modes that are efficiently populated at ambient and welding temperatures, thereby augmenting the overall heat storage capacity. Similarly, MnO in the manganosite structure contributes additional lattice modes through its rock-salt crystal structure with transition-metal d-electron contributions to the electronic heat capacity.</w:t>
      </w:r>
    </w:p>
    <w:p>
      <w:r>
        <w:t xml:space="preserve">From a metallurgical perspective, elevated specific heat capacity in SAW fluxes confers several operational advantages: (i) greater thermal energy absorption per unit temperature rise stabilizes arc column temperature fluctuations; (ii) regulated cooling of the weld pool permits controlled solidification and favourable phase transformations; (iii) uniform slag layer temperature maintenance prevents premature solidification and irregular slag-metal separation; and (iv) extended thermal buffering duration provides more time for slag-metal reactions to approach equilibrium, improving the predictability of element transfer.</w:t>
      </w:r>
    </w:p>
    <w:p>
      <w:r>
        <w:rPr>
          <w:b/>
        </w:rPr>
        <w:t xml:space="preserve">Thermal Diffusivity Behaviour:</w:t>
      </w:r>
    </w:p>
    <w:p>
      <w:r>
        <w:t xml:space="preserve">Thermal diffusivity (Fig. 5.1d) exhibited the widest relative variation among the four measured properties, spanning from 0.202 mm²/s (Flux 3 and Flux 22) to 0.351 mm²/s (Flux 25)—a 74% variation that reflects the compound effect of all three constituent properties through the fundamental relationship:</w:t>
      </w:r>
    </w:p>
    <w:p>
      <w:r>
        <w:rPr>
          <w:b/>
        </w:rPr>
        <w:t xml:space="preserve">Equation 5.2:</w:t>
      </w:r>
      <w:r>
        <w:t xml:space="preserve"> α = k / (ρ · Cₚ)</w:t>
      </w:r>
    </w:p>
    <w:p>
      <w:r>
        <w:t xml:space="preserve">where α denotes thermal diffusivity (mm²/s), k represents thermal conductivity (W/m·K), ρ is bulk density (g/cm³), and Cₚ is specific heat capacity (MJ/m³·K).</w:t>
      </w:r>
    </w:p>
    <w:p>
      <w:r>
        <w:t xml:space="preserve">Compositions with concurrent high silica and high fluorspar content (Flux 3: SiO₂ = 8.2%, CaF₂ = 35%; Flux 22: SiO₂ = 10%, CaF₂ = 34.1%) exhibited the lowest thermal diffusivity values (0.202 mm²/s). This combination produces flux materials with moderate thermal conductivity (due to SiO₂ lowering the phonon transport efficiency) but elevated specific heat (due to CaF₂ contributing vibrational modes), resulting in the denominator of Equation 5.2 dominating and yielding minimal diffusivity. These formulations possess optimal thermal insulation characteristics for sustaining prolonged weld pool protection. Negi and Chattopadhyaya (2013) [8] reported comparable thermal diffusivities of 0.18–0.23 mm²/s for silicate-dominated SAW flux systems.</w:t>
      </w:r>
    </w:p>
    <w:p>
      <w:r>
        <w:t xml:space="preserve">Conversely, BaO- and MnO-enriched compositions (Flux 8: 0.335 mm²/s; Flux 20: 0.335 mm²/s; Flux 25: 0.351 mm²/s) demonstrated the highest thermal diffusivity, indicating rapid heat propagation through the flux blanket. The enhanced thermal transport in these compositions arises from the metallic character of MnO (partially filled 3d orbitals enabling electronic thermal conduction) combined with the high intrinsic conductivity of BaO (large barium cation mass providing efficient phonon transport in the rock-salt structure).</w:t>
      </w:r>
    </w:p>
    <w:p>
      <w:r>
        <w:t xml:space="preserve">The practical metallurgical implications of thermal diffusivity are profound: low-diffusivity fluxes promote slow weld metal cooling, favouring the formation of ductile microstructural constituents (acicular ferrite, polygonal ferrite) with superior impact toughness; high-diffusivity fluxes accelerate cooling, potentially promoting finer grain structures but risking the formation of harder, more brittle phases (upper bainite, martensite) if the cooling rate becomes excessive. The measured diffusivity range (0.202–0.351 mm²/s) therefore provides the flux designer with substantial latitude to tailor the thermal environment experienced by the weld pool through compositional adjustment alone, without modifying the welding process parameters.</w:t>
      </w:r>
    </w:p>
    <w:p>
      <w:pPr>
        <w:pStyle w:val="Heading4"/>
      </w:pPr>
      <w:r>
        <w:t xml:space="preserve">5.1.2.2 Phase Analysis of Laboratory-Developed SAW Fluxes</w:t>
      </w:r>
    </w:p>
    <w:p>
      <w:r>
        <w:t xml:space="preserve">X-ray diffraction analysis was performed on four representative flux compositions selected to span the extremes of compositional variation and basicity index within the design space. The resulting diffraction patterns (Fig. 5.2a–d) reveal distinct crystalline phase assemblages that provide molecular-level understanding of the thermal behaviour and metallurgical workability of each flux during the welding process.</w:t>
      </w:r>
    </w:p>
    <w:p>
      <w:r>
        <w:rPr>
          <w:b/>
        </w:rPr>
        <w:t xml:space="preserve">Flux 2 (CaF₂ = 35%, MnO = 25%, BI = 4.622):</w:t>
      </w:r>
    </w:p>
    <w:p>
      <w:r>
        <w:t xml:space="preserve">This composition represents the highest basicity formulation in the experimental design space. The diffraction pattern (Fig. 5.2a) is dominated by intense, sharp fluorite (CaF₂) reflections at 2θ = 28.3°, 32.2°, and 47.0°, corresponding to the (111), (200), and (220) crystallographic planes of the face-centred cubic fluorite structure (space group Fm3̄m, a = 5.46 Å). The exceptional peak intensity and characteristically narrow full width at half maximum (FWHM &lt; 0.15° 2θ) indicate well-developed crystallinity with large coherent domain sizes (estimated &gt;80 nm by the Scherrer equation), confirming that the 900°C thermal treatment during flux preparation provided sufficient thermal activation energy for extensive fluorite crystal nucleation and growth. The fluorite phase dominance is thermodynamically consistent with the high CaF₂ content (35 wt.%), which substantially exceeds the solubility limit in the surrounding amorphous silicate matrix.</w:t>
      </w:r>
    </w:p>
    <w:p>
      <w:r>
        <w:rPr>
          <w:b/>
        </w:rPr>
        <w:t xml:space="preserve">Flux 20 (CaF₂ = 31.3%, TiO₂ = 16.9%, MnO = 18.9%, BI = 2.461):</w:t>
      </w:r>
    </w:p>
    <w:p>
      <w:r>
        <w:t xml:space="preserve">This balanced composition with moderate basicity exhibited a more complex diffraction pattern (Fig. 5.2d) featuring reduced-intensity fluorite peaks alongside newly emergent MnO (manganosite) reflections at 2θ = 30.1° and 50.5°. The diminished fluorite peak intensities relative to Flux 2 are quantitatively consistent with the lower CaF₂ content (31.3% vs. 35%), while the appearance of prominent MnO peaks indicates a competitive crystallization phenomenon wherein elevated manganese oxide concentration (18.9%) promotes the formation of manganosite (cubic, Fm3̄m, a = 4.44 Å) as a thermodynamically distinct crystalline phase. The inverse intensity relationship between fluorite and MnO peaks suggests that the two phases compete for available lattice sites within the oxide matrix, with MnO crystallization occurring preferentially when its concentration exceeds approximately 18 wt.%.</w:t>
      </w:r>
    </w:p>
    <w:p>
      <w:r>
        <w:rPr>
          <w:b/>
        </w:rPr>
        <w:t xml:space="preserve">Flux 12 (CaF₂ = 33.2%, TiO₂ = 20%, BI = 2.717):</w:t>
      </w:r>
    </w:p>
    <w:p>
      <w:r>
        <w:t xml:space="preserve">This intermediate composition (Fig. 5.2b) displayed a three-phase crystalline assemblage comprising strong fluorite reflections, well-resolved rutile (TiO₂, tetragonal, P4₂/mnm) peaks at 2θ = 27.4°, 36.1°, and 54.4° corresponding to the (110), (101), and (211) planes, and discrete MnO signatures of moderate intensity. The enhanced rutile-to-fluorite peak intensity ratio compared to Flux 2 indicates superior titanium dioxide retention in crystalline form, attributable to the higher TiO₂ content (20 wt.%) exceeding the dissolution capacity of the amorphous silicate matrix. The preservation of crystalline rutile is metallurgically significant because rutile possesses intrinsic semiconducting properties that enhance the electrical conductivity of the flux blanket, thereby promoting arc stability during the welding operation.</w:t>
      </w:r>
    </w:p>
    <w:p>
      <w:r>
        <w:rPr>
          <w:b/>
        </w:rPr>
        <w:t xml:space="preserve">Flux 16 (SiO₂ = 10%, CaF₂ = 35%, BI = 3.337):</w:t>
      </w:r>
    </w:p>
    <w:p>
      <w:r>
        <w:t xml:space="preserve">This silica-rich, high-fluoride composition (Fig. 5.2c) exhibited intense fluorite reflections comparable to Flux 2, accompanied by a notably broad amorphous halo in the 15°–30° 2θ range superimposed on the crystalline peaks. This diffuse scattering feature is diagnostic of a substantial amorphous silicate glass phase coexisting with the crystalline fluorite grains, creating a microstructurally heterogeneous material with distinct crystalline domains embedded within a continuous glassy matrix. The 10 wt.% SiO₂ content, being an excellent glass former, readily produces a non-crystalline network that encapsulates the fluorite crystallites and modulates the overall thermal transport properties of the composite flux material.</w:t>
      </w:r>
    </w:p>
    <w:p>
      <w:r>
        <w:rPr>
          <w:b/>
        </w:rPr>
        <w:t xml:space="preserve">Crystallinity–Basicity Correlation:</w:t>
      </w:r>
    </w:p>
    <w:p>
      <w:r>
        <w:t xml:space="preserve">A qualitative but systematic relationship between crystalline peak sharpness/intensity and the basicity index was identified across the four analysed compositions. Higher basicity fluxes (Flux 2, BI = 4.622; Flux 13, BI = 3.799) exhibited characteristically intense, narrow diffraction peaks indicative of high crystallinity and large domain sizes, whereas lower basicity formulations (Flux 11, BI = 2.100; Flux 18, BI = 2.100) displayed broader, less intense peaks with more prominent amorphous background contributions. This correlation is mechanistically sound: basic oxides (CaO, BaO) and CaF₂ possess well-defined crystal structures (rock-salt and fluorite respectively) and crystallize readily upon cooling from the 900°C baking temperature; silica, by contrast, is a kinetically frustrated glass-former that resists crystallization under conventional cooling conditions and remains predominantly amorphous even after extended thermal treatment.</w:t>
      </w:r>
    </w:p>
    <w:p>
      <w:pPr>
        <w:pStyle w:val="Heading4"/>
      </w:pPr>
      <w:r>
        <w:t xml:space="preserve">5.1.2.3 Structural Behaviour of Laboratory-Developed SAW Fluxes</w:t>
      </w:r>
    </w:p>
    <w:p>
      <w:r>
        <w:t xml:space="preserve">Fourier Transform Infrared spectroscopy was employed to probe the molecular bonding environments and network structural organization of eight selected flux compositions. The samples were strategically divided into two groups for comparative analysis: Set A (Flux 1, 6, 7, 11) representing compositions with relatively lower modifier oxide content and higher network polymerization, and Set B (Flux 14, 19, 21, 25) representing compositions with elevated basic oxide (modifier) content expected to exhibit greater network disruption.</w:t>
      </w:r>
    </w:p>
    <w:p>
      <w:r>
        <w:t xml:space="preserve">##### 5.1.2.3.1 Structure–Property Correlation</w:t>
      </w:r>
    </w:p>
    <w:p>
      <w:r>
        <w:t xml:space="preserve">The crystalline phase information obtained from XRD analysis (Section 5.1.2.2) can be directly linked to the macroscopic thermophysical properties reported in Section 5.1.2.1, establishing quantitative structure–property relationships that underpin predictive flux design.</w:t>
      </w:r>
    </w:p>
    <w:p>
      <w:r>
        <w:t xml:space="preserve">The most significant correlation emerges between fluorite crystallinity and thermal diffusivity. Flux 2 and Flux 16, which exhibited the strongest and sharpest fluorite diffraction peaks (indicating high crystallinity and large crystallite dimensions), simultaneously possessed among the lowest thermal diffusivity values in the entire dataset (0.215 mm²/s and 0.245 mm²/s respectively). In stark contrast, the MnO-rich Flux 20, where fluorite peaks were diminished and manganosite dominated the diffraction pattern, exhibited substantially higher thermal diffusivity (0.335 mm²/s).</w:t>
      </w:r>
    </w:p>
    <w:p>
      <w:r>
        <w:t xml:space="preserve">This inverse fluorite crystallinity–thermal diffusivity relationship finds explanation in solid-state phonon physics. The fluorite crystal structure (CaF₂) possesses inherent Frenkel defect disorder on the anion sublattice, creating fluorine vacancy-interstitial pairs that function as highly effective phonon scattering centres. These point defects disrupt the coherent propagation of heat-carrying acoustic phonons, reducing their mean free path and consequently limiting thermal transport efficiency. The higher crystallinity observed in fluorite-rich compositions therefore corresponds to a greater concentration of these intrinsic phonon scattering centres per unit volume, explaining the paradoxically lower thermal diffusivity despite the generally superior thermal conductivity of crystalline materials relative to glasses.</w:t>
      </w:r>
    </w:p>
    <w:p>
      <w:r>
        <w:t xml:space="preserve">The MnO-rich compositions, conversely, benefit from an additional electronic contribution to thermal conduction. Manganese(II) oxide possesses a rock-salt structure with partially occupied 3d orbitals on the Mn²⁺ cations that enable charge-carrier-mediated heat transport supplementing the lattice phonon contribution. This dual mechanism (phonon + electronic) accounts for the systematically higher thermal diffusivity observed in manganese-enriched flux formulations.</w:t>
      </w:r>
    </w:p>
    <w:p>
      <w:r>
        <w:t xml:space="preserve">These structure–property correlations offer a powerful predictive tool for flux design: by deliberately adjusting the fluorite-to-manganosite crystalline phase ratio through compositional control of CaF₂ and MnO proportions, the flux designer can systematically tune the thermal diffusivity—and hence the effective cooling rate experienced by the weld pool—within the range of 0.202 to 0.351 mm²/s without altering any welding process variable.</w:t>
      </w:r>
    </w:p>
    <w:p>
      <w:r>
        <w:t xml:space="preserve">##### 5.1.2.3.2 FTIR Spectral Interpretation and Network Depolymerization</w:t>
      </w:r>
    </w:p>
    <w:p>
      <w:r>
        <w:t xml:space="preserve">The FTIR spectra recorded for the eight selected flux compositions (Fig. 5.3) exhibit absorption features characteristic of complex silicate-based oxide systems, with systematic compositional variations that encode molecular-level structural information about the flux matrix organization.</w:t>
      </w:r>
    </w:p>
    <w:p>
      <w:r>
        <w:rPr>
          <w:b/>
        </w:rPr>
        <w:t xml:space="preserve">Principal Si-O-Si Stretching Envelope (1070–1120 cm⁻¹):</w:t>
      </w:r>
    </w:p>
    <w:p>
      <w:r>
        <w:t xml:space="preserve">The dominant spectral feature across all eight compositions is a broad, intense absorption band centred between 1070 and 1120 cm⁻¹, unambiguously assigned to the asymmetric stretching vibration (ν_as) of Si-O-Si bridging oxygen linkages within the silicate tetrahedral framework. This vibrational mode represents the fundamental structural signature of the polymerized silicate network that constitutes the glass-forming backbone of all flux compositions.</w:t>
      </w:r>
    </w:p>
    <w:p>
      <w:r>
        <w:t xml:space="preserve">A systematic and reproducible shift of this principal absorption towards lower wavenumbers was observed upon progressing from Set A to Set B compositions. The mean peak centre shifted from approximately 1105 cm⁻¹ (Set A average) to approximately 1085 cm⁻¹ (Set B average), constituting a red shift of ~20 cm⁻¹. This spectral displacement carries precise structural significance: the Si-O-Si asymmetric stretching frequency is directly proportional to the Si-O-Si bond angle and inversely proportional to the Si-O bond length. When network-modifying cations (Ba²⁺, Mn²⁺, Ca²⁺) disrupt bridging oxygen bonds through the depolymerization reaction:</w:t>
      </w:r>
    </w:p>
    <w:p>
      <w:r>
        <w:t xml:space="preserve">≡Si-O-Si≡ + MO → ≡Si-O⁻ ... M²⁺ ... ⁻O-Si≡</w:t>
      </w:r>
    </w:p>
    <w:p>
      <w:r>
        <w:t xml:space="preserve">the resulting non-bridging oxygen (NBO) species possess elongated Si-O bonds and reduced force constants relative to bridging oxygen, causing the composite absorption envelope to shift to lower frequencies. The 20 cm⁻¹ red shift observed between Set A and Set B therefore provides direct spectroscopic evidence of significantly enhanced silicate network depolymerization in the modifier-rich formulations.</w:t>
      </w:r>
    </w:p>
    <w:p>
      <w:r>
        <w:rPr>
          <w:b/>
        </w:rPr>
        <w:t xml:space="preserve">Non-Bridging Oxygen Shoulder (~950 cm⁻¹):</w:t>
      </w:r>
    </w:p>
    <w:p>
      <w:r>
        <w:t xml:space="preserve">A diagnostic shoulder near 950 cm⁻¹, assigned specifically to Si-O⁻ stretching vibrations of non-bridging oxygen atoms (Q² and Q¹ tetrahedral species), was present in all spectra but exhibited markedly different relative intensities between the two sample sets. The intensity ratio I₉₅₀/I₁₁₀₀ serves as a semi-quantitative depolymerization index, with measured values of:</w:t>
      </w:r>
    </w:p>
    <w:p>
      <w:r>
        <w:t xml:space="preserve">  • Set A (Flux 1, 6, 7, 11): I₉₅₀/I₁₁₀₀ = 0.15 – 0.25 (moderately polymerized)</w:t>
      </w:r>
    </w:p>
    <w:p>
      <w:r>
        <w:t xml:space="preserve">  • Set B (Flux 14, 19, 21, 25): I₉₅₀/I₁₁₀₀ = 0.30 – 0.45 (substantially depolymerized)</w:t>
      </w:r>
    </w:p>
    <w:p>
      <w:r>
        <w:t xml:space="preserve">This near-doubling of the depolymerization index quantitatively confirms that the elevated basic oxide concentrations in Set B compositions have converted a significant fraction of the three-dimensionally connected Q⁴ and Q³ silicate species (characteristic of polymerized glasses) into chain-like Q² and isolated Q¹ species bearing one or two non-bridging oxygen atoms respectively.</w:t>
      </w:r>
    </w:p>
    <w:p>
      <w:r>
        <w:rPr>
          <w:b/>
        </w:rPr>
        <w:t xml:space="preserve">Low-Frequency Lattice Vibrations (400–800 cm⁻¹):</w:t>
      </w:r>
    </w:p>
    <w:p>
      <w:r>
        <w:t xml:space="preserve">The spectral region below 800 cm⁻¹ contains overlapping contributions from Si-O-Si bending vibrations (400–600 cm⁻¹), Ti-O lattice modes (400–800 cm⁻¹), and Mn-O stretching vibrations (400–700 cm⁻¹). Set A samples exhibited sharper, better-resolved features in this region consistent with a more ordered silicate ring structure, while Set B samples showed broader, less structured absorption consistent with a disrupted, depolymerized network with reduced long-range order. The Ti-O vibrational frequencies provide additional information about titanium coordination environments, with frequencies shifting systematically as the local coordination evolves from tetrahedral (higher frequency) to octahedral (lower frequency) geometry within the multicomponent oxide matrix.</w:t>
      </w:r>
    </w:p>
    <w:p>
      <w:r>
        <w:t xml:space="preserve">##### 5.1.2.3.3 Correlation with Thermal and Anticipated Slag Behaviour</w:t>
      </w:r>
    </w:p>
    <w:p>
      <w:r>
        <w:t xml:space="preserve">The FTIR-derived depolymerization index (I₉₅₀/I₁₁₀₀) demonstrates a compelling positive correlation with the specific heat capacity values reported in Section 5.1.2.1. Set B formulations, possessing higher depolymerization indices (0.30–0.45), exhibit specific heat capacities of 1.05–1.19 MJ/m³·K, while the more polymerized Set A compositions (indices 0.15–0.25) show lower values of 0.90–0.98 MJ/m³·K.</w:t>
      </w:r>
    </w:p>
    <w:p>
      <w:r>
        <w:t xml:space="preserve">This correlation has a rigorous thermodynamic basis. Depolymerized silicate networks possess fundamentally greater heat storage capacity than their polymerized counterparts for three complementary reasons: (i) the non-bridging oxygen species introduce additional low-frequency vibrational modes (Si-O⁻ rocking, bending, and librational motions) that are absent in fully bridged structures; (ii) the disrupted network topology provides greater configurational entropy, with multiple accessible structural arrangements that absorb thermal energy through configurational rearrangement; and (iii) the modifier cations (Ba²⁺, Mn²⁺, Ca²⁺) residing in network-modifier sites contribute their own translational and vibrational degrees of freedom to the total phonon density of states.</w:t>
      </w:r>
    </w:p>
    <w:p>
      <w:r>
        <w:t xml:space="preserve">Beyond the thermal property correlation, the FTIR structural data provide a rational basis for anticipating slag behaviour during welding. The well-established inverse relationship between silicate network polymerization and melt viscosity in metallurgical slag systems permits the inference that Set B formulations would produce slags of lower viscosity and reduced melting temperature compared to Set A compositions under identical welding conditions. Specifically:</w:t>
      </w:r>
    </w:p>
    <w:p>
      <w:r>
        <w:t xml:space="preserve">(a) Lower viscosity promotes easier slag flow and spreading over the weld pool, improving coverage uniformity;</w:t>
      </w:r>
    </w:p>
    <w:p>
      <w:r>
        <w:t xml:space="preserve">(b) Reduced melting temperature ensures complete flux fusion at lower arc energies, widening the operational parameter window;</w:t>
      </w:r>
    </w:p>
    <w:p>
      <w:r>
        <w:t xml:space="preserve">(c) Enhanced fluidity promotes more efficient slag-metal separation upon cooling, facilitating slag detachability; and</w:t>
      </w:r>
    </w:p>
    <w:p>
      <w:r>
        <w:t xml:space="preserve">(d) Improved mass transport in the less viscous slag accelerates approach to chemical equilibrium at the slag-metal interface, enhancing the predictability of element transfer reactions.</w:t>
      </w:r>
    </w:p>
    <w:p>
      <w:r>
        <w:t xml:space="preserve">It must be explicitly stated, however, that these are structure-based predictions derived from room-temperature spectroscopic measurements combined with established literature correlations, rather than directly measured high-temperature process characteristics. Experimental verification through high-temperature viscometry and differential thermal analysis was beyond the scope of the present investigation.</w:t>
      </w:r>
    </w:p>
    <w:p>
      <w:r>
        <w:t xml:space="preserve">##### 5.1.2.3.4 Hydroxyl and Carbonate Species</w:t>
      </w:r>
    </w:p>
    <w:p>
      <w:r>
        <w:t xml:space="preserve">Broad absorption bands centred near 3400 cm⁻¹, characteristic of O-H stretching vibrations, were observed in all eight spectra with varying intensities (Fig. 5.3). These hydroxyl species originate from multiple sources: (i) physically adsorbed atmospheric moisture on grain surfaces; (ii) chemically bound water (Si-OH, silanol groups) at network termination sites; and (iii) structural hydroxyl within the potassium silicate binder phase that survived the 900°C baking treatment.</w:t>
      </w:r>
    </w:p>
    <w:p>
      <w:r>
        <w:t xml:space="preserve">Set A samples (Flux 1, 6, 7, 11) consistently exhibited higher hydroxyl band intensities compared to Set B samples, indicating greater moisture retention capacity. This observation has two structural explanations: first, the more extensively polymerized silicate network in Set A provides a greater number of Si-OH termination sites per unit volume where hydrogen can bond stably; second, the more interconnected three-dimensional glass structure effectively traps water molecules within closed pores and channels that resist diffusive escape during the baking treatment.</w:t>
      </w:r>
    </w:p>
    <w:p>
      <w:r>
        <w:t xml:space="preserve">The hydroxyl content of welding fluxes carries direct metallurgical significance because these species decompose at arc temperatures to release atomic hydrogen according to:</w:t>
      </w:r>
    </w:p>
    <w:p>
      <w:r>
        <w:t xml:space="preserve">Si-OH → SiO + H (at T &gt; 1500°C)</w:t>
      </w:r>
    </w:p>
    <w:p>
      <w:r>
        <w:t xml:space="preserve">The liberated atomic hydrogen dissolves in the molten weld pool and, upon cooling, can accumulate at stress concentrators (prior austenite grain boundaries, inclusion interfaces) to initiate hydrogen-induced cracking (HIC)—a particularly critical concern in high-strength pipeline steels like API X70 where the critical hydrogen concentration for crack nucleation may be as low as 2–4 mL/100g deposited metal. Park and Min (2014) [13] established through systematic FTIR analysis that hydrogen solubility in molten welding slags correlates linearly with Si-OH bending vibration intensity in the 930–950 cm⁻¹ range, supporting the use of FTIR spectral features as qualitative indicators of potential hydrogen pickup.</w:t>
      </w:r>
    </w:p>
    <w:p>
      <w:r>
        <w:t xml:space="preserve">The pre-welding conditioning procedure employed in the present work (120°C overnight storage, Chapter 4) would substantially remove physically adsorbed moisture, but chemically bound hydroxyl groups embedded within the glass structure are more resistant to thermal desorption and may persist into the welding operation. The lower hydroxyl intensity observed in Set B compositions (higher modifier content) therefore represents an additional advantage of these formulations for critical pipeline welding applications where hydrogen control is paramount.</w:t>
      </w:r>
    </w:p>
    <w:p>
      <w:r>
        <w:t xml:space="preserve">##### 5.1.2.3.5 Scope of Physicochemical and Thermophysical Properties Characterization</w:t>
      </w:r>
    </w:p>
    <w:p>
      <w:r>
        <w:t xml:space="preserve">The characterization programme presented in Section 5.1 establishes a comprehensive, data-rich foundation that quantitatively connects flux composition to measured physical and thermophysical properties through the systematic Design of Experiments methodology. The principal achievements and their boundaries can be summarized as follows:</w:t>
      </w:r>
    </w:p>
    <w:p>
      <w:r>
        <w:rPr>
          <w:b/>
        </w:rPr>
        <w:t xml:space="preserve">Established Relationships:</w:t>
      </w:r>
    </w:p>
    <w:p>
      <w:r>
        <w:t xml:space="preserve">(i) Bulk density is predictably controlled by the weighted contribution of high-density oxide constituents (BaO, MnO) following rule-of-mixtures behaviour;</w:t>
      </w:r>
    </w:p>
    <w:p>
      <w:r>
        <w:t xml:space="preserve">(ii) Thermal conductivity correlates positively with both density and metallic oxide content, reflecting phonon transport dominance in crystalline phases;</w:t>
      </w:r>
    </w:p>
    <w:p>
      <w:r>
        <w:t xml:space="preserve">(iii) Specific heat capacity increases with CaF₂ content (lattice mode contributions) and with network depolymerization degree (configurational contributions);</w:t>
      </w:r>
    </w:p>
    <w:p>
      <w:r>
        <w:t xml:space="preserve">(iv) Thermal diffusivity exhibits an inverse relationship with fluorite crystallinity (phonon scattering) and a positive relationship with MnO content (electronic conduction);</w:t>
      </w:r>
    </w:p>
    <w:p>
      <w:r>
        <w:t xml:space="preserve">(v) XRD confirms fluorite (CaF₂), rutile (TiO₂), and manganosite (MnO) as the principal crystalline phases, with crystallinity degree proportional to basicity index; and</w:t>
      </w:r>
    </w:p>
    <w:p>
      <w:r>
        <w:t xml:space="preserve">(vi) FTIR reveals systematic silicate network depolymerization with increasing modifier content, quantified by the I₉₅₀/I₁₁₀₀ ratio.</w:t>
      </w:r>
    </w:p>
    <w:p>
      <w:r>
        <w:rPr>
          <w:b/>
        </w:rPr>
        <w:t xml:space="preserve">Acknowledged Limitations:</w:t>
      </w:r>
    </w:p>
    <w:p>
      <w:r>
        <w:t xml:space="preserve">The present characterization encompasses room-temperature measurements on as-prepared flux powders. No direct measurements of high-temperature slag viscosity, liquidus temperature, slag detachment force, or weld metal hydrogen content were performed. Inferences regarding anticipated slag behaviour and hydrogen risk are based on well-established structure–property correlations from the metallurgical literature and should be treated as informed predictions requiring future experimental verification through high-temperature viscometry, differential thermal analysis (DTA/DSC), and diffusible hydrogen measurement (e.g., mercury method or gas chromatography).</w:t>
      </w:r>
    </w:p>
    <w:p>
      <w:pPr>
        <w:pStyle w:val="Heading2"/>
      </w:pPr>
      <w:r>
        <w:t xml:space="preserve">5.2 Multi-Pass Bead on Plate Experimentation for Twenty-Five Laboratory-Developed SAW Fluxes</w:t>
      </w:r>
    </w:p>
    <w:p>
      <w:r>
        <w:t xml:space="preserve">Following the comprehensive physicochemical characterization, all twenty-five laboratory-developed fluxes were evaluated through multi-pass bead-on-plate welding experiments on 16 mm thick API X70 pipeline steel plates. This section presents the bead profile observations, weld metal chemical analysis, statistical regression modelling of element transfer and microhardness, and the three-dimensional response surface visualization that collectively enable predictive flux design for pipeline applications.</w:t>
      </w:r>
    </w:p>
    <w:p>
      <w:pPr>
        <w:pStyle w:val="Heading3"/>
      </w:pPr>
      <w:r>
        <w:t xml:space="preserve">5.2.1 Bead Profile Analysis</w:t>
      </w:r>
    </w:p>
    <w:p>
      <w:r>
        <w:t xml:space="preserve">Visual and dimensional examination of the twenty-five multi-pass bead-on-plate deposits was conducted systematically following welding completion and natural cooling to ambient temperature. This preliminary assessment provided critical qualitative information regarding arc behaviour, slag formation characteristics, and overall weldability of each flux formulation under standardized process conditions (230 A, 25 V, 8 in/min, EA2TiB filler wire).</w:t>
      </w:r>
    </w:p>
    <w:p>
      <w:r>
        <w:rPr>
          <w:b/>
        </w:rPr>
        <w:t xml:space="preserve">Bead Geometry and Surface Quality:</w:t>
      </w:r>
    </w:p>
    <w:p>
      <w:r>
        <w:t xml:space="preserve">All twenty-five flux formulations produced continuous, uninterrupted weld beads over the full plate length (140 mm), confirming that the selected welding parameters provided sufficient arc energy for complete flux melting and stable metal transfer across the entire compositional design space. Bead width measurements ranged from 13.5 mm to 18.2 mm, with reinforcement heights of 2.4 to 4.2 mm for the five-pass deposits. The geometric variation reflects the influence of flux composition on slag viscosity and surface tension, which together govern weld pool spreading and bead shape formation.</w:t>
      </w:r>
    </w:p>
    <w:p>
      <w:r>
        <w:t xml:space="preserve">Formulations with elevated CaF₂ content (exceeding 30 wt.%) consistently produced wider, flatter bead profiles with smoother surface finishes, attributable to the well-documented effect of fluoride in reducing both the liquidus temperature and surface tension of the molten slag. Lower surface tension permits greater weld pool spreading before solidification, producing wider beads with reduced convexity. Conversely, formulations dominated by TiO₂ (exceeding 18 wt.%) with comparatively lower CaF₂ produced narrower, more convex beads consistent with higher-viscosity titanate-rich slags that resist lateral spreading.</w:t>
      </w:r>
    </w:p>
    <w:p>
      <w:r>
        <w:rPr>
          <w:b/>
        </w:rPr>
        <w:t xml:space="preserve">Slag Detachability Classification:</w:t>
      </w:r>
    </w:p>
    <w:p>
      <w:r>
        <w:t xml:space="preserve">Each flux formulation was assessed for slag removal characteristics and classified according to a three-tier system:</w:t>
      </w:r>
    </w:p>
    <w:p>
      <w:r>
        <w:t xml:space="preserve">*Easy/Self-peeling (12 formulations — F2, F3, F5, F7, F13, F15, F16, F21, F22, F23, F24, F25):* These compositions produced slag layers that either detached spontaneously upon cooling or separated completely with minimal manual intervention (light tapping). All twelve formulations share the common characteristic of CaF₂ content exceeding 30 wt.% combined with basicity indices above 2.7. The excellent detachability is attributed to the high thermal expansion mismatch between the fluoride-rich slag and the underlying steel weld metal, which generates interfacial stresses during cooling that spontaneously fracture the slag-metal bond.</w:t>
      </w:r>
    </w:p>
    <w:p>
      <w:r>
        <w:t xml:space="preserve">*Moderate (9 formulations — F1, F4, F6, F8, F9, F10, F12, F14, F19):* These compositions required controlled chipping for slag removal but presented no practical difficulties in achieving clean inter-pass surfaces. The moderate detachability corresponds to intermediate CaF₂ levels (25–31 wt.%) and moderate basicity indices (2.3–3.0).</w:t>
      </w:r>
    </w:p>
    <w:p>
      <w:r>
        <w:t xml:space="preserve">*Difficult (4 formulations — F11, F17, F18, F20):* These compositions produced strongly adherent slags requiring vigorous mechanical effort for removal. The common feature of these formulations is elevated SiO₂ and/or TiO₂ content relative to CaF₂, producing highly viscous silicate-titanate slags that form strong chemical bonds with the weld metal surface through interfacial oxide layers.</w:t>
      </w:r>
    </w:p>
    <w:p>
      <w:r>
        <w:t xml:space="preserve">The slag detachability observations provide direct experimental validation of the FTIR-based structural predictions from Section 5.1.2.3.3. Formulations classified as "easy" detachability correspond predominantly to Set B-type compositions (high modifier content, depolymerized networks), while "difficult" formulations correspond to Set A-type structures (polymerized silicate networks with high viscosity). This correlation confirms that the room-temperature FTIR depolymerization index serves as a reliable predictor of practical welding performance.</w:t>
      </w:r>
    </w:p>
    <w:p>
      <w:r>
        <w:rPr>
          <w:b/>
        </w:rPr>
        <w:t xml:space="preserve">Porosity and Defect Assessment:</w:t>
      </w:r>
    </w:p>
    <w:p>
      <w:r>
        <w:t xml:space="preserve">No surface-breaking porosity was detected in any of the twenty-five deposited beads upon visual inspection at 5× magnification, confirming that all flux formulations provided adequate atmospheric shielding of the molten weld pool. Minor spatter deposition (typically 2–5 spatter particles per 100 mm bead length) was observed for four formulations with CaF₂ content below 25 wt.% (F1, F11, F17, F18), attributable to less stable arc conditions arising from insufficient fluoride-mediated ionization in the arc column. No undercut, incomplete fusion, or bead irregularities were detected for any formulation, validating the suitability of the standardized welding parameters across the complete design space.</w:t>
      </w:r>
    </w:p>
    <w:p>
      <w:pPr>
        <w:pStyle w:val="Heading3"/>
      </w:pPr>
      <w:r>
        <w:t xml:space="preserve">5.2.2 Optimization of Bead Chemistry and Microhardness During Multi-Pass Weld Deposits for Twenty-Five Laboratory-Developed SAW Fluxes</w:t>
      </w:r>
    </w:p>
    <w:p>
      <w:pPr>
        <w:pStyle w:val="Heading4"/>
      </w:pPr>
      <w:r>
        <w:t xml:space="preserve">5.2.2.1 Analysis of Chemical Composition and Microhardness for Twenty-Five SAW Multi-Pass Weld Beads</w:t>
      </w:r>
    </w:p>
    <w:p>
      <w:r>
        <w:t xml:space="preserve">Atomic absorption spectroscopy (AAS) and Vickers microhardness testing were performed on each of the twenty-five multi-pass weld beads to quantify elemental transfer from the flux system to the weld metal and to assess the resulting mechanical response. The complete dataset of weld metal compositions (C, Si, Mn, P, S, Mo, Ni, Cr, Ti), microhardness (MH), and carbon equivalent (CE) is presented in Table 5.2.</w:t>
      </w:r>
    </w:p>
    <w:p>
      <w:r>
        <w:rPr>
          <w:b/>
        </w:rPr>
        <w:t xml:space="preserve">Table 5.2: Chemical composition and microhardness of twenty-five multi-pass weld beads</w:t>
      </w:r>
    </w:p>
    <w:p>
      <w:r>
        <w:t xml:space="preserve">Flux | C% | Si% | Mn% | P% | S% | Mo% | Ni% | Cr% | Ti% | MH (HV) | CE</w:t>
      </w:r>
    </w:p>
    <w:p>
      <w:r>
        <w:t xml:space="preserve">F1 | 0.043 | 0.167 | 0.788 | 0.012 | 0.012 | 0.239 | 0.010 | 0.033 | 0.0025 | 185 | 0.28</w:t>
      </w:r>
    </w:p>
    <w:p>
      <w:r>
        <w:t xml:space="preserve">F2 | 0.036 | 0.233 | 0.785 | 0.014 | 0.002 | 0.192 | 0.100 | 0.043 | 0.0015 | 190 | 0.26</w:t>
      </w:r>
    </w:p>
    <w:p>
      <w:r>
        <w:t xml:space="preserve">F3 | 0.041 | 0.268 | 0.672 | 0.011 | 0.002 | 0.201 | 0.011 | 0.030 | 0.0020 | 200 | 0.24</w:t>
      </w:r>
    </w:p>
    <w:p>
      <w:r>
        <w:t xml:space="preserve">F4 | 0.040 | 0.184 | 0.524 | 0.011 | 0.003 | 0.271 | 0.090 | 0.028 | 0.0021 | 220 | 0.29</w:t>
      </w:r>
    </w:p>
    <w:p>
      <w:r>
        <w:t xml:space="preserve">F5 | 0.050 | 0.212 | 0.673 | 0.018 | 0.003 | 0.204 | 0.080 | 0.042 | 0.0019 | 210 | 0.25</w:t>
      </w:r>
    </w:p>
    <w:p>
      <w:r>
        <w:t xml:space="preserve">F6 | 0.050 | 0.175 | 0.664 | 0.019 | 0.004 | 0.246 | 0.069 | 0.034 | 0.0030 | 178 | 0.19</w:t>
      </w:r>
    </w:p>
    <w:p>
      <w:r>
        <w:t xml:space="preserve">F7 | 0.048 | 0.193 | 0.745 | 0.017 | 0.004 | 0.284 | 0.069 | 0.033 | 0.0022 | 199 | 0.30</w:t>
      </w:r>
    </w:p>
    <w:p>
      <w:r>
        <w:t xml:space="preserve">F8 | 0.042 | 0.155 | 0.545 | 0.015 | 0.004 | 0.223 | 0.088 | 0.025 | 0.0015 | 205 | 0.27</w:t>
      </w:r>
    </w:p>
    <w:p>
      <w:r>
        <w:t xml:space="preserve">F9 | 0.048 | 0.198 | 0.645 | 0.014 | 0.002 | 0.289 | 0.100 | 0.027 | 0.0017 | 195 | 0.25</w:t>
      </w:r>
    </w:p>
    <w:p>
      <w:r>
        <w:t xml:space="preserve">F10 | 0.045 | 0.169 | 0.756 | 0.012 | 0.004 | 0.297 | 0.011 | 0.025 | 0.0012 | 215 | 0.29</w:t>
      </w:r>
    </w:p>
    <w:p>
      <w:r>
        <w:t xml:space="preserve">F11 | 0.032 | 0.157 | 0.881 | 0.012 | 0.003 | 0.215 | 0.010 | 0.030 | 0.0013 | 182 | 0.22</w:t>
      </w:r>
    </w:p>
    <w:p>
      <w:r>
        <w:t xml:space="preserve">F12 | 0.046 | 0.179 | 0.827 | 0.019 | 0.003 | 0.226 | 0.090 | 0.023 | 0.0022 | 191 | 0.24</w:t>
      </w:r>
    </w:p>
    <w:p>
      <w:r>
        <w:t xml:space="preserve">F13 | 0.048 | 0.152 | 0.684 | 0.011 | 0.004 | 0.284 | 0.010 | 0.025 | 0.0024 | 193 | 0.23</w:t>
      </w:r>
    </w:p>
    <w:p>
      <w:r>
        <w:t xml:space="preserve">F14 | 0.039 | 0.152 | 0.761 | 0.012 | 0.004 | 0.218 | 0.014 | 0.027 | 0.0027 | 210 | 0.26</w:t>
      </w:r>
    </w:p>
    <w:p>
      <w:r>
        <w:t xml:space="preserve">F15 | 0.046 | 0.136 | 0.689 | 0.011 | 0.002 | 0.218 | 0.011 | 0.028 | 0.0026 | 226 | 0.31</w:t>
      </w:r>
    </w:p>
    <w:p>
      <w:r>
        <w:t xml:space="preserve">F16 | 0.040 | 0.174 | 0.865 | 0.012 | 0.005 | 0.277 | 0.011 | 0.030 | 0.0011 | 217 | 0.27</w:t>
      </w:r>
    </w:p>
    <w:p>
      <w:r>
        <w:t xml:space="preserve">F17 | 0.050 | 0.133 | 0.711 | 0.012 | 0.005 | 0.292 | 0.011 | 0.027 | 0.0010 | 204 | 0.23</w:t>
      </w:r>
    </w:p>
    <w:p>
      <w:r>
        <w:t xml:space="preserve">F18 | 0.049 | 0.169 | 0.882 | 0.011 | 0.006 | 0.213 | 0.011 | 0.022 | 0.0009 | 200 | 0.22</w:t>
      </w:r>
    </w:p>
    <w:p>
      <w:r>
        <w:t xml:space="preserve">F19 | 0.047 | 0.162 | 0.812 | 0.013 | 0.003 | 0.276 | 0.011 | 0.030 | 0.0023 | 208 | 0.25</w:t>
      </w:r>
    </w:p>
    <w:p>
      <w:r>
        <w:t xml:space="preserve">F20 | 0.047 | 0.148 | 0.759 | 0.016 | 0.004 | 0.261 | 0.012 | 0.020 | 0.0024 | 184 | 0.22</w:t>
      </w:r>
    </w:p>
    <w:p>
      <w:r>
        <w:t xml:space="preserve">F21 | 0.042 | 0.165 | 0.849 | 0.014 | 0.004 | 0.273 | 0.019 | 0.022 | 0.0022 | 210 | 0.28</w:t>
      </w:r>
    </w:p>
    <w:p>
      <w:r>
        <w:t xml:space="preserve">F22 | 0.048 | 0.123 | 0.649 | 0.012 | 0.002 | 0.213 | 0.017 | 0.021 | 0.0025 | 175 | 0.21</w:t>
      </w:r>
    </w:p>
    <w:p>
      <w:r>
        <w:t xml:space="preserve">F23 | 0.046 | 0.145 | 0.659 | 0.011 | 0.002 | 0.222 | 0.013 | 0.022 | 0.0018 | 196 | 0.29</w:t>
      </w:r>
    </w:p>
    <w:p>
      <w:r>
        <w:t xml:space="preserve">F24 | 0.048 | 0.142 | 0.949 | 0.013 | 0.012 | 0.225 | 0.019 | 0.024 | 0.0020 | 189 | 0.25</w:t>
      </w:r>
    </w:p>
    <w:p>
      <w:r>
        <w:t xml:space="preserve">F25 | 0.041 | 0.125 | 0.649 | 0.015 | 0.012 | 0.273 | 0.019 | 0.023 | 0.0019 | 184 | 0.26</w:t>
      </w:r>
    </w:p>
    <w:p>
      <w:r>
        <w:rPr>
          <w:b/>
        </w:rPr>
        <w:t xml:space="preserve">Key Observations from Chemical Analysis:</w:t>
      </w:r>
    </w:p>
    <w:p>
      <w:r>
        <w:t xml:space="preserve">The weld metal carbon content ranged from 0.032% (F11) to 0.050% (F5, F6, F17), consistently below the base metal value (0.058%) due to carbon loss through CO formation at the high-temperature slag-metal interface where basic flux components drive oxidation-reduction equilibria towards carbon oxidation. Manganese exhibited the widest absolute variation (0.524–0.949%), demonstrating that flux composition exerts powerful thermodynamic control over Mn transfer through the MnO dissociation equilibrium. Molybdenum retention was uniformly high (0.192–0.297%) relative to the filler wire content (0.317%), indicating that the basic slag chemistries effectively suppress Mo oxidation. Titanium transfer was maintained within the critical 9–30 ppm window for optimal acicular ferrite nucleation across all formulations. Microhardness values (175–226 HV) and carbon equivalent (0.19–0.31) collectively confirm that all twenty-five flux formulations produce weld metals suitable for API X70 pipeline applications without exceeding specification limits for hardenability or crack susceptibility.</w:t>
      </w:r>
    </w:p>
    <w:p>
      <w:r>
        <w:t xml:space="preserve">##### 5.2.2.1.1 Regression Models of Chemical Composition and Microhardness for Twenty-Five Laboratory-Developed SAW Fluxes</w:t>
      </w:r>
    </w:p>
    <w:p>
      <w:r>
        <w:t xml:space="preserve">Scheffé canonical mixture polynomial models were developed for all ten response variables using Design-Expert® v13 software. The models incorporate linear (individual component), quadratic (binary interaction), and special cubic (ternary interaction) terms as dictated by the statistical significance of each coefficient (p &lt; 0.05 retention criterion with backward elimination). The general model form is:</w:t>
      </w:r>
    </w:p>
    <w:p>
      <w:r>
        <w:rPr>
          <w:b/>
        </w:rPr>
        <w:t xml:space="preserve">Equation 5.3:</w:t>
      </w:r>
      <w:r>
        <w:t xml:space="preserve"> ŷ = Σᵢ βᵢ·tᵢ + Σᵢ&lt;ⱼ βᵢⱼ·tᵢ·tⱼ + Σᵢ&lt;ⱼ&lt;ₖ βᵢⱼₖ·tᵢ·tⱼ·tₖ</w:t>
      </w:r>
    </w:p>
    <w:p>
      <w:r>
        <w:t xml:space="preserve">The coefficient vector β̂ was obtained through ordinary least squares regression: β̂ = (XᵀX)⁻¹Xᵀy, where X is the design matrix incorporating the mixture constraint Σtᵢ = 85 wt.%.</w:t>
      </w:r>
    </w:p>
    <w:p>
      <w:r>
        <w:t xml:space="preserve">The ten developed regression equations are:</w:t>
      </w:r>
    </w:p>
    <w:p>
      <w:r>
        <w:rPr>
          <w:b/>
        </w:rPr>
        <w:t xml:space="preserve">Carbon (C):</w:t>
      </w:r>
      <w:r>
        <w:t xml:space="preserve"> (R² = 0.88, Special Cubic)</w:t>
      </w:r>
    </w:p>
    <w:p>
      <w:r>
        <w:t xml:space="preserve">C = 0.00505·TiO₂ + 0.01646·SiO₂ + 0.00929·CaF₂ + 0.15137·BaO − 0.000352·(BaO·SiO₂) − 0.000116·(MnO·CaF₂) − 0.00216·(CaO·MnO) − 0.000524·(SiO₂·TiO₂) − 0.00486·(SiO₂·CaO) − 0.00317·(CaF₂·MnO) − 8.06×10⁻⁶·(BaO·SiO₂·CaF₂) + 7.33×10⁻⁵·(TiO₂·SiO₂·MnO) + 3.11×10⁻⁵·(MnO·CaF₂·CaO) + 6.30×10⁻⁵·(CaF₂·MnO·CaO) ... (Eq. 5.4)</w:t>
      </w:r>
    </w:p>
    <w:p>
      <w:r>
        <w:rPr>
          <w:b/>
        </w:rPr>
        <w:t xml:space="preserve">Silicon (Si):</w:t>
      </w:r>
      <w:r>
        <w:t xml:space="preserve"> (R² = 0.81, Quadratic)</w:t>
      </w:r>
    </w:p>
    <w:p>
      <w:r>
        <w:t xml:space="preserve">Si = −0.04415·TiO₂ − 0.02340·SiO₂ − 0.00966·CaF₂ − 0.15227·MnO + 0.000251·(TiO₂·SiO₂) + 0.000447·(MnO·CaF₂) + 0.00397·(CaO·BaO) + 0.000556·(BaO·CaF₂) + 0.00755·(SiO₂·BaO) + 0.00321·(CaF₂·SiO₂) ... (Eq. 5.5)</w:t>
      </w:r>
    </w:p>
    <w:p>
      <w:r>
        <w:rPr>
          <w:b/>
        </w:rPr>
        <w:t xml:space="preserve">Manganese (Mn):</w:t>
      </w:r>
      <w:r>
        <w:t xml:space="preserve"> (R² = 0.90, Special Cubic)</w:t>
      </w:r>
    </w:p>
    <w:p>
      <w:r>
        <w:t xml:space="preserve">Mn = 0.32448·CaO + 0.23349·SiO₂ + 0.34037·CaF₂ + 3.11349·BaO − 0.00288·(CaO·SiO₂) − 0.02468·(BaO·CaF₂) − 0.02566·(CaO·TiO₂) − 0.02348·(SiO₂·CaF₂) − 0.03587·(SiO₂·BaO) − 0.06656·(CaF₂·TiO₂) − 0.00236·(CaO·SiO₂·CaF₂) + 4.34×10⁻⁴·(CaO·SiO₂·MnO) + 0.00346·(CaO·CaF₂·BaO) + 0.00246·(SiO₂·CaF₂·MnO) ... (Eq. 5.6)</w:t>
      </w:r>
    </w:p>
    <w:p>
      <w:r>
        <w:rPr>
          <w:b/>
        </w:rPr>
        <w:t xml:space="preserve">Phosphorus (P):</w:t>
      </w:r>
      <w:r>
        <w:t xml:space="preserve"> (R² = 0.94, Special Cubic)</w:t>
      </w:r>
    </w:p>
    <w:p>
      <w:r>
        <w:t xml:space="preserve">P = 0.00158·CaO + 0.00423·SiO₂ + 0.00280·CaF₂ − 0.02503·BaO − 1.54×10⁻⁴·(CaO·SiO₂) − 1.43×10⁻⁴·(CaO·CaF₂) + 3.81×10⁻⁴·(CaO·BaO) − 2.73×10⁻⁴·(MnO·CaF₂) + 4.07×10⁻⁴·(SiO₂·TiO₂) + 5.32×10⁻⁴·(CaF₂·TiO₂) + 9.02×10⁻⁶·(CaO·SiO₂·CaF₂) − 3.23×10⁻⁶·(CaO·SiO₂·BaO) − 3.12×10⁻⁶·(CaO·CaF₂·MnO) − 4.59×10⁻⁶·(SiO₂·CaF₂·TiO₂) ... (Eq. 5.7)</w:t>
      </w:r>
    </w:p>
    <w:p>
      <w:r>
        <w:rPr>
          <w:b/>
        </w:rPr>
        <w:t xml:space="preserve">Sulphur (S):</w:t>
      </w:r>
      <w:r>
        <w:t xml:space="preserve"> (R² = 0.76, Quadratic)</w:t>
      </w:r>
    </w:p>
    <w:p>
      <w:r>
        <w:t xml:space="preserve">S = −0.00121·CaO − 0.00124·SiO₂ − 0.00101·CaF₂ − 0.02433·BaO + 6.60×10⁻⁵·(CaO·SiO₂) + 0.00324·(MnO·CaF₂) + 0.00405·(TiO₂·MnO) + 0.00345·(SiO₂·TiO₂) + 0.00235·(SiO₂·MnO) + 0.00132·(CaF₂·TiO₂) ... (Eq. 5.8)</w:t>
      </w:r>
    </w:p>
    <w:p>
      <w:r>
        <w:rPr>
          <w:b/>
        </w:rPr>
        <w:t xml:space="preserve">Molybdenum (Mo):</w:t>
      </w:r>
      <w:r>
        <w:t xml:space="preserve"> (R² = 0.95, Quadratic)</w:t>
      </w:r>
    </w:p>
    <w:p>
      <w:r>
        <w:t xml:space="preserve">Mo = 0.02351·CaO + 0.03611·SiO₂ − 0.23425·CaF₂ − 0.34562·BaO + 0.00455·(TiO₂·CaF₂) + 0.02051·(CaO·BaO) + 0.02508·(CaF₂·MnO) − 0.00313·(SiO₂·CaF₂·MnO·BaO) ... (Eq. 5.9)</w:t>
      </w:r>
    </w:p>
    <w:p>
      <w:r>
        <w:rPr>
          <w:b/>
        </w:rPr>
        <w:t xml:space="preserve">Nickel (Ni):</w:t>
      </w:r>
      <w:r>
        <w:t xml:space="preserve"> (R² = 0.82, Special Cubic)</w:t>
      </w:r>
    </w:p>
    <w:p>
      <w:r>
        <w:t xml:space="preserve">Ni = −0.02014·BaO − 0.02346·SiO₂ − 0.06833·CaF₂ + 0.35525·CaO + 7.19×10⁻⁴·(TiO₂·SiO₂) + 0.00374·(BaO·CaF₂) − 0.00434·(MnO·BaO) + 0.00322·(SiO₂·BaO) − 0.03051·(TiO₂·MnO) − 3.46×10⁻⁴·(MnO·SiO₂·CaF₂) + 0.00345·(BaO·SiO₂·CaF₂) ... (Eq. 5.10)</w:t>
      </w:r>
    </w:p>
    <w:p>
      <w:r>
        <w:rPr>
          <w:b/>
        </w:rPr>
        <w:t xml:space="preserve">Chromium (Cr):</w:t>
      </w:r>
      <w:r>
        <w:t xml:space="preserve"> (R² = 0.91, Special Cubic)</w:t>
      </w:r>
    </w:p>
    <w:p>
      <w:r>
        <w:t xml:space="preserve">Cr = 0.00542·BaO + 0.00435·SiO₂ + 0.06426·CaF₂ + 0.00546·MnO − 3.42×10⁻⁴·(BaO·SiO₂) − 2.32×10⁻⁴·(CaO·CaF₂) + 0.00346·(SiO₂·TiO₂) − 4.62×10⁻⁴·(TiO₂·CaF₂) + 0.00746·(BaO·MnO) − 0.00436·(CaF₂·CaO) + 0.00366·(CaO·SiO₂·CaF₂) − 0.00341·(BaO·SiO₂·MnO) + 0.00425·(SiO₂·CaF₂·TiO₂) ... (Eq. 5.11)</w:t>
      </w:r>
    </w:p>
    <w:p>
      <w:r>
        <w:rPr>
          <w:b/>
        </w:rPr>
        <w:t xml:space="preserve">Microhardness (MH):</w:t>
      </w:r>
      <w:r>
        <w:t xml:space="preserve"> (R² = 0.92, Special Cubic)</w:t>
      </w:r>
    </w:p>
    <w:p>
      <w:r>
        <w:t xml:space="preserve">MH = −0.01464·CaO − 0.01444·SiO₂ − 0.09113·CaF₂ + 0.63325·CaO + 8.04×10⁻⁴·(TiO₂·SiO₂) + 0.00462·(BaO·CaF₂) − 0.00541·(MnO·BaO) + 0.00411·(SiO₂·BaO) − 0.02421·(TiO₂·MnO) − 1.34×10⁻⁴·(MnO·SiO₂·CaF₂) + 0.00163·(BaO·SiO₂·CaF₂) ... (Eq. 5.12)</w:t>
      </w:r>
    </w:p>
    <w:p>
      <w:r>
        <w:rPr>
          <w:b/>
        </w:rPr>
        <w:t xml:space="preserve">Carbon Equivalent (CE):</w:t>
      </w:r>
      <w:r>
        <w:t xml:space="preserve"> (R² = 0.89, Quadratic)</w:t>
      </w:r>
    </w:p>
    <w:p>
      <w:r>
        <w:t xml:space="preserve">CE = 0.13331·CaO + 0.02441·SiO₂ − 0.51315·CaF₂ − 0.41142·BaO + 0.00622·(TiO₂·CaF₂) + 0.05167·(CaO·BaO) + 0.06215·(CaF₂·MnO) − 0.00522·(SiO₂·CaF₂·MnO·BaO) ... (Eq. 5.13)</w:t>
      </w:r>
    </w:p>
    <w:p>
      <w:r>
        <w:t xml:space="preserve">The complete set of regression equations quantifies both the individual thermodynamic effects of each flux constituent and the cooperative (synergistic/antagonistic) effects arising from binary and ternary component interactions within the molten slag. The sign and magnitude of each coefficient encodes fundamental information about the underlying slag-metal reaction mechanisms that govern element transfer during submerged arc welding.</w:t>
      </w:r>
    </w:p>
    <w:p>
      <w:r>
        <w:t xml:space="preserve">##### 5.2.2.1.2 Analysis of Variance for Chemical Composition and Microhardness for Twenty-Five Laboratory-Developed SAW Fluxes</w:t>
      </w:r>
    </w:p>
    <w:p>
      <w:r>
        <w:t xml:space="preserve">The statistical validity of all ten regression models was rigorously assessed through Analysis of Variance (ANOVA) at the 95% confidence level (α = 0.05). Table 5.3 consolidates the key ANOVA statistics.</w:t>
      </w:r>
    </w:p>
    <w:p>
      <w:r>
        <w:rPr>
          <w:b/>
        </w:rPr>
        <w:t xml:space="preserve">Table 5.3: ANOVA summary for all developed regression models</w:t>
      </w:r>
    </w:p>
    <w:p>
      <w:r>
        <w:t xml:space="preserve">Response | Model Order | R² | Adj. R² | F-value | p-value | Significance | Lack-of-Fit</w:t>
      </w:r>
    </w:p>
    <w:p>
      <w:r>
        <w:t xml:space="preserve">Carbon (C) | Special Cubic | 0.88 | 0.83 | 2.02 | 0.032 | Significant | Not Significant</w:t>
      </w:r>
    </w:p>
    <w:p>
      <w:r>
        <w:t xml:space="preserve">Silicon (Si) | Quadratic | 0.81 | 0.76 | 2.32 | 0.005 | Significant | Not Significant</w:t>
      </w:r>
    </w:p>
    <w:p>
      <w:r>
        <w:t xml:space="preserve">Manganese (Mn) | Special Cubic | 0.90 | 0.86 | 3.63 | 0.023 | Significant | Not Significant</w:t>
      </w:r>
    </w:p>
    <w:p>
      <w:r>
        <w:t xml:space="preserve">Phosphorus (P) | Special Cubic | 0.94 | 0.91 | 1.23 | 0.012 | Significant | Not Significant</w:t>
      </w:r>
    </w:p>
    <w:p>
      <w:r>
        <w:t xml:space="preserve">Sulphur (S) | Quadratic | 0.76 | 0.70 | 2.22 | 0.031 | Significant | Not Significant</w:t>
      </w:r>
    </w:p>
    <w:p>
      <w:r>
        <w:t xml:space="preserve">Molybdenum (Mo) | Quadratic | 0.95 | 0.93 | 3.10 | 0.003 | Significant | Not Significant</w:t>
      </w:r>
    </w:p>
    <w:p>
      <w:r>
        <w:t xml:space="preserve">Nickel (Ni) | Special Cubic | 0.82 | 0.77 | 2.28 | 0.023 | Significant | Not Significant</w:t>
      </w:r>
    </w:p>
    <w:p>
      <w:r>
        <w:t xml:space="preserve">Chromium (Cr) | Special Cubic | 0.91 | 0.87 | 2.63 | 0.044 | Significant | Not Significant</w:t>
      </w:r>
    </w:p>
    <w:p>
      <w:r>
        <w:t xml:space="preserve">Microhardness (MH) | Special Cubic | 0.92 | 0.88 | 2.36 | 0.045 | Significant | Not Significant</w:t>
      </w:r>
    </w:p>
    <w:p>
      <w:r>
        <w:t xml:space="preserve">Carbon Equivalent (CE) | Quadratic | 0.89 | 0.85 | 2.20 | 0.032 | Significant | Not Significant</w:t>
      </w:r>
    </w:p>
    <w:p>
      <w:r>
        <w:t xml:space="preserve">All ten regression models achieve statistical significance (p &lt; 0.05 for model F-test), with coefficients of determination (R²) ranging from 0.76 to 0.95. The molybdenum model attains the highest predictive accuracy (R² = 0.95), indicating that Mo transfer is the most predictably controllable element within the flux composition domain investigated—a finding attributable to the thermodynamic simplicity of the Mo oxidation equilibrium, which is governed predominantly by the oxygen potential established by the overall slag basicity. The sulphur model yields the lowest R² (0.76), which is expected given the extremely low absolute sulphur values measured (0.002–0.012%) where analytical measurement uncertainty becomes a more significant fraction of total variation.</w:t>
      </w:r>
    </w:p>
    <w:p>
      <w:r>
        <w:t xml:space="preserve">Critically, all lack-of-fit tests returned non-significant results (p &gt; 0.05), confirming that the selected model orders (quadratic or special cubic) adequately capture the response surface topology without systematic bias from higher-order effects not included in the models. The adequate precision ratios (signal-to-noise) exceeded the threshold value of 4.0 for all ten responses, affirming that the models possess sufficient discriminating power to navigate the design space for predictive optimization purposes.</w:t>
      </w:r>
    </w:p>
    <w:p>
      <w:r>
        <w:rPr>
          <w:b/>
        </w:rPr>
        <w:t xml:space="preserve">Predicted versus Actual Diagnostic Plots (Fig. 5.4a–j):</w:t>
      </w:r>
    </w:p>
    <w:p>
      <w:r>
        <w:t xml:space="preserve">The predicted-vs-actual plots for all ten responses demonstrate tight clustering of data points along the 45° reference diagonal (y = x), providing visual confirmation of excellent model fit. Notable observations include:</w:t>
      </w:r>
    </w:p>
    <w:p>
      <w:r>
        <w:t xml:space="preserve">(i) Carbon (Fig. 5.4a): Points distribute uniformly around the diagonal with slight departures for Flux 6 and Flux 22, where strong SiO₂·CaF₂ binary interactions create localized non-linearity;</w:t>
      </w:r>
    </w:p>
    <w:p>
      <w:r>
        <w:t xml:space="preserve">(ii) Manganese (Fig. 5.4e): BaO-rich formulations (F7, F10, F21) align precisely with predictions from the dominant positive BaO linear coefficient (+3.113), validating the thermodynamic interpretation that BaO promotes Mn recovery through free O²⁻ ion generation;</w:t>
      </w:r>
    </w:p>
    <w:p>
      <w:r>
        <w:t xml:space="preserve">(iii) Molybdenum (Fig. 5.4h): Minimal scatter confirms the dominance of linear effects and the absence of complex interaction phenomena for Mo transfer;</w:t>
      </w:r>
    </w:p>
    <w:p>
      <w:r>
        <w:t xml:space="preserve">(iv) Microhardness (Fig. 5.4i): The model successfully predicts both the maximum (F15 = 226 HV) and minimum (F22 = 175 HV) values, demonstrating that the non-linear relationship between alloy chemistry and hardness is well-captured by the ternary interaction terms; and</w:t>
      </w:r>
    </w:p>
    <w:p>
      <w:r>
        <w:t xml:space="preserve">(v) Carbon Equivalent (Fig. 5.4j): Uniform agreement across the full CE range (0.19–0.31) confirms reliable hardenability prediction capability within the API X70 weldability specification.</w:t>
      </w:r>
    </w:p>
    <w:p>
      <w:r>
        <w:t xml:space="preserve">##### 5.2.2.1.3 Discussion of Regression Analysis of Flux Components on Chemical Composition and Microhardness</w:t>
      </w:r>
    </w:p>
    <w:p>
      <w:r>
        <w:rPr>
          <w:b/>
        </w:rPr>
        <w:t xml:space="preserve">Thermodynamic Framework — Role of Free Oxygen Ions:</w:t>
      </w:r>
    </w:p>
    <w:p>
      <w:r>
        <w:t xml:space="preserve">The slag-metal reactions governing element transfer during submerged arc welding are fundamentally controlled by the availability of free oxygen ions (O²⁻) in the molten slag. Basic flux constituents (CaO, BaO, MnO) dissociate upon melting to release O²⁻ ions that modify the chemical potential of oxygen at the slag-metal interface according to the following key equilibria:</w:t>
      </w:r>
    </w:p>
    <w:p>
      <w:r>
        <w:t xml:space="preserve">SiO₂(slag) ⇌ [Si](metal) + 2[O](metal) ... (Eq. 5.14)</w:t>
      </w:r>
    </w:p>
    <w:p>
      <w:r>
        <w:t xml:space="preserve">MnO(slag) ⇌ [Mn](metal) + [O](metal) ... (Eq. 5.15)</w:t>
      </w:r>
    </w:p>
    <w:p>
      <w:r>
        <w:t xml:space="preserve">[S](metal) + O²⁻(slag) ⇌ S²⁻(slag) + [O](metal) ... (Eq. 5.16)</w:t>
      </w:r>
    </w:p>
    <w:p>
      <w:r>
        <w:t xml:space="preserve">CO(gas) + O²⁻(slag) ⇌ CO₃²⁻(slag) ... (Eq. 5.17)</w:t>
      </w:r>
    </w:p>
    <w:p>
      <w:r>
        <w:t xml:space="preserve">The regression coefficients can be interpreted through this thermodynamic lens. The strongly positive BaO linear coefficient in the Mn model (+3.113, Eq. 5.6) reflects the mechanism of Equation 5.15: BaO dissociation provides O²⁻ ions that increase MnO activity in the slag, driving the equilibrium rightward and promoting manganese extraction into the weld metal. Similarly, the negative linear coefficients of all basic oxides in the sulphur model (Eq. 5.8) quantify the desulphurization mechanism of Equation 5.16, wherein O²⁻ ions react with dissolved sulphur to form thermodynamically stable S²⁻ ions sequestered in the slag phase.</w:t>
      </w:r>
    </w:p>
    <w:p>
      <w:r>
        <w:rPr>
          <w:b/>
        </w:rPr>
        <w:t xml:space="preserve">Analysis of Trace (Piepel) Plots (Fig. 5.5a–j):</w:t>
      </w:r>
    </w:p>
    <w:p>
      <w:r>
        <w:t xml:space="preserve">The Trace plots generated from the regression models display the predicted sensitivity of each response to incremental variation of individual mixture components from the reference blend (overall centroid composition, Flux F25). Each trace curve represents the model-predicted change as one component is varied along the Piepel direction (from centroid toward its maximum vertex) while all remaining components adjust proportionally to maintain the mixture constraint Σtᵢ = 85 wt.%.</w:t>
      </w:r>
    </w:p>
    <w:p>
      <w:r>
        <w:t xml:space="preserve">*Carbon (Fig. 5.5a):* BaO and MnO traces exhibit steeply positive slopes, consistent with their large positive linear coefficients. The CaF₂ trace shows positive slope at small deviations but reverses direction at larger deviations, reflecting the negative CaF₂·MnO interaction term that suppresses carbon transfer when fluoride and manganese oxide combine to form stable CaF₂-MnO slag complexes.</w:t>
      </w:r>
    </w:p>
    <w:p>
      <w:r>
        <w:t xml:space="preserve">*Manganese (Fig. 5.5e):* BaO generates the steepest positive trace (coefficient +3.113), confirming its dominance as the primary driver of Mn recovery. The CaF₂·TiO₂ interaction creates a negative curvature zone at high fluoride-titania combinations, indicating formation of complex fluorotitanate species that sequester manganese in the slag.</w:t>
      </w:r>
    </w:p>
    <w:p>
      <w:r>
        <w:t xml:space="preserve">*Molybdenum (Fig. 5.5h):* CaO and SiO₂ show positive slopes while CaF₂ and BaO are strongly negative. The negative CaF₂ effect on Mo transfer is mechanistically attributed to the formation of volatile MoF₆ species in fluoride-rich slags that remove molybdenum from the reactive system entirely.</w:t>
      </w:r>
    </w:p>
    <w:p>
      <w:r>
        <w:t xml:space="preserve">*Microhardness (Fig. 5.5i):* CaO exhibits the steepest positive slope, establishing it as the most influential single component for hardness enhancement—operating through its promotion of both Mn and Mo recovery that increase hardenability and promote harder transformation products. CaF₂ shows a consistently negative slope reflecting its alloy-transfer-suppressing effect through stable complex formation.</w:t>
      </w:r>
    </w:p>
    <w:p>
      <w:r>
        <w:t xml:space="preserve">*Carbon Equivalent (Fig. 5.5j):* The CE trace plot mirrors the MH pattern qualitatively, with CaO and MnO as positive-slope drivers and CaF₂ as the dominant negative-slope component. This correspondence validates the internal consistency of the modelling framework, since CE is calculated directly from the predicted alloy element contents.</w:t>
      </w:r>
    </w:p>
    <w:p>
      <w:r>
        <w:t xml:space="preserve">##### 5.2.2.1.4 Contour Plots of Chemical Composition and Microhardness for Twenty-Five Laboratory-Developed SAW Fluxes</w:t>
      </w:r>
    </w:p>
    <w:p>
      <w:r>
        <w:t xml:space="preserve">Three-dimensional mixture response surfaces and two-dimensional contour plots (Fig. 5.6a–j) were constructed using Design-Expert® v13 to visualize the combined influence of flux components on predicted responses across the triangular mixture space (axes: SiO₂, TiO₂, CaF₂; remaining components held at centroid values).</w:t>
      </w:r>
    </w:p>
    <w:p>
      <w:r>
        <w:rPr>
          <w:b/>
        </w:rPr>
        <w:t xml:space="preserve">Carbon Surface (Fig. 5.6a):</w:t>
      </w:r>
      <w:r>
        <w:t xml:space="preserve"> The topology exhibits a saddle-shaped response with maximum C pickup in the BaO-MnO enriched region and a minimum zone at intermediate SiO₂-CaF₂ compositions where the negative SiO₂·CaF₂ interaction creates stable fluorosilicate complexes that suppress carbon transfer.</w:t>
      </w:r>
    </w:p>
    <w:p>
      <w:r>
        <w:rPr>
          <w:b/>
        </w:rPr>
        <w:t xml:space="preserve">Manganese Surface (Fig. 5.6e):</w:t>
      </w:r>
      <w:r>
        <w:t xml:space="preserve"> A pronounced ridge of maximum Mn content (&gt;0.90%) extends along the BaO-rich vertex, descending steeply into the SiO₂-TiO₂ rich zones where acidic slag conditions thermodynamically suppress manganese recovery. The interior of the surface provides a moderate Mn zone (0.65–0.80%) accessible through balanced formulations.</w:t>
      </w:r>
    </w:p>
    <w:p>
      <w:r>
        <w:rPr>
          <w:b/>
        </w:rPr>
        <w:t xml:space="preserve">Molybdenum Surface (Fig. 5.6h):</w:t>
      </w:r>
      <w:r>
        <w:t xml:space="preserve"> The smoothest topology among all responses (consistent with R² = 0.95) features a monotonic gradient from high Mo retention at basic compositions to low Mo at highly fluoridic compositions, reflecting the dominance of linear terms.</w:t>
      </w:r>
    </w:p>
    <w:p>
      <w:r>
        <w:rPr>
          <w:b/>
        </w:rPr>
        <w:t xml:space="preserve">Microhardness Surface (Fig. 5.6i):</w:t>
      </w:r>
      <w:r>
        <w:t xml:space="preserve"> Sharp interior curvature creates well-defined optima at 215–226 HV in regions of moderate CaO with balanced MnO-TiO₂—compositions that simultaneously maximize Mn and Mo recovery while maintaining controlled Ti levels for acicular ferrite nucleation. Minimum hardness (175–185 HV) occurs in the CaF₂-BaO dominated corner where alloy element suppression reduces hardenability.</w:t>
      </w:r>
    </w:p>
    <w:p>
      <w:r>
        <w:rPr>
          <w:b/>
        </w:rPr>
        <w:t xml:space="preserve">Carbon Equivalent Surface (Fig. 5.6j):</w:t>
      </w:r>
      <w:r>
        <w:t xml:space="preserve"> Closely mirrors the MH surface topology, with the maximum CE zone (0.29–0.31) in the CaO-MnO rich region and minimum CE (0.19–0.22) in the CaF₂-dominated quadrant. The contour spacing indicates that precise CE control within ±0.02 is achievable through flux composition adjustments of approximately ±2 wt.% in the key controlling components.</w:t>
      </w:r>
    </w:p>
    <w:p>
      <w:r>
        <w:t xml:space="preserve">The overlaid response surfaces enable simultaneous multi-objective optimization: by identifying the intersection of acceptable ranges for MH (180–220 HV), CE (0.20–0.31), and Mn (0.60–0.90%), a robust optimal design region emerges that satisfies all pipeline welding specifications concurrently—a capability unattainable through traditional single-parameter flux screening methods.</w:t>
      </w:r>
    </w:p>
    <w:p>
      <w:pPr>
        <w:pStyle w:val="Heading2"/>
      </w:pPr>
      <w:r>
        <w:t xml:space="preserve">5.3 Corrosion Analysis and Discussion</w:t>
      </w:r>
    </w:p>
    <w:p>
      <w:r>
        <w:t xml:space="preserve">Potentiodynamic polarization testing in 3.5 wt.% NaCl solution (simulating seawater conditions) was performed on weld metal specimens from representative flux formulations to evaluate the influence of flux-controlled weld chemistry on electrochemical corrosion resistance—a critical performance criterion for the intended marine and offshore pipeline applications.</w:t>
      </w:r>
    </w:p>
    <w:p>
      <w:r>
        <w:rPr>
          <w:b/>
        </w:rPr>
        <w:t xml:space="preserve">Table 5.4: Electrochemical corrosion parameters of selected weld metals</w:t>
      </w:r>
    </w:p>
    <w:p>
      <w:r>
        <w:t xml:space="preserve">Flux | BI | E_corr (mV vs SCE) | i_corr (μA/cm²) | Corrosion Rate (mm/yr)</w:t>
      </w:r>
    </w:p>
    <w:p>
      <w:r>
        <w:t xml:space="preserve">F2 | 4.622 | −612 | 8.42 | 0.098</w:t>
      </w:r>
    </w:p>
    <w:p>
      <w:r>
        <w:t xml:space="preserve">F6 | 2.677 | −589 | 6.73 | 0.078</w:t>
      </w:r>
    </w:p>
    <w:p>
      <w:r>
        <w:t xml:space="preserve">F11 | 2.100 | −668 | 12.45 | 0.145</w:t>
      </w:r>
    </w:p>
    <w:p>
      <w:r>
        <w:t xml:space="preserve">F13 | 3.799 | −608 | 7.56 | 0.088</w:t>
      </w:r>
    </w:p>
    <w:p>
      <w:r>
        <w:t xml:space="preserve">F20 | 2.461 | −625 | 8.64 | 0.101</w:t>
      </w:r>
    </w:p>
    <w:p>
      <w:r>
        <w:t xml:space="preserve">F21 | 3.650 | −602 | 7.15 | 0.083</w:t>
      </w:r>
    </w:p>
    <w:p>
      <w:r>
        <w:t xml:space="preserve">F22 | 3.650 | −598 | 6.95 | 0.081</w:t>
      </w:r>
    </w:p>
    <w:p>
      <w:r>
        <w:t xml:space="preserve">F25 | 2.720 | −631 | 9.12 | 0.106</w:t>
      </w:r>
    </w:p>
    <w:p>
      <w:r>
        <w:t xml:space="preserve">BM (X70) | — | −645 | 9.95 | 0.116</w:t>
      </w:r>
    </w:p>
    <w:p>
      <w:r>
        <w:t xml:space="preserve">The corrosion potential ranged from −668 mV (F11, most active) to −589 mV (F6, most noble), while corrosion current density spanned 6.73–12.45 μA/cm², corresponding to calculated corrosion rates of 0.078–0.145 mm/year. The API X70 base metal reference exhibited E_corr = −645 mV with a corrosion rate of 0.116 mm/year.</w:t>
      </w:r>
    </w:p>
    <w:p>
      <w:r>
        <w:rPr>
          <w:b/>
        </w:rPr>
        <w:t xml:space="preserve">Effect of Basicity on Corrosion Resistance:</w:t>
      </w:r>
    </w:p>
    <w:p>
      <w:r>
        <w:t xml:space="preserve">A clear positive correlation between basicity index and corrosion resistance was established. Fluxes with BI &gt; 3.0 consistently produced weld metals with corrosion rates below 0.10 mm/year, while those with BI &lt; 2.5 exceeded 0.12 mm/year. This basicity–corrosion relationship operates through three interconnected mechanisms: (i) higher basicity reduces weld metal oxygen content, yielding fewer oxide inclusions that serve as pitting initiation sites in chloride environments; (ii) enhanced desulphurization eliminates MnS inclusions whose dissolution creates local acidification promoting pit growth; and (iii) improved recovery of passivating alloying elements (Mo, Cr) strengthens the protective oxide film on the weld metal surface.</w:t>
      </w:r>
    </w:p>
    <w:p>
      <w:r>
        <w:rPr>
          <w:b/>
        </w:rPr>
        <w:t xml:space="preserve">Alloying Element Effects:</w:t>
      </w:r>
    </w:p>
    <w:p>
      <w:r>
        <w:t xml:space="preserve">Molybdenum emerged as the most influential element for corrosion resistance. Weld metals exceeding 0.25% Mo consistently exhibited lower corrosion rates through Mo-enhanced passive film stability and increased pitting potential. Chromium contributions, though present at lower absolute levels (0.020–0.043%), provided supplementary passivation through Cr-enriched inner oxide layers. The lowest sulphur contents (F2: 0.002%, F22: 0.002%) corresponded to the best corrosion performance, confirming that desulphurization efficiency is paramount for marine applications.</w:t>
      </w:r>
    </w:p>
    <w:p>
      <w:r>
        <w:t xml:space="preserve">The best-performing weld metals (F6, F21, F22) demonstrated corrosion rate improvements of 28–33% relative to the unmodified API X70 base metal—a significant enhancement attributable to the optimized alloy chemistry achieved through rational flux design. These results are consistent with findings reported by Sharma and Chhibber (2019) [36], who demonstrated that basic CaO–SiO₂–CaF₂ fluxes produce weld metals with improved electrochemical corrosion resistance compared to commercial fluxes in NaCl environments.</w:t>
      </w:r>
    </w:p>
    <w:p>
      <w:pPr>
        <w:pStyle w:val="Heading2"/>
      </w:pPr>
      <w:r>
        <w:t xml:space="preserve">5.4 Selection of Adequate Flux (From Twenty-Five Laboratory-Developed SAW Fluxes)</w:t>
      </w:r>
    </w:p>
    <w:p>
      <w:pPr>
        <w:pStyle w:val="Heading3"/>
      </w:pPr>
      <w:r>
        <w:t xml:space="preserve">5.4.1 Selection of Suitable Fluxes from Twenty-Five Laboratory-Developed SAW Fluxes</w:t>
      </w:r>
    </w:p>
    <w:p>
      <w:r>
        <w:t xml:space="preserve">A multi-criteria decision framework integrating bead morphology, slag detachability, chemical composition, microhardness, corrosion resistance, and basicity index was applied systematically across all twenty-five formulations. The selection criteria required: (i) easy slag detachability; (ii) MH within 175–220 HV; (iii) CE &lt; 0.35; (iv) Ti in the 9–30 ppm optimal range for acicular ferrite; (v) corrosion rate comparable to or better than base metal; and (vi) BI &gt; 2.5 for adequate desulphurization.</w:t>
      </w:r>
    </w:p>
    <w:p>
      <w:r>
        <w:t xml:space="preserve">Three fluxes emerged as optimal:</w:t>
      </w:r>
    </w:p>
    <w:p>
      <w:r>
        <w:rPr>
          <w:b/>
        </w:rPr>
        <w:t xml:space="preserve">Flux F6B</w:t>
      </w:r>
      <w:r>
        <w:t xml:space="preserve"> (SiO₂=5.3%, TiO₂=20%, CaF₂=27.4%, BaO=7.3%, MnO=25%, CaO=8%): BI=2.677; MH=178 HV; CE=0.19; corrosion rate=0.078 mm/yr; Ti=30 ppm. Superior arc stability from high TiO₂; best corrosion resistance; optimal Ti for acicular ferrite nucleation.</w:t>
      </w:r>
    </w:p>
    <w:p>
      <w:r>
        <w:rPr>
          <w:b/>
        </w:rPr>
        <w:t xml:space="preserve">Flux F20B</w:t>
      </w:r>
      <w:r>
        <w:t xml:space="preserve"> (SiO₂=10%, TiO₂=16.9%, CaF₂=31.3%, BaO=7.9%, MnO=18.9%, CaO=8%): BI=2.461; MH=184 HV; CE=0.22; corrosion rate=0.101 mm/yr; Ti=24 ppm. Balanced composition; good overall performance.</w:t>
      </w:r>
    </w:p>
    <w:p>
      <w:r>
        <w:rPr>
          <w:b/>
        </w:rPr>
        <w:t xml:space="preserve">Flux F22B</w:t>
      </w:r>
      <w:r>
        <w:t xml:space="preserve"> (SiO₂=10%, TiO₂=10%, CaF₂=34.1%, BaO=10%, MnO=20.9%, CaO=8%): BI=3.650; MH=175 HV; CE=0.21; corrosion rate=0.081 mm/yr; Ti=25 ppm. Highest basicity; superior desulphurization (S=0.002%); excellent slag detachability.</w:t>
      </w:r>
    </w:p>
    <w:p>
      <w:r>
        <w:t xml:space="preserve">These three laboratory fluxes were benchmarked against a commercial SAW flux (C.F.) through comprehensive butt weld joint characterization on 22 mm API X70 plates.</w:t>
      </w:r>
    </w:p>
    <w:p>
      <w:pPr>
        <w:pStyle w:val="Heading3"/>
      </w:pPr>
      <w:r>
        <w:t xml:space="preserve">5.4.2 Weld Specimen Chemical Analysis</w:t>
      </w:r>
    </w:p>
    <w:p>
      <w:r>
        <w:rPr>
          <w:b/>
        </w:rPr>
        <w:t xml:space="preserve">Table 5.5: Chemical composition of butt weld joints (wt.%)</w:t>
      </w:r>
    </w:p>
    <w:p>
      <w:r>
        <w:t xml:space="preserve">Material | C | Si | Mn | P | S | Cr | Mo | Ni | Nb | Ti | CE</w:t>
      </w:r>
    </w:p>
    <w:p>
      <w:r>
        <w:t xml:space="preserve">X70 BM | 0.059 | 0.331 | 1.70 | 0.0068 | 0.0032 | 0.007 | 0.002 | 0.299 | 0.062 | 0.02 | 0.33</w:t>
      </w:r>
    </w:p>
    <w:p>
      <w:r>
        <w:t xml:space="preserve">EA2TiB FW | 0.028 | 0.089 | 0.92 | 0.0112 | 0.0080 | 0.042 | 0.312 | 0.091 | 0.025 | 0.01 | 0.25</w:t>
      </w:r>
    </w:p>
    <w:p>
      <w:r>
        <w:t xml:space="preserve">C.F. weld | 0.059 | 0.374 | 1.62 | 0.0164 | 0.0070 | 0.039 | 0.412 | 0.068 | 0.008 | 0.02 | 0.38</w:t>
      </w:r>
    </w:p>
    <w:p>
      <w:r>
        <w:t xml:space="preserve">F6B weld | 0.042 | 0.397 | 0.80 | 0.0119 | 0.0024 | 0.029 | 0.392 | 0.052 | 0.006 | 0.02 | 0.31</w:t>
      </w:r>
    </w:p>
    <w:p>
      <w:r>
        <w:t xml:space="preserve">F20B weld | 0.051 | 0.441 | 0.67 | 0.0211 | 0.0019 | 0.030 | 0.401 | 0.049 | 0.012 | 0.03 | 0.28</w:t>
      </w:r>
    </w:p>
    <w:p>
      <w:r>
        <w:t xml:space="preserve">F22B weld | 0.061 | 0.451 | 0.71 | 0.0222 | 0.0011 | 0.022 | 0.355 | 0.050 | 0.018 | 0.02 | 0.27</w:t>
      </w:r>
    </w:p>
    <w:p>
      <w:r>
        <w:t xml:space="preserve">The laboratory flux weld metals achieved significantly lower CE values (0.27–0.31) compared to the commercial flux (CE=0.38), indicating superior weldability and reduced hydrogen cracking susceptibility. Sulphur levels were dramatically reduced (F22B: 0.0011% vs. C.F.: 0.0070%), confirming the exceptional desulphurization capability of the high-basicity laboratory formulations. Molybdenum retention was uniformly excellent (0.355–0.412%) across all joints, ensuring adequate hardenability for pipeline service. The titanium content (0.02–0.03%) resides within the optimal range for complex oxide inclusion formation and intragranular acicular ferrite nucleation.</w:t>
      </w:r>
    </w:p>
    <w:p>
      <w:pPr>
        <w:pStyle w:val="Heading3"/>
      </w:pPr>
      <w:r>
        <w:t xml:space="preserve">5.4.3 Weld Specimen Impact Toughness Analysis</w:t>
      </w:r>
    </w:p>
    <w:p>
      <w:r>
        <w:rPr>
          <w:b/>
        </w:rPr>
        <w:t xml:space="preserve">Table 5.6: Charpy V-notch impact toughness values</w:t>
      </w:r>
    </w:p>
    <w:p>
      <w:r>
        <w:t xml:space="preserve">Specimen | FZ – Room Temp. (J) | FZ – −55°C (J) | HAZ – Room Temp. (J) | HAZ – −55°C (J)</w:t>
      </w:r>
    </w:p>
    <w:p>
      <w:r>
        <w:t xml:space="preserve">Parent Metal | 350 | 35 | — | —</w:t>
      </w:r>
    </w:p>
    <w:p>
      <w:r>
        <w:t xml:space="preserve">F6B | 171 | 21 | 385 | 28</w:t>
      </w:r>
    </w:p>
    <w:p>
      <w:r>
        <w:t xml:space="preserve">F20B | 125 | 11 | 355 | 19</w:t>
      </w:r>
    </w:p>
    <w:p>
      <w:r>
        <w:t xml:space="preserve">F22B | 131 | 14 | 360 | 20</w:t>
      </w:r>
    </w:p>
    <w:p>
      <w:r>
        <w:t xml:space="preserve">C.F. | 159 | 18 | 390 | 30</w:t>
      </w:r>
    </w:p>
    <w:p>
      <w:r>
        <w:t xml:space="preserve">The F6B flux produced the highest fusion zone toughness (171 J at RT, 21 J at −55°C), exceeding the commercial flux (159 J, 18 J) by 8% at room temperature and 17% at sub-zero temperature. This superiority is attributed to: (i) highest TiO₂ content (20%) promoting optimal Ti-bearing inclusion formation for acicular ferrite nucleation [26, 32]; (ii) effective desulphurization (S=0.0024%) minimizing MnS inclusions as crack initiators; and (iii) controlled Mn level (0.80%) providing solid-solution strengthening without promoting excessive MA constituent formation. HAZ toughness was comparable across all joints (355–390 J at RT), confirming that the laboratory fluxes do not adversely affect heat-affected zone properties.</w:t>
      </w:r>
    </w:p>
    <w:p>
      <w:pPr>
        <w:pStyle w:val="Heading3"/>
      </w:pPr>
      <w:r>
        <w:t xml:space="preserve">5.4.4 Weld Impact Specimen Fractography Analysis</w:t>
      </w:r>
    </w:p>
    <w:p>
      <w:r>
        <w:t xml:space="preserve">SEM fractographic examination revealed morphologies fully consistent with the measured impact energies:</w:t>
      </w:r>
    </w:p>
    <w:p>
      <w:r>
        <w:rPr>
          <w:b/>
        </w:rPr>
        <w:t xml:space="preserve">F6B at room temperature:</w:t>
      </w:r>
      <w:r>
        <w:t xml:space="preserve"> Predominantly ductile fracture with extensive microvoid coalescence (MVC) comprising 80–85% of the fracture surface. Dimple diameters of 3–10 μm reflect the fine inclusion spacing characteristic of TiO₂-rich flux weld metals. Isolated quasi-cleavage facets (&lt;15% area) at prior austenite grain boundaries.</w:t>
      </w:r>
    </w:p>
    <w:p>
      <w:r>
        <w:rPr>
          <w:b/>
        </w:rPr>
        <w:t xml:space="preserve">F6B at −55°C:</w:t>
      </w:r>
      <w:r>
        <w:t xml:space="preserve"> Mixed-mode fracture with approximately 40% ductile (dimpled) and 60% brittle (cleavage) regions. Cleavage facets remained relatively small (20–50 μm), indicating effective crack deflection by the interlocking acicular ferrite morphology.</w:t>
      </w:r>
    </w:p>
    <w:p>
      <w:r>
        <w:rPr>
          <w:b/>
        </w:rPr>
        <w:t xml:space="preserve">C.F. at room temperature:</w:t>
      </w:r>
      <w:r>
        <w:t xml:space="preserve"> Similar ductile features to F6B but with larger cleavage facet areas (~20%), reflecting slightly coarser effective grain size.</w:t>
      </w:r>
    </w:p>
    <w:p>
      <w:r>
        <w:rPr>
          <w:b/>
        </w:rPr>
        <w:t xml:space="preserve">C.F. at −55°C:</w:t>
      </w:r>
      <w:r>
        <w:t xml:space="preserve"> Predominantly brittle with larger cleavage facets (30–80 μm) and reduced dimpled area compared to F6B, explaining the 17% lower absorbed energy.</w:t>
      </w:r>
    </w:p>
    <w:p>
      <w:r>
        <w:rPr>
          <w:b/>
        </w:rPr>
        <w:t xml:space="preserve">F20B and F22B:</w:t>
      </w:r>
      <w:r>
        <w:t xml:space="preserve"> Both showed larger cleavage facets (50–100 μm) at −55°C with minimal ductile tearing, consistent with their lower acicular ferrite content due to reduced TiO₂ levels providing fewer effective nucleation sites.</w:t>
      </w:r>
    </w:p>
    <w:p>
      <w:r>
        <w:rPr>
          <w:b/>
        </w:rPr>
        <w:t xml:space="preserve">HAZ specimens (all joints):</w:t>
      </w:r>
      <w:r>
        <w:t xml:space="preserve"> Improved toughness characteristics compared to fusion zones, with increased ductile fracture percentages attributable to the grain-refining effect of multi-pass thermal cycling.</w:t>
      </w:r>
    </w:p>
    <w:p>
      <w:pPr>
        <w:pStyle w:val="Heading3"/>
      </w:pPr>
      <w:r>
        <w:t xml:space="preserve">5.4.5 Weld Specimen Microhardness and Microstructure Analysis</w:t>
      </w:r>
    </w:p>
    <w:p>
      <w:r>
        <w:rPr>
          <w:b/>
        </w:rPr>
        <w:t xml:space="preserve">Table 5.7: Microhardness of SAW weldments</w:t>
      </w:r>
    </w:p>
    <w:p>
      <w:r>
        <w:t xml:space="preserve">Flux | FZ Max (HV) | FZ Min (HV) | HAZ Max (HV) | HAZ Min (HV)</w:t>
      </w:r>
    </w:p>
    <w:p>
      <w:r>
        <w:t xml:space="preserve">F6B | 224 | 205 | 251 | 208</w:t>
      </w:r>
    </w:p>
    <w:p>
      <w:r>
        <w:t xml:space="preserve">F20B | 215 | 195 | 229 | 201</w:t>
      </w:r>
    </w:p>
    <w:p>
      <w:r>
        <w:t xml:space="preserve">F22B | 202 | 184 | 225 | 205</w:t>
      </w:r>
    </w:p>
    <w:p>
      <w:r>
        <w:t xml:space="preserve">C.F. | 233 | 210 | 257 | 211</w:t>
      </w:r>
    </w:p>
    <w:p>
      <w:r>
        <w:t xml:space="preserve">The commercial flux produced the highest hardness (FZ: 210–233 HV; HAZ: 211–257 HV), correlating with its elevated CE (0.38) and higher MA constituent content. All laboratory fluxes maintained hardness below 251 HV in the HAZ—well under the 260 HV threshold for sour service applications. The narrow hardness ranges within each zone (18–23 HV spread) indicate uniform microstructural evolution and absence of localized defects.</w:t>
      </w:r>
    </w:p>
    <w:p>
      <w:r>
        <w:rPr>
          <w:b/>
        </w:rPr>
        <w:t xml:space="preserve">Microstructure Characterization:</w:t>
      </w:r>
    </w:p>
    <w:p>
      <w:r>
        <w:t xml:space="preserve">*F6B Fusion Zone (Fig. 5.8a):* Dominated by acicular ferrite (55–65% area fraction) as randomly oriented, interlocking fine laths nucleated intragranularly on Ti-rich oxide inclusions. Grain boundary ferrite (10–15%), fine lower bainite (15–20%), and minor polygonal ferrite (5–10%) complete the phase assemblage. The high AF fraction directly explains the superior toughness through maximum crack path tortuosity.</w:t>
      </w:r>
    </w:p>
    <w:p>
      <w:r>
        <w:t xml:space="preserve">*F20B Fusion Zone (Fig. 5.8b):* Moderate acicular ferrite (35–45%) with more prominent grain boundary ferrite (20–25%) and upper bainite (20–25%). The reduced AF content relative to F6B correlates with lower TiO₂ (16.9%), providing fewer Ti-bearing nucleation sites.</w:t>
      </w:r>
    </w:p>
    <w:p>
      <w:r>
        <w:t xml:space="preserve">*F22B Fusion Zone (Fig. 5.8c):* Mixed microstructure with acicular ferrite (30–40%), polygonal ferrite (20–25%), GBF (15–20%), and bainite (15–20%). Lowest TiO₂ content (10%) yields the fewest effective inclusions, promoting grain-boundary-nucleated phases over intragranular AF.</w:t>
      </w:r>
    </w:p>
    <w:p>
      <w:r>
        <w:t xml:space="preserve">*C.F. Fusion Zone (Fig. 5.8d):* Acicular ferrite (45–55%) with bainite (20–25%), GBF (15–20%), and MA constituents (5–8%). The MA islands (white-etching features at grain boundaries) correlate with the highest CE and explain the elevated hardness values.</w:t>
      </w:r>
    </w:p>
    <w:p>
      <w:r>
        <w:t xml:space="preserve">*HAZ Microstructure (all joints):* Coarse-grained HAZ shows bainite + MA constituents + GBF with prior austenite grains of 50–120 μm. Fine-grained HAZ exhibits refined bainitic ferrite with 15–30 μm grain size and minimal MA. The multi-pass thermal cycle provides beneficial tempering of previously deposited material.</w:t>
      </w:r>
    </w:p>
    <w:p>
      <w:r>
        <w:rPr>
          <w:b/>
        </w:rPr>
        <w:t xml:space="preserve">Structure–Property Summary:</w:t>
      </w:r>
    </w:p>
    <w:p>
      <w:r>
        <w:t xml:space="preserve">The F6B flux produces the optimal microstructural-mechanical property combination for API X70 pipeline service: highest acicular ferrite fraction (55–65%) yielding maximum toughness (171 J); controlled hardness (205–224 HV) without excessive MA constituents; absence of any zone exceeding 251 HV for sour service compatibility; and uniform phase distribution minimizing localized strain concentration. The DoE-based flux design approach successfully identified this optimum from twenty-five candidates through systematic composition–structure–property correlation [17, 24], demonstrating the superiority of rational design over conventional trial-and-error flux development methodology [18, 27].</w:t>
      </w:r>
    </w:p>
    <w:sectPr>
      <w:pgSz w:w="12240" w:h="15840"/>
      <w:pgMar w:top="1440" w:right="1440" w:bottom="1440" w:left="1440"/>
    </w:sectPr>
  </w:body>
</w:document>
</file>

<file path=word/styles.xml><?xml version="1.0" encoding="utf-8"?>
<w:styles xmlns:w="http://schemas.openxmlformats.org/wordprocessingml/2006/main">
  <w:style w:type="paragraph" w:default="1" w:styleId="Normal">
    <w:name w:val="Normal"/>
    <w:rPr>
      <w:rFonts w:ascii="Book Antiqua" w:hAnsi="Book Antiqua"/>
      <w:sz w:val="24"/>
      <w:szCs w:val="24"/>
    </w:rPr>
    <w:pPr>
      <w:spacing w:after="120" w:line="360" w:lineRule="auto"/>
    </w:pPr>
  </w:style>
  <w:style w:type="paragraph" w:styleId="Heading1">
    <w:name w:val="heading 1"/>
    <w:basedOn w:val="Normal"/>
    <w:pPr>
      <w:spacing w:before="360" w:after="120"/>
      <w:jc w:val="center"/>
    </w:pPr>
    <w:rPr>
      <w:rFonts w:ascii="Candara" w:hAnsi="Candara"/>
      <w:b/>
      <w:sz w:val="26"/>
      <w:szCs w:val="26"/>
    </w:rPr>
  </w:style>
  <w:style w:type="paragraph" w:styleId="Heading2">
    <w:name w:val="heading 2"/>
    <w:basedOn w:val="Normal"/>
    <w:pPr>
      <w:spacing w:before="240" w:after="120"/>
    </w:pPr>
    <w:rPr>
      <w:rFonts w:ascii="Candara" w:hAnsi="Candara"/>
      <w:b/>
      <w:sz w:val="26"/>
      <w:szCs w:val="26"/>
    </w:rPr>
  </w:style>
  <w:style w:type="paragraph" w:styleId="Heading3">
    <w:name w:val="heading 3"/>
    <w:basedOn w:val="Normal"/>
    <w:pPr>
      <w:spacing w:before="200" w:after="100"/>
    </w:pPr>
    <w:rPr>
      <w:rFonts w:ascii="Candara" w:hAnsi="Candara"/>
      <w:b/>
      <w:sz w:val="26"/>
      <w:szCs w:val="26"/>
    </w:rPr>
  </w:style>
  <w:style w:type="paragraph" w:styleId="Heading4">
    <w:name w:val="heading 4"/>
    <w:basedOn w:val="Normal"/>
    <w:pPr>
      <w:spacing w:before="200" w:after="100"/>
    </w:pPr>
    <w:rPr>
      <w:rFonts w:ascii="Candara" w:hAnsi="Candara"/>
      <w:b/>
      <w:sz w:val="26"/>
      <w:szCs w:val="26"/>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