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Migration, Governance, and Regional Politics in the Middle East and Africa</w:t>
      </w:r>
    </w:p>
    <w:p>
      <w:pPr>
        <w:pStyle w:val="Heading1"/>
      </w:pPr>
      <w:r>
        <w:t xml:space="preserve">Abstract</w:t>
      </w:r>
    </w:p>
    <w:p>
      <w:pPr>
        <w:pStyle w:val="Abstract"/>
      </w:pPr>
      <w:r>
        <w:t xml:space="preserve">Migration has become one of the most consequential forces shaping political, economic, and social life across the Middle East and Africa. The two regions together host some of the world's largest labour-migrant populations, most protracted refugee situations, and most dynamic migration corridors, yet they remain among the least well served by coherent, rights-based governance arrangements. This chapter examines the interlocking domains of migration governance, identity politics, and the political economy of movement across these regions. It argues that migration cannot be understood as a discrete policy problem to be managed at the border; it is instead a structural condition that reflects and reshapes state capacity, national identity, interstate relations, and development trajectories. The chapter traces the historical evolution of migration systems from colonial labour regimes to contemporary mixed-migration flows, analyses the institutions and policies through which states attempt to manage movement, and considers the persistent gaps between formal frameworks and lived realities. It then explores how migration is bound up with the construction of citizenship and belonging, how conflict-induced displacement interacts with political stability, and how states increasingly deploy migration as an instrument of diplomacy and leverage. Turning to political economy, the chapter assesses labour markets, remittances, inequality, and the developmental potential of diaspora engagement. Finally, it evaluates regional cooperation, the security-mobility nexus, and the emerging pressures of climate-driven movement, before setting out pathways toward inclusive and adaptive governance. Throughout, the analysis emphasises that durable governance depends on aligning institutional capacity, humanitarian obligation, developmental ambition, and the political recognition of migrants as agents rather than as objects of control. Four analytical figures and four summary tables structure the discussion and support a comparative reading of the two regions, drawing attention to the ways in which movement, belonging, and power are continually renegotiated across an arc of states stretching from the Atlantic coast of West Africa to the shores of the Arabian Gulf.</w:t>
      </w:r>
    </w:p>
    <w:p>
      <w:pPr>
        <w:pStyle w:val="Keywords"/>
      </w:pPr>
      <w:r>
        <w:rPr>
          <w:b/>
        </w:rPr>
        <w:t xml:space="preserve">Keywords:</w:t>
      </w:r>
      <w:r>
        <w:t xml:space="preserve"> migration governance; forced displacement; regional politics; political economy; diaspora; refugee protection; Middle East; Africa.</w:t>
      </w:r>
    </w:p>
    <w:p>
      <w:pPr>
        <w:pStyle w:val="Heading1"/>
      </w:pPr>
      <w:r>
        <w:t xml:space="preserve">1. Migration Governance in the Middle East and Africa</w:t>
      </w:r>
    </w:p>
    <w:p>
      <w:pPr>
        <w:pStyle w:val="Normal"/>
      </w:pPr>
      <w:r>
        <w:t xml:space="preserve">Migration governance in the Middle East and Africa cannot be grasped without attention to the deep historical structures that produced today's corridors, categories, and institutions. Contemporary flows are neither spontaneous nor purely crisis-driven; they are the sedimented outcome of colonial economies, postcolonial state-building, uneven development, and recurrent conflict [1]. To speak of governing migration in these regions is therefore to speak of governing the accumulated legacies of empire, the ambitions and limits of the nation-state, and the volatile interaction between markets that demand mobile labour and polities that fear it. This section situates migration governance within that longer trajectory and introduces an analytical framework, summarised in Figure 1, that links the structural drivers of movement, the governance mechanisms that seek to regulate it, and the political and developmental outcomes it generates. The framework is deliberately integrative because the dominant tendency in both policy and scholarship has been to compartmentalise migration into discrete problems—border control here, refugee protection there, labour recruitment elsewhere—when in reality these domains are tightly coupled and mutually constitutive.</w:t>
      </w:r>
    </w:p>
    <w:p>
      <w:pPr>
        <w:pStyle w:val="Normal"/>
      </w:pPr>
      <w:r>
        <w:t xml:space="preserve">The comparative scope of this chapter, spanning two regions that are too often studied in isolation, is deliberate. The Middle East and Africa are bound together by dense and longstanding migratory ties: the Horn of Africa and the Arabian Peninsula form a single labour system across the Red Sea, North Africa and the Sahel are linked by trans-Saharan routes, and the Nile Valley has always been a corridor of movement between the continent and the wider region [5]. Treating the two regions together therefore reflects the reality of the flows themselves, which pay little heed to the disciplinary and areal boundaries that scholarship has erected. At the same time, the comparison illuminates important contrasts, between the sponsorship-based labour regimes of the Gulf and the free-movement aspirations of parts of Africa, between states that have codified refugee protection and those that have not, and between economies structured around imported labour and those structured around emigration. Holding these similarities and differences in view allows for a richer analysis than either region could sustain alone.</w:t>
      </w:r>
    </w:p>
    <w:p>
      <w:pPr>
        <w:pStyle w:val="Normal"/>
      </w:pPr>
      <w:r>
        <w:t xml:space="preserve">A central analytical claim of this chapter is that governance is not a neutral technical activity layered on top of migration but a constitutive force that shapes the phenomenon itself. The categories that states use—citizen, foreigner, refugee, migrant worker, irregular entrant—do not simply describe pre-existing populations; they call those populations into being, distributing rights, risks, and recognition in the process. Understanding migration governance thus requires attending to the political work that categories perform and to the interests that they serve, a theme that recurs throughout the sections that follow.</w:t>
      </w:r>
    </w:p>
    <w:p>
      <w:pPr>
        <w:pStyle w:val="Heading2"/>
      </w:pPr>
      <w:r>
        <w:t xml:space="preserve">1.1 Historical Evolution and Contemporary Migration Patterns</w:t>
      </w:r>
    </w:p>
    <w:p>
      <w:pPr>
        <w:pStyle w:val="Normal"/>
      </w:pPr>
      <w:r>
        <w:t xml:space="preserve">The colonial period reorganised mobility across both regions in ways whose imprint persists. In Africa, colonial administrations engineered labour migration systems to supply mines, plantations, and ports, drawing workers across newly imposed borders and fixing patterns of circular movement that would outlast independence [2]. Pass laws, recruitment monopolies, and tax regimes were designed to prise labour from rural economies and channel it toward colonial enterprise, embedding mobility within structures of coercion and racial hierarchy. The consequence was a continent whose internal migration patterns were shaped less by the free choices of workers than by the extractive logic of colonial capital, a logic that later independent states would find difficult to unwind. In the Middle East, imperial boundaries partitioned communities that had long moved across the Ottoman space, creating minority populations, contested citizenship claims, and the seeds of later displacement [3]. When independent states inherited these borders, they also inherited populations whose mobility did not respect them, and administrative categories—native, subject, alien—that shaped who could belong. The map of movement, in other words, was drawn before the states that would later try to police it existed.</w:t>
      </w:r>
    </w:p>
    <w:p>
      <w:pPr>
        <w:pStyle w:val="Normal"/>
      </w:pPr>
      <w:r>
        <w:t xml:space="preserve">Postcolonial migration systems developed along several tracks. Labour migration expanded dramatically after the 1970s oil boom, as Gulf economies imported vast numbers of workers, first from neighbouring Arab states and later, in far greater numbers, from South Asia and the Horn of Africa [4]. The scale of this transformation is difficult to overstate: within a generation, several Gulf societies became demographically dominated by non-citizens, producing a distinctive political economy in which the majority of residents were, and remain, temporary and rights-poor. Within sub-Saharan Africa, established corridors linked the Sahel to coastal West Africa, the Horn to the Gulf, and Southern African labour reserves to the region's economic hub [5]. These labour flows coexisted with recurrent forced displacement generated by decolonisation conflicts, civil wars, and interstate confrontation. Migration in both regions has thus always carried a dual character, at once an engine of economic integration and a symptom of political rupture.</w:t>
      </w:r>
    </w:p>
    <w:p>
      <w:pPr>
        <w:pStyle w:val="Normal"/>
      </w:pPr>
      <w:r>
        <w:t xml:space="preserve">A further legacy of this period is the entanglement of migration with the very process of state formation. In many parts of both regions, the consolidation of state authority proceeded in tandem with efforts to fix populations in place, to enumerate and tax them, and to distinguish insiders from outsiders. Mobility that had once been unremarkable—the seasonal movement of pastoralists, the circulation of traders, the migration of families in search of land or work—came to be seen as a problem requiring documentation, permission, and control. The friction between historically fluid patterns of movement and the territorial logic of the modern state remains a defining feature of migration governance in both regions, and it helps to explain why so much contemporary policy struggles against currents that predate the borders it seeks to defend.</w:t>
      </w:r>
    </w:p>
    <w:p>
      <w:pPr>
        <w:pStyle w:val="Normal"/>
      </w:pPr>
      <w:r>
        <w:t xml:space="preserve">Contemporary movement is best characterised as mixed migration: flows in which economic migrants, asylum seekers, victims of trafficking, and stranded travellers move along the same routes, using the same smuggling networks, and facing similar risks [6]. The distinction between voluntary and forced movement, so central to legal categories, blurs in practice, complicating both protection and management. The scale of contemporary flows is considerable, encompassing many millions of labour migrants across the Gulf and North Africa, large and growing displaced populations concentrated near zones of conflict, and substantial internal movement driven by urbanisation and environmental change. These populations are not static aggregates but constantly recomposing flows, as people move on, return, regularise, fall into irregularity, or shift from one category to another over the course of a single journey. Any governance system that assumes fixed categories and stable populations will therefore be perpetually out of step with the reality it seeks to order. A young person leaving a drought-stricken and conflict-affected region may be simultaneously a climate migrant, an economic migrant, and a potential asylum seeker, and the label attached to them will depend less on the complexity of their situation than on the priorities of the state that encounters them. Major corridors—the Eastern route from the Horn to the Arabian Peninsula, the Central Mediterranean route through the Sahel and North Africa, and the intra-regional labour circuits of the Gulf—carry populations whose motives are layered and whose legal status is often ambiguous, as depicted schematically in Figure 2 [7]. These corridors are not fixed channels but dynamic systems that respond to enforcement, conflict, and opportunity, shifting as one route closes and another opens, and generating their own economies of facilitation, protection, and predation along the way.</w:t>
      </w:r>
    </w:p>
    <w:p>
      <w:pPr>
        <w:pStyle w:val="FigureImage"/>
      </w:pPr>
      <w:r>
        <w:drawing>
          <wp:inline xmlns:wp="http://schemas.openxmlformats.org/drawingml/2006/wordprocessingDrawing" distT="0" distB="0" distL="0" distR="0">
            <wp:extent cx="5486400" cy="3609473"/>
            <wp:effectExtent l="0" t="0" r="0" b="0"/>
            <wp:docPr id="100" name="Fig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e100.png"/>
                    <pic:cNvPicPr/>
                  </pic:nvPicPr>
                  <pic:blipFill>
                    <a:blip xmlns:r="http://schemas.openxmlformats.org/officeDocument/2006/relationships" r:embed="rId10"/>
                    <a:stretch>
                      <a:fillRect/>
                    </a:stretch>
                  </pic:blipFill>
                  <pic:spPr>
                    <a:xfrm>
                      <a:off x="0" y="0"/>
                      <a:ext cx="5486400" cy="3609473"/>
                    </a:xfrm>
                    <a:prstGeom prst="rect">
                      <a:avLst/>
                    </a:prstGeom>
                  </pic:spPr>
                </pic:pic>
              </a:graphicData>
            </a:graphic>
          </wp:inline>
        </w:drawing>
      </w:r>
    </w:p>
    <w:p>
      <w:pPr>
        <w:pStyle w:val="FigureCaption"/>
      </w:pPr>
      <w:r>
        <w:t xml:space="preserve">Figure 1. Analytical framework linking the structural drivers of migration, the multi-level governance layer, and political and developmental outcomes, with a feedback loop from outcomes to drivers.</w:t>
      </w:r>
    </w:p>
    <w:p>
      <w:pPr>
        <w:pStyle w:val="Heading2"/>
      </w:pPr>
      <w:r>
        <w:t xml:space="preserve">1.2 Institutions, Policies, and Migration Management</w:t>
      </w:r>
    </w:p>
    <w:p>
      <w:pPr>
        <w:pStyle w:val="Normal"/>
      </w:pPr>
      <w:r>
        <w:t xml:space="preserve">The institutional architecture governing migration is fragmented and uneven. Most states in both regions have designated ministries or agencies responsible for immigration, borders, and citizenship, but mandates frequently overlap and coordination is weak [8]. Responsibility for migration is typically dispersed across interior ministries concerned with security, labour ministries concerned with employment, and foreign ministries concerned with bilateral relations, with the result that policy emerges not from a coherent strategy but from the shifting balance of bureaucratic power. National migration policies range from the elaborate sponsorship systems of the Gulf—where residence is tied to an employer through the kafala arrangement—to the comparatively liberal free-movement aspirations of some African regional bodies [9]. Under sponsorship regimes, the employer becomes a private gatekeeper of legal status, exercising a degree of control over the worker's mobility and rights that would be unthinkable for citizens, and creating structural conditions for dependency and abuse. These divergent national approaches reflect underlying structural positions in the migration system. Labour-importing states design policies to secure a controllable supply of foreign workers while limiting their claims on membership and welfare, whereas labour-exporting states design policies to protect and benefit from their nationals abroad, and transit states find themselves managing flows they did not generate and cannot easily absorb [9]. The result is a patchwork of national regimes whose logics frequently collide, so that a policy that serves the interests of one state may frustrate those of its neighbour. This misalignment of national interests is one of the deepest obstacles to coherent regional governance, for each state optimises for its own position within the system rather than for the functioning of the system as a whole. Border management has become a central preoccupation, with substantial investment in surveillance, biometric registration, and interception, often supported by external partners seeking to reduce onward movement [10]. The externalisation of border control—whereby wealthier states fund and equip transit states to prevent departures—has reconfigured the geography of enforcement, pushing the frontier deep into the territory of origin and transit countries.</w:t>
      </w:r>
    </w:p>
    <w:p>
      <w:pPr>
        <w:pStyle w:val="Normal"/>
      </w:pPr>
      <w:r>
        <w:t xml:space="preserve">Asylum and refugee policy reveals a striking divergence between formal commitment and practical protection. Several major host states in the Middle East are not parties to the 1951 Refugee Convention, yet host millions of refugees under ad hoc and often precarious arrangements [11]. Protection in these contexts rests less on codified legal obligation than on political discretion, humanitarian tradition, and the shifting calculations of governments that may welcome the displaced at one moment and pressure them to leave at another. In Africa, by contrast, a relatively generous regional refugee instrument exists on paper, expanding the definition of a refugee to include those fleeing generalised violence, but implementation is constrained by resources, encampment policies, and restrictions on movement and work [12]. The gap between normative ambition and administrative reality is a recurring feature of migration governance across both regions, and it is within this gap that the daily insecurity of migrants and refugees is produced. Visa regimes, work-permit systems, and regularisation programmes complete the policy toolkit, but they are applied inconsistently and are frequently overtaken by events on the ground.</w:t>
      </w:r>
    </w:p>
    <w:p>
      <w:pPr>
        <w:pStyle w:val="Normal"/>
      </w:pPr>
      <w:r>
        <w:t xml:space="preserve">International and regional organisations play a substantial role, providing humanitarian assistance, technical support, and normative frameworks. Yet their influence is mediated by state sovereignty concerns and by the political sensitivity of migration [13]. International agencies may fund refugee registration systems, train border officials, and advocate for rights, but they operate at the sufferance of host governments and must constantly negotiate the tension between their protection mandates and the preferences of the states that host them. Table 1 summarises the principal governance instruments operating at different levels and their characteristic strengths and limitations, illustrating why coherent management remains elusive. As the entries in Table 1 make clear, each level of governance possesses distinctive capabilities and equally distinctive blind spots, so that no single tier can substitute for the others, and effective governance depends on an alignment across levels that is rarely achieved in practice.</w:t>
      </w:r>
    </w:p>
    <w:p>
      <w:pPr>
        <w:pStyle w:val="FigureImage"/>
      </w:pPr>
      <w:r>
        <w:drawing>
          <wp:inline xmlns:wp="http://schemas.openxmlformats.org/drawingml/2006/wordprocessingDrawing" distT="0" distB="0" distL="0" distR="0">
            <wp:extent cx="5486400" cy="3609473"/>
            <wp:effectExtent l="0" t="0" r="0"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01.png"/>
                    <pic:cNvPicPr/>
                  </pic:nvPicPr>
                  <pic:blipFill>
                    <a:blip xmlns:r="http://schemas.openxmlformats.org/officeDocument/2006/relationships" r:embed="rId11"/>
                    <a:stretch>
                      <a:fillRect/>
                    </a:stretch>
                  </pic:blipFill>
                  <pic:spPr>
                    <a:xfrm>
                      <a:off x="0" y="0"/>
                      <a:ext cx="5486400" cy="3609473"/>
                    </a:xfrm>
                    <a:prstGeom prst="rect">
                      <a:avLst/>
                    </a:prstGeom>
                  </pic:spPr>
                </pic:pic>
              </a:graphicData>
            </a:graphic>
          </wp:inline>
        </w:drawing>
      </w:r>
    </w:p>
    <w:p>
      <w:pPr>
        <w:pStyle w:val="FigureCaption"/>
      </w:pPr>
      <w:r>
        <w:t xml:space="preserve">Figure 2. Principal migration corridors within and between the Middle East and Africa (schematic; arrows indicate the dominant direction of labour, forced and mixed migration flows; not to scale).</w:t>
      </w:r>
    </w:p>
    <w:p>
      <w:pPr>
        <w:pStyle w:val="Heading2"/>
      </w:pPr>
      <w:r>
        <w:t xml:space="preserve">1.3 State Capacity and Governance Challenges</w:t>
      </w:r>
    </w:p>
    <w:p>
      <w:pPr>
        <w:pStyle w:val="Normal"/>
      </w:pPr>
      <w:r>
        <w:t xml:space="preserve">Governance failures are frequently misread as failures of will when they are, in substantial part, failures of capacity. Many states lack the administrative infrastructure to register, document, and track mobile populations, let alone to deliver services to them [14]. Civil registries may be incomplete, identity systems may be unreliable, and the frontier itself may run through terrain that no state agency effectively controls. In such conditions, the ambition to manage migration comprehensively is often aspirational, and the everyday reality is one of improvisation, negotiation, and selective enforcement. Institutional fragmentation compounds the problem: responsibilities dispersed across security ministries, labour ministries, and foreign affairs produce contradictory signals and leave gaps that informal actors fill [15]. Where the state is internally divided, brokers, recruiters, smugglers, and community networks step into the breach, becoming the effective governors of migration in place of the formal institutions that claim the role.</w:t>
      </w:r>
    </w:p>
    <w:p>
      <w:pPr>
        <w:pStyle w:val="Normal"/>
      </w:pPr>
      <w:r>
        <w:t xml:space="preserve">The problem of capacity is not simply one of resources; it is also one of coherence and continuity. Migration policy in many states is reactive, lurching from crisis to crisis, announced in response to a sudden influx or a political controversy and abandoned when attention moves elsewhere. Legislation may be passed without the institutions to implement it, agreements may be signed without the mechanisms to enforce them, and reforms may be reversed with each change of government or minister. This instability is itself a form of incapacity, and it corrodes the trust of migrants, host communities, and international partners alike. Durable governance requires not only more resources but a longer horizon, a willingness to build institutions that outlast particular administrations and to treat migration as a permanent condition to be managed rather than a temporary emergency to be survived.</w:t>
      </w:r>
    </w:p>
    <w:p>
      <w:pPr>
        <w:pStyle w:val="Normal"/>
      </w:pPr>
      <w:r>
        <w:t xml:space="preserve">Informal migration and undocumented populations are the predictable result. Large numbers of migrants live and work without legal status, vulnerable to exploitation and exclusion, yet often indispensable to the economies that formally reject them [16]. Undocumented status is not merely an enforcement problem; it is a governance choice that shifts risk onto migrants while preserving flexible, low-cost labour for employers. The rhetoric of cracking down on irregular migration frequently coexists with a tacit tolerance of it, because the sectors that depend on cheap and disciplined labour—construction, agriculture, domestic work—would struggle without it. Irregularity, in this reading, is less an aberration to be eliminated than a structural feature of economies organised around the exploitation of the rightless.</w:t>
      </w:r>
    </w:p>
    <w:p>
      <w:pPr>
        <w:pStyle w:val="Normal"/>
      </w:pPr>
      <w:r>
        <w:t xml:space="preserve">Perhaps the central dilemma is the balancing of security, development, and humanitarian concerns. States face genuine security pressures—trafficking, smuggling, and the movement of armed actors—but security-led responses frequently undermine both protection and the developmental gains migration can bring [17]. When migration is framed primarily as a threat, the policy response tends toward deterrence, interception, and containment, measures that may reduce visible flows while intensifying the dangers that migrants face and forfeiting the economic and social contributions they might otherwise make. The analytical framework in Figure 1 foregrounds precisely this tension: governance choices shape whether migration becomes a source of stability and shared prosperity or of grievance and instability. The feedback loop represented in that framework is essential to the argument, since the outcomes of governance—whether inclusion or exclusion, stability or unrest—themselves become drivers that reshape future patterns of movement and the political environment in which subsequent policy is made. Resolving this dilemma requires governance capacity that most states in the two regions are still building, and it requires a political willingness to treat migrants as stakeholders rather than as security problems.</w:t>
      </w:r>
    </w:p>
    <w:p>
      <w:pPr>
        <w:pStyle w:val="Heading1"/>
      </w:pPr>
      <w:r>
        <w:t xml:space="preserve">2. Migration, Identity, and Regional Political Dynamics</w:t>
      </w:r>
    </w:p>
    <w:p>
      <w:pPr>
        <w:pStyle w:val="Normal"/>
      </w:pPr>
      <w:r>
        <w:t xml:space="preserve">Migration is never only about the movement of people; it is about the reconfiguration of who belongs, who governs, and how communities imagine themselves. In the Middle East and Africa, where nation-states are relatively young and identities are layered across ethnic, religious, and linguistic lines, migration touches the most sensitive nerves of political life [18]. The arrival, presence, or departure of populations can unsettle carefully maintained demographic balances, reopen historical grievances, and force renegotiation of the terms on which political community is constituted. This section examines identity, displacement, and the strategic use of migration in regional politics, arguing that the politics of movement is inseparable from the politics of belonging.</w:t>
      </w:r>
    </w:p>
    <w:p>
      <w:pPr>
        <w:pStyle w:val="Heading2"/>
      </w:pPr>
      <w:r>
        <w:t xml:space="preserve">2.1 Migration and the Construction of National and Social Identities</w:t>
      </w:r>
    </w:p>
    <w:p>
      <w:pPr>
        <w:pStyle w:val="Normal"/>
      </w:pPr>
      <w:r>
        <w:t xml:space="preserve">Citizenship regimes in both regions bear the marks of their contested origins. In several Gulf states, citizenship is narrowly defined and jealously guarded, so that even long-resident migrant communities and their locally born children remain permanent outsiders [19]. A person may be born in a country, educated there, and work there for decades, yet never acquire membership, remaining suspended in a condition of indefinite temporariness that structures every dimension of their life. Elsewhere, citizenship has been weaponised, with denaturalisation and statelessness used against minorities whose loyalty is questioned. Belonging, in these contexts, is not a settled legal fact but a political resource distributed unequally, and its distribution reflects and reinforces the broader architecture of power. The line between citizen and non-citizen is one of the most consequential boundaries in these societies, determining access to work, welfare, property, and voice.</w:t>
      </w:r>
    </w:p>
    <w:p>
      <w:pPr>
        <w:pStyle w:val="Normal"/>
      </w:pPr>
      <w:r>
        <w:t xml:space="preserve">Migrant identities are shaped by ethnicity, religion, and language in ways that ease integration for some and obstruct it for others. Shared language or faith can facilitate incorporation, while visible difference can mark migrants as permanently foreign [20]. A migrant who shares the dominant language and religion of the host society may blend into it over time, while one marked by racial, linguistic, or sectarian difference may remain conspicuous and vulnerable regardless of the length of their residence. Migrants themselves are not passive: they sustain transnational identities, build community institutions, and negotiate belonging across borders, complicating the neat categories that states prefer [21]. Diaspora associations, places of worship, hometown networks, and informal mutual-aid arrangements allow migrants to reproduce community and to remain connected to places of origin, generating forms of belonging that are simultaneously here and there and that resist the container logic of the nation-state.</w:t>
      </w:r>
    </w:p>
    <w:p>
      <w:pPr>
        <w:pStyle w:val="Normal"/>
      </w:pPr>
      <w:r>
        <w:t xml:space="preserve">The interaction between migration and identity is not one-directional. Just as host societies shape the identities available to migrants, so migration reshapes the identities of host societies themselves. The arrival and settlement of new populations can, over time, alter the linguistic, religious, and cultural composition of a society, prompting renegotiation of national narratives and the boundaries of belonging [18]. Some societies absorb such change with relative ease, expanding their sense of who counts as a member; others resist it, hardening exclusionary definitions and policing the boundaries of nationhood with increasing vigilance. The trajectory a given society follows is not predetermined by demography but is worked out through politics, in contests over citizenship law, over the recognition of minority languages and faiths, and over the symbolic content of national identity. Migration, in this sense, is a mirror in which societies confront the question of what they are and what they wish to become.</w:t>
      </w:r>
    </w:p>
    <w:p>
      <w:pPr>
        <w:pStyle w:val="Normal"/>
      </w:pPr>
      <w:r>
        <w:t xml:space="preserve">Xenophobia and identity politics represent the darker edge of these dynamics. Economic downturns, service pressures, and political entrepreneurship can transform migrants into scapegoats, triggering hostility and, at times, violence [22]. Political actors frequently find migrants to be convenient targets, blaming them for unemployment, crime, or cultural change, and mobilising resentment for electoral or factional advantage. Such mobilisation is rarely a spontaneous expression of popular sentiment; it is typically produced and amplified by those who stand to gain from it. Table 2 sets out the principal dimensions of migrant identity and integration, distinguishing the factors that promote inclusion from those that entrench exclusion, and underscoring that identity outcomes are governed as much by politics as by demography. The comparison in Table 2 highlights that inclusion and exclusion are not fixed properties of particular groups but contingent outcomes of legal design, economic structure, and political choice.</w:t>
      </w:r>
    </w:p>
    <w:p>
      <w:pPr>
        <w:pStyle w:val="Heading2"/>
      </w:pPr>
      <w:r>
        <w:t xml:space="preserve">2.2 Refugees, Displacement, and Political Stability</w:t>
      </w:r>
    </w:p>
    <w:p>
      <w:pPr>
        <w:pStyle w:val="Normal"/>
      </w:pPr>
      <w:r>
        <w:t xml:space="preserve">Conflict-induced displacement is the most politically charged form of migration in both regions. Prolonged wars and state collapse have generated some of the largest refugee populations in the world, concentrated in a small number of neighbouring states [23]. The geography of displacement is profoundly uneven: a handful of countries adjacent to zones of conflict absorb the overwhelming majority of the displaced, bearing costs far out of proportion to their size or wealth, while distant and richer states contribute financing but accept comparatively few people. These movements are rarely temporary; protracted displacement, lasting years or decades, has become the norm rather than the exception [24]. Refugees who expected to return within months find themselves raising children in exile, and camps or informal settlements established as emergency measures harden into semi-permanent features of the social landscape.</w:t>
      </w:r>
    </w:p>
    <w:p>
      <w:pPr>
        <w:pStyle w:val="Normal"/>
      </w:pPr>
      <w:r>
        <w:t xml:space="preserve">Host-community relations are shaped by the resource pressures that large refugee populations create. Competition over housing, employment, water, and public services can strain social cohesion, particularly where host communities are themselves poor and underserved [25]. When newcomers and long-term residents compete for the same scarce jobs, classrooms, and clinics, the potential for friction is acute, and perceptions of unfairness—whether or not they are grounded in fact—can corrode relations. Where governments and international actors invest in shared services and local economies, tensions can be moderated; where they do not, resentment festers, as summarised in the displacement dynamics presented in Figure 3 [26]. The illustrative trends there show displacement rising steadily over time even as remittances grow, a juxtaposition that captures the simultaneous economic promise and social strain that characterise these regions and that governance must somehow reconcile.</w:t>
      </w:r>
    </w:p>
    <w:p>
      <w:pPr>
        <w:pStyle w:val="Normal"/>
      </w:pPr>
      <w:r>
        <w:t xml:space="preserve">The economic dimension of hosting deserves emphasis, because the framing of refugees as a pure burden obscures a more complex reality. Displaced populations bring skills, labour, and consumption, and where they are permitted to work and to trade, they can contribute to the economies that host them rather than merely drawing upon them [26]. The evidence from a range of settings suggests that refugees are frequently active economic agents, establishing enterprises, participating in markets, and generating employment for citizens as well as for themselves. The persistent policy tendency to confine refugees, to prohibit their employment, and to treat them as objects of relief rather than as participants in the economy reflects political anxieties more than economic logic, and it forfeits the gains that a more enabling approach could yield. The choice between confinement and inclusion is, at bottom, a governance choice, and it shapes whether the arrival of the displaced becomes a source of shared prosperity or of entrenched dependency and resentment.</w:t>
      </w:r>
    </w:p>
    <w:p>
      <w:pPr>
        <w:pStyle w:val="Normal"/>
      </w:pPr>
      <w:r>
        <w:t xml:space="preserve">Refugee governance is inseparable from political mobilisation. Refugee populations can become actors in host-state politics and in the politics of their countries of origin, sometimes organising, sometimes being organised by others [27]. Displaced communities may sustain political movements, provide constituencies for armed groups, or become the objects of competition among external patrons, so that the humanitarian question of protection is entangled with the political question of allegiance. The presence of large displaced populations reshapes electoral calculations, security postures, and the distribution of resources, making refugee governance a matter of high politics rather than mere humanitarian administration [28]. Governments weigh the domestic political costs of hosting against the diplomatic and financial benefits, and their calculations shift with circumstances, so that the welcome extended to refugees is often provisional and revocable.</w:t>
      </w:r>
    </w:p>
    <w:p>
      <w:pPr>
        <w:pStyle w:val="FigureImage"/>
      </w:pPr>
      <w:r>
        <w:drawing>
          <wp:inline xmlns:wp="http://schemas.openxmlformats.org/drawingml/2006/wordprocessingDrawing" distT="0" distB="0" distL="0" distR="0">
            <wp:extent cx="5486400" cy="3609473"/>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102.png"/>
                    <pic:cNvPicPr/>
                  </pic:nvPicPr>
                  <pic:blipFill>
                    <a:blip xmlns:r="http://schemas.openxmlformats.org/officeDocument/2006/relationships" r:embed="rId12"/>
                    <a:stretch>
                      <a:fillRect/>
                    </a:stretch>
                  </pic:blipFill>
                  <pic:spPr>
                    <a:xfrm>
                      <a:off x="0" y="0"/>
                      <a:ext cx="5486400" cy="3609473"/>
                    </a:xfrm>
                    <a:prstGeom prst="rect">
                      <a:avLst/>
                    </a:prstGeom>
                  </pic:spPr>
                </pic:pic>
              </a:graphicData>
            </a:graphic>
          </wp:inline>
        </w:drawing>
      </w:r>
    </w:p>
    <w:p>
      <w:pPr>
        <w:pStyle w:val="FigureCaption"/>
      </w:pPr>
      <w:r>
        <w:t xml:space="preserve">Figure 3. Illustrative trends in remittance inflows, forced displacement, and the composition of migration flows, highlighting the coexistence of economic promise and social strain.</w:t>
      </w:r>
    </w:p>
    <w:p>
      <w:pPr>
        <w:pStyle w:val="Heading2"/>
      </w:pPr>
      <w:r>
        <w:t xml:space="preserve">2.3 Migration as an Instrument of Regional Politics</w:t>
      </w:r>
    </w:p>
    <w:p>
      <w:pPr>
        <w:pStyle w:val="Normal"/>
      </w:pPr>
      <w:r>
        <w:t xml:space="preserve">States increasingly treat migration as a lever of foreign policy. Migration diplomacy encompasses the use of labour agreements, visa regimes, and the hosting or return of populations to advance interests and manage relations with neighbours and distant partners alike [29]. The capacity to open or close a corridor, to expel or admit a population, or to threaten to do so, has become a recognised form of influence, deployed with growing sophistication by states that understand the anxieties migration provokes in their partners. A government that hosts a large migrant or refugee population holds a card that it can play in negotiations over aid, trade, security cooperation, or diplomatic recognition.</w:t>
      </w:r>
    </w:p>
    <w:p>
      <w:pPr>
        <w:pStyle w:val="Normal"/>
      </w:pPr>
      <w:r>
        <w:t xml:space="preserve">Border disputes and population movements are frequently entangled. Contested boundaries can trap communities on the wrong side of a line, while the movement of populations can itself become a source of interstate friction [30]. The very borders that structure migration were, in many cases, drawn without regard to the distribution of communities, so that the movement of people across them reactivates unresolved questions of sovereignty and belonging. In some cases, the demographic consequences of migration are perceived as threats to be countered through policy or force, and states may seek to alter or preserve demographic balances through the encouragement or obstruction of particular flows.</w:t>
      </w:r>
    </w:p>
    <w:p>
      <w:pPr>
        <w:pStyle w:val="Normal"/>
      </w:pPr>
      <w:r>
        <w:t xml:space="preserve">The diplomatic uses of migration are not confined to coercion. States also deploy migration cooperatively, negotiating labour agreements that serve mutual interests, coordinating on the management of shared corridors, and using the movement of people to deepen economic and cultural ties [29]. Labour-sending states, for their part, engage in their own forms of migration diplomacy, advocating for the rights and welfare of their nationals abroad, negotiating protections, and cultivating relations with the diaspora as a strategic asset. The politics of migration is thus not a single game but a repertoire of strategies, ranging from cooperation to coercion, that states adapt to their circumstances and interests. Understanding this repertoire is essential to any realistic assessment of the prospects for cooperative governance, because it reveals both the incentives that draw states toward collaboration and the temptations that pull them toward the instrumental use of vulnerable populations.</w:t>
      </w:r>
    </w:p>
    <w:p>
      <w:pPr>
        <w:pStyle w:val="Normal"/>
      </w:pPr>
      <w:r>
        <w:t xml:space="preserve">Most strikingly, migration policies are used as political leverage. States hosting large migrant or refugee populations may extract concessions—financial, diplomatic, or strategic—from partners anxious to prevent onward movement [31]. This instrumentalisation, sometimes described as the coercive engineering of migration, has become a durable feature of regional politics, blurring the line between humanitarian hosting and geopolitical bargaining [32]. When the threat to release or expel populations becomes a routine instrument of statecraft, the people concerned are reduced to bargaining chips, their protection contingent on the ebb and flow of interstate relations rather than on any stable commitment to their rights. The normalisation of this practice represents one of the more troubling developments in the contemporary politics of migration, and it poses a direct challenge to the rights-based governance that the concluding section of this chapter will advocate.</w:t>
      </w:r>
    </w:p>
    <w:p>
      <w:pPr>
        <w:pStyle w:val="Heading1"/>
      </w:pPr>
      <w:r>
        <w:t xml:space="preserve">3. Political Economy of Migration and Regional Development</w:t>
      </w:r>
    </w:p>
    <w:p>
      <w:pPr>
        <w:pStyle w:val="Normal"/>
      </w:pPr>
      <w:r>
        <w:t xml:space="preserve">If identity and security capture migration's political dimensions, political economy captures its material foundations. Migration in the Middle East and Africa is, at its core, a movement of labour and capital, generating flows of remittances, reshaping labour markets, and redistributing human capital in ways that both drive and constrain development [33]. The decision to migrate is embedded in structures of inequality between and within countries, in household strategies for managing risk and accumulating resources, and in the demand of employers for particular kinds of labour on particular terms. This section examines those economic dynamics and their developmental implications, arguing that migration's developmental value is neither automatic nor fixed but is decisively shaped by the governance that surrounds it.</w:t>
      </w:r>
    </w:p>
    <w:p>
      <w:pPr>
        <w:pStyle w:val="Heading2"/>
      </w:pPr>
      <w:r>
        <w:t xml:space="preserve">3.1 Labour Migration and Economic Transformation</w:t>
      </w:r>
    </w:p>
    <w:p>
      <w:pPr>
        <w:pStyle w:val="Normal"/>
      </w:pPr>
      <w:r>
        <w:t xml:space="preserve">Understanding migration's economic role requires moving beyond the simple question of whether it is good or bad for growth toward a more textured account of who gains, who loses, and under what conditions. The classical theories of migration—emphasising wage differentials, household strategies for diversifying risk, the self-perpetuating dynamics of networks, and the segmented demand of advanced economies for particular kinds of labour—each capture part of a complex reality, and each carries implications for governance [33]. Wage differentials explain why people move; household strategies explain why families invest in migration even when individual returns are uncertain; network dynamics explain why flows persist and concentrate along particular corridors; and labour-market segmentation explains why receiving economies demand migrant labour even amid domestic unemployment. Taken together, these perspectives caution against the assumption that migration can be switched on or off at will, for it is embedded in durable structures of inequality, demand, and social connection that policy can shape only at the margins.</w:t>
      </w:r>
    </w:p>
    <w:p>
      <w:pPr>
        <w:pStyle w:val="Normal"/>
      </w:pPr>
      <w:r>
        <w:t xml:space="preserve">Migrant labour markets are foundational to several economies in both regions. The Gulf economies are structurally dependent on foreign workers, who make up the overwhelming majority of the private-sector workforce and sustain construction, services, and domestic work [34]. This dependence is not incidental but systemic: entire sectors are organised around the availability of a mobile, temporary, and inexpensive workforce whose terms of employment are tightly controlled and whose presence is contingent on continuing employment. Within Africa, labour migration links surplus-labour regions to poles of growth, financing households and smoothing local economies through absence and return [35]. Seasonal and circular movement allows families to diversify their sources of income, sending members to where work is available and drawing them back when it is not, in a pattern of managed mobility that predates and outlasts any particular policy regime.</w:t>
      </w:r>
    </w:p>
    <w:p>
      <w:pPr>
        <w:pStyle w:val="Normal"/>
      </w:pPr>
      <w:r>
        <w:t xml:space="preserve">Remittances are the most tangible economic benefit of migration. Money sent home by migrant workers dwarfs official development assistance for many countries and provides a stable, countercyclical source of income for millions of households [36]. Unlike aid or investment, remittances flow directly to families, bypassing the state and the frictions of official channels, and they tend to hold up or even rise during downturns as migrants respond to the increased needs of those they support. As illustrated in Figure 3, remittance inflows have grown steadily even as displacement has risen, cushioning consumption, financing education and health, and supporting small enterprise. Yet remittances also carry costs: high transfer fees erode their value, sustained inflows can foster dependency and reduce incentives for local production, and the reliance on a distant breadwinner can strain family structures and shift burdens onto those who remain [37].</w:t>
      </w:r>
    </w:p>
    <w:p>
      <w:pPr>
        <w:pStyle w:val="Normal"/>
      </w:pPr>
      <w:r>
        <w:t xml:space="preserve">The macroeconomic significance of these transfers extends well beyond individual households. In several economies, remittances constitute a substantial share of national income, financing imports, supporting the balance of payments, and underpinning consumption in ways that shape the entire economy [35]. This dependence carries risks as well as benefits, for economies that come to rely heavily on transfers from abroad are exposed to conditions in distant labour markets over which they have no control, so that a downturn or a policy shift in a destination country can transmit shocks back to the origin economy. The developmental question is therefore not only how to maximise remittances but how to channel them toward productive investment rather than mere consumption, and how to reduce the dependence that heavy reliance on transfers can breed. Achieving this requires financial infrastructure, investment opportunities, and macroeconomic stability that many origin states struggle to provide, which is why the developmental payoff of remittances varies so widely from one context to another.</w:t>
      </w:r>
    </w:p>
    <w:p>
      <w:pPr>
        <w:pStyle w:val="Normal"/>
      </w:pPr>
      <w:r>
        <w:t xml:space="preserve">Skills mobility raises the vexed question of brain drain and human capital. The emigration of skilled professionals—doctors, engineers, teachers—can hollow out critical sectors in origin countries, even as it generates remittances and, potentially, knowledge transfer [38]. The departure of health workers from countries already short of them, for instance, can undermine the very services on which development depends, transferring the cost of their training to poorer societies and the benefit of their labour to richer ones. The balance between brain drain and brain circulation depends heavily on whether skilled migrants return, invest, or maintain productive ties with home, an outcome that governance can influence but rarely guarantees. Policies that engage the diaspora, ease return, and recognise foreign experience can tilt the balance toward circulation, while those that neglect or alienate emigrants forfeit the potential gains.</w:t>
      </w:r>
    </w:p>
    <w:p>
      <w:pPr>
        <w:pStyle w:val="Heading2"/>
      </w:pPr>
      <w:r>
        <w:t xml:space="preserve">3.2 Migration, Inequality, and Access to Resources</w:t>
      </w:r>
    </w:p>
    <w:p>
      <w:pPr>
        <w:pStyle w:val="Normal"/>
      </w:pPr>
      <w:r>
        <w:t xml:space="preserve">Migration is deeply entangled with inequality. In many host states, migrants occupy the lowest rungs of stratified labour markets, earning less, enjoying fewer protections, and facing barriers to advancement that citizens do not [39]. Socioeconomic disparities between migrants and citizens are frequently institutionalised through legal status, producing a hierarchy of rights that maps onto a hierarchy of origins. Labour markets in several host economies are effectively segmented, with citizens and privileged migrants occupying secure and well-remunerated positions while the majority of migrant workers are confined to insecure, low-paid, and often hazardous employment from which mobility is difficult. This segmentation is not a market accident but a governed outcome, produced by the legal and administrative structures that tie status to employment and limit the rights of the foreign-born.</w:t>
      </w:r>
    </w:p>
    <w:p>
      <w:pPr>
        <w:pStyle w:val="Normal"/>
      </w:pPr>
      <w:r>
        <w:t xml:space="preserve">Access to housing, healthcare, education, and employment is uneven and often precarious. Migrants may be excluded from public services, confined to informal or overcrowded housing, and denied the labour protections that would allow them to contest exploitation [40]. The everyday geography of migrant life—crowded dormitories, informal settlements, workplaces beyond the reach of inspection—reflects and reproduces exclusion, and the fear of losing status or facing deportation deters migrants from asserting even the rights they nominally hold. Table 3 sets out the principal economic contributions and costs of migration across origin and destination contexts, clarifying how gains and burdens are distributed unequally among migrants, citizens, and states. As Table 3 indicates, migration generates real value for all parties, but the distribution of that value is shaped by power, and migrants frequently bear the costs while others capture the benefits.</w:t>
      </w:r>
    </w:p>
    <w:p>
      <w:pPr>
        <w:pStyle w:val="Normal"/>
      </w:pPr>
      <w:r>
        <w:t xml:space="preserve">The persistence of these disparities is bound up with the political economy of labour demand. Employers in several sectors actively prefer a workforce that is cheap, flexible, and unable to organise or complain, and the legal architecture that renders migrants rightless serves that preference [39]. Reform is therefore resisted not because it is technically difficult but because powerful interests benefit from the status quo. This political economy helps to explain why abusive practices persist despite repeated commitments to reform, and why incremental changes to sponsorship systems and labour laws often fall short of their promise. Genuine improvement in the conditions of migrant labour depends on shifting the balance of power, whether through the extension of enforceable rights, the strengthening of labour inspection, or the pressure of international scrutiny, and such shifts are always contested by those who profit from the existing arrangements.</w:t>
      </w:r>
    </w:p>
    <w:p>
      <w:pPr>
        <w:pStyle w:val="Normal"/>
      </w:pPr>
      <w:r>
        <w:t xml:space="preserve">The gendered and generational dimensions of migration deserve particular attention. Women migrants, concentrated in domestic and care work, face distinctive risks of isolation and abuse, often labouring behind closed doors beyond the reach of regulation and dependent on individual employers for their security [41]. The intimacy and invisibility of domestic work create conditions in which exploitation can flourish unchecked, and the intersection of gender, class, and migrant status compounds vulnerability. The children of migrants—especially those born without secure status—inherit precariousness across generations, growing up in a legal limbo that constrains their education, their prospects, and their sense of belonging. These dimensions reveal that the costs of migration are not borne equally, and that governance which ignores them entrenches disadvantage rather than alleviating it.</w:t>
      </w:r>
    </w:p>
    <w:p>
      <w:pPr>
        <w:pStyle w:val="Heading2"/>
      </w:pPr>
      <w:r>
        <w:t xml:space="preserve">3.3 Migration and Sustainable Regional Development</w:t>
      </w:r>
    </w:p>
    <w:p>
      <w:pPr>
        <w:pStyle w:val="Normal"/>
      </w:pPr>
      <w:r>
        <w:t xml:space="preserve">The relationship between migration and development is neither automatically positive nor inevitably harmful; it is conditioned by governance. Migration–development linkages operate through remittances, skills, investment, and the circulation of ideas, but their developmental payoff depends on the policies that shape them [42]. The same flow of people can, under different governance conditions, either accelerate development or entrench dependency and inequality, and the difference lies in whether states create the institutional conditions for mobility to yield productive returns. Well-governed migration can accelerate development by mobilising resources, transferring knowledge, and integrating economies; poorly governed migration can entrench dependency, deepen inequality, and squander human potential.</w:t>
      </w:r>
    </w:p>
    <w:p>
      <w:pPr>
        <w:pStyle w:val="Normal"/>
      </w:pPr>
      <w:r>
        <w:t xml:space="preserve">It is worth stressing that the developmental effects of migration extend beyond the economic. Migrants transmit not only money but ideas, norms, and practices, a phenomenon sometimes described as social remittances, which can influence everything from business methods and political expectations to attitudes toward education, gender, and civic participation [33]. These flows of ideas can be a powerful force for change in origin communities, opening them to new possibilities and connecting them to wider currents of thought. Yet they are not uniformly benign, for the same channels can transmit polarising ideologies or unrealistic aspirations, and their effects depend on how they interact with local conditions. The developmental significance of migration therefore cannot be captured by remittance statistics alone; it encompasses the full range of material and non-material exchanges that mobility sets in motion, and it is mediated at every stage by the governance arrangements that facilitate or obstruct connection between the diaspora and the homeland.</w:t>
      </w:r>
    </w:p>
    <w:p>
      <w:pPr>
        <w:pStyle w:val="Normal"/>
      </w:pPr>
      <w:r>
        <w:t xml:space="preserve">Diaspora investment and transnational entrepreneurship represent a significant, and often underexploited, developmental resource. Diaspora communities invest in businesses, transfer knowledge, and build bridges between economies, provided that origin states create the conditions—trust, stability, and enabling institutions—for engagement [43]. Many states have established dedicated diaspora ministries, investment funds, and outreach programmes in recognition of this potential, though the success of such initiatives varies widely with the credibility of the institutions behind them. Where governments are perceived as predatory or unstable, formal channels are bypassed in favour of informal ties to family and community, and the developmental potential of the diaspora is only partially realised. Members of the diaspora are frequently willing to invest in their countries of origin when they might hesitate to invest elsewhere, drawing on personal ties, local knowledge, and a sense of obligation, but they will withhold that engagement where they encounter corruption, insecurity, or bureaucratic obstruction. Mobilising this potential requires deliberate policy—outreach, guarantees, streamlined procedures, and genuine responsiveness—rather than passive hope that emigrants will invest of their own accord.</w:t>
      </w:r>
    </w:p>
    <w:p>
      <w:pPr>
        <w:pStyle w:val="Normal"/>
      </w:pPr>
      <w:r>
        <w:t xml:space="preserve">Finally, migration is increasingly framed within the Sustainable Development Goals, which recognise well-managed migration as a contributor to development and call for the protection of migrant rights [1]. Situating migration within this framework helps to move debate beyond crisis management toward a developmental vision in which mobility is an asset to be governed rather than a threat to be suppressed [4]. This reframing matters because it shifts the terms of policy from control to opportunity, insisting that the rights and contributions of migrants be placed at the centre of the development agenda rather than treated as an afterthought or an obstacle. A developmental approach to migration is not naive about its challenges; it simply recognises that the challenges are best met by governance that harnesses movement rather than merely resisting it.</w:t>
      </w:r>
    </w:p>
    <w:p>
      <w:pPr>
        <w:pStyle w:val="Heading1"/>
      </w:pPr>
      <w:r>
        <w:t xml:space="preserve">4. Regional Cooperation, Security, and Future Governance</w:t>
      </w:r>
    </w:p>
    <w:p>
      <w:pPr>
        <w:pStyle w:val="Normal"/>
      </w:pPr>
      <w:r>
        <w:t xml:space="preserve">Because migration crosses borders, its governance ultimately depends on cooperation among states. Yet cooperation is difficult precisely where it is most needed, as sovereignty concerns, asymmetric burdens, and divergent interests obstruct collective action [8]. States that bear the heaviest costs of hosting have the strongest interest in shared responsibility, while those insulated from direct pressure have the least, and this asymmetry of interest lies at the heart of the difficulty of building durable cooperative arrangements. This final section examines regional frameworks, the security-mobility nexus, and the pathways toward more inclusive and adaptive governance, drawing together the multi-level architecture depicted in Figure 4.</w:t>
      </w:r>
    </w:p>
    <w:p>
      <w:pPr>
        <w:pStyle w:val="Heading2"/>
      </w:pPr>
      <w:r>
        <w:t xml:space="preserve">4.1 Regional and Bilateral Approaches to Migration Governance</w:t>
      </w:r>
    </w:p>
    <w:p>
      <w:pPr>
        <w:pStyle w:val="Normal"/>
      </w:pPr>
      <w:r>
        <w:t xml:space="preserve">Regional frameworks offer the most promising, if uneven, route to cooperative governance. In Africa, continental and sub-regional bodies have articulated ambitious free-movement and migration-governance agendas, envisioning a continent across which people can move, work, and settle with fewer obstacles, though implementation lags far behind aspiration [12]. The gap between the vision of an integrated continent and the reality of restrictive national practice reflects the difficulty of surrendering sovereign control over admission, even in pursuit of shared goals. In the Arab world, regional cooperation on migration is comparatively thin, shaped by the divergent interests of labour-sending and labour-receiving states, whose priorities in matters of recruitment, rights, and return are frequently opposed [9]. The absence of strong regional institutions leaves migration governance in the region largely to the discretion of individual states and to the bilateral bargains they strike.</w:t>
      </w:r>
    </w:p>
    <w:p>
      <w:pPr>
        <w:pStyle w:val="Normal"/>
      </w:pPr>
      <w:r>
        <w:t xml:space="preserve">Cross-border cooperation and migration agreements fill some of the gaps left by weak regional institutions. The corridors mapped in Figure 2 cut across multiple jurisdictions, so that no single state can govern them alone, and this transnational geography of movement is precisely what makes cooperative arrangements indispensable. Bilateral labour agreements govern the recruitment and treatment of workers, while cooperation on border management and readmission structures relations between origin, transit, and destination states [10]. Such agreements can, in principle, protect migrants by establishing standards for recruitment, wages, and working conditions, and by providing mechanisms for redress. In practice, however, they often entrench asymmetries, because the receiving state typically holds the stronger hand and can dictate terms that favour its interests over the rights of the workers or the concerns of the sending state. The proliferation of bilateral deals in the absence of a robust multilateral framework produces a patchwork of arrangements of varying quality and enforceability.</w:t>
      </w:r>
    </w:p>
    <w:p>
      <w:pPr>
        <w:pStyle w:val="Normal"/>
      </w:pPr>
      <w:r>
        <w:t xml:space="preserve">The quality of bilateral and regional cooperation depends heavily on the balance of power between the parties and on the presence or absence of enforceable standards. Where a strong multilateral framework sets minimum standards and provides mechanisms for monitoring and redress, bilateral deals can be held to account; where such a framework is absent, the stronger party tends to prevail, and the interests of migrants and of weaker states are correspondingly marginalised [13]. This is why the strengthening of regional and multilateral institutions matters not only for its own sake but as a condition for the fairness of the bilateral arrangements that will continue to do much of the practical work of governance. Institutions that appear weak or aspirational nonetheless shape the environment within which more concrete bargains are struck, setting norms, generating information, and providing forums in which grievances can be voiced.</w:t>
      </w:r>
    </w:p>
    <w:p>
      <w:pPr>
        <w:pStyle w:val="Normal"/>
      </w:pPr>
      <w:r>
        <w:t xml:space="preserve">Shared responsibility for refugees and migrants remains the central unresolved challenge. The burden of hosting displaced populations falls disproportionately on a small number of states, generating persistent calls for more equitable distribution that the international system has struggled to answer [23]. Mechanisms for sharing responsibility—through financing, resettlement, or development support for host communities—exist but are chronically underfunded and politically fragile, dependent on the fluctuating goodwill of contributing states. Table 4 outlines future governance scenarios and the policy levers associated with each, providing a framework for assessing where cooperation might realistically advance. As Table 4 suggests, the movement from fragmented and transactional arrangements toward genuine shared responsibility is possible but far from inevitable, and it depends on political choices that have so far proved difficult to make.</w:t>
      </w:r>
    </w:p>
    <w:p>
      <w:pPr>
        <w:pStyle w:val="Heading2"/>
      </w:pPr>
      <w:r>
        <w:t xml:space="preserve">4.2 Migration, Security, and Geopolitical Change</w:t>
      </w:r>
    </w:p>
    <w:p>
      <w:pPr>
        <w:pStyle w:val="Normal"/>
      </w:pPr>
      <w:r>
        <w:t xml:space="preserve">The security dimension of migration is real but frequently overstated and misdirected. Border security, trafficking, and human smuggling pose genuine challenges, and the criminal networks that profit from irregular movement cause immense harm, extracting money from the desperate and exposing them to violence, exploitation, and death [17]. These are serious problems that warrant a serious response. Yet securitised responses that treat migrants themselves as threats often intensify the very dangers they claim to address, pushing movement further underground, lengthening and endangering routes, and strengthening the criminal networks that thrive on illegality [31]. The conflation of migration with threat is analytically mistaken and practically counterproductive, and it diverts resources from the protection and governance measures that would more effectively reduce harm.</w:t>
      </w:r>
    </w:p>
    <w:p>
      <w:pPr>
        <w:pStyle w:val="Normal"/>
      </w:pPr>
      <w:r>
        <w:t xml:space="preserve">Climate change adds a profound new dimension. Environmental stress—drought, desertification, sea-level rise, and extreme weather—is already reshaping mobility across both regions, and its influence will grow as the climate continues to change [42]. Agricultural livelihoods under strain, water scarcity, and the increasing frequency of extreme events are prompting movement that is difficult to categorise and that current governance frameworks are ill-equipped to address. Much climate-related movement will be internal and regional rather than transcontinental, placing new demands on states least equipped to respond, as the scenario space in Figure 4 makes clear [43]. The quadrants sketched there illustrate how the interaction between the openness of policy and the degree of cooperation will shape whether climate-driven mobility is met with fortress-like restriction, ad-hoc improvisation, fragmented crisis, or inclusive adaptation.</w:t>
      </w:r>
    </w:p>
    <w:p>
      <w:pPr>
        <w:pStyle w:val="Normal"/>
      </w:pPr>
      <w:r>
        <w:t xml:space="preserve">The management of climate-related mobility will test the adaptive capacity of governance in both regions as few other challenges will. Existing legal categories offer little to those displaced by environmental change, who typically fit neither the definition of a refugee fleeing persecution nor that of a voluntary economic migrant, and who may therefore fall through the gaps of a protection system designed for other purposes [42]. Anticipating and preparing for such movement—through investment in adaptation, through planned relocation where necessary, and through the extension of protection to those who need it—will require foresight and flexibility that reactive, crisis-driven governance conspicuously lacks. The states most exposed to climate-driven displacement are frequently those with the least capacity to respond, which raises acute questions of equity and of international responsibility, given that the burden of a changing climate falls most heavily on those who have contributed least to it. How the two regions govern this emerging form of mobility will be a defining test of whether their institutions can adapt to challenges that their founding assumptions never contemplated.</w:t>
      </w:r>
    </w:p>
    <w:p>
      <w:pPr>
        <w:pStyle w:val="Normal"/>
      </w:pPr>
      <w:r>
        <w:t xml:space="preserve">Migration is also bound up with emerging geopolitical realignments. As external powers compete for influence, migration becomes both a domain of cooperation and a bargaining chip, with partnerships on border management and return traded against aid, investment, and diplomatic support [29]. The willingness of transit states to prevent departures has become a valuable commodity, sought by wealthier states anxious to reduce arrivals and offered by transit states in exchange for resources and recognition. The geopolitics of mobility will shape, and be shaped by, the broader reordering of the two regions' external relations, as new patrons enter the field and old alignments shift [32]. In this environment, the treatment of migrants risks becoming ever more subordinate to strategic calculation, a tendency that rights-based governance must actively resist.</w:t>
      </w:r>
    </w:p>
    <w:p>
      <w:pPr>
        <w:pStyle w:val="FigureImage"/>
      </w:pPr>
      <w:r>
        <w:drawing>
          <wp:inline xmlns:wp="http://schemas.openxmlformats.org/drawingml/2006/wordprocessingDrawing" distT="0" distB="0" distL="0" distR="0">
            <wp:extent cx="5486400" cy="3753852"/>
            <wp:effectExtent l="0" t="0" r="0" b="0"/>
            <wp:docPr id="103" name="Fig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103.png"/>
                    <pic:cNvPicPr/>
                  </pic:nvPicPr>
                  <pic:blipFill>
                    <a:blip xmlns:r="http://schemas.openxmlformats.org/officeDocument/2006/relationships" r:embed="rId13"/>
                    <a:stretch>
                      <a:fillRect/>
                    </a:stretch>
                  </pic:blipFill>
                  <pic:spPr>
                    <a:xfrm>
                      <a:off x="0" y="0"/>
                      <a:ext cx="5486400" cy="3753852"/>
                    </a:xfrm>
                    <a:prstGeom prst="rect">
                      <a:avLst/>
                    </a:prstGeom>
                  </pic:spPr>
                </pic:pic>
              </a:graphicData>
            </a:graphic>
          </wp:inline>
        </w:drawing>
      </w:r>
    </w:p>
    <w:p>
      <w:pPr>
        <w:pStyle w:val="FigureCaption"/>
      </w:pPr>
      <w:r>
        <w:t xml:space="preserve">Figure 4. Multi-level governance architecture and a scenario space defined by the openness of policy and the degree of cooperation, ranging from fortress region to inclusive mobility.</w:t>
      </w:r>
    </w:p>
    <w:p>
      <w:pPr>
        <w:pStyle w:val="Heading2"/>
      </w:pPr>
      <w:r>
        <w:t xml:space="preserve">4.3 Towards Inclusive and Adaptive Migration Governance</w:t>
      </w:r>
    </w:p>
    <w:p>
      <w:pPr>
        <w:pStyle w:val="Normal"/>
      </w:pPr>
      <w:r>
        <w:t xml:space="preserve">The chapter's analysis points toward a clear normative and practical conclusion: governance must become more inclusive, more adaptive, and more firmly grounded in rights. Rights-based and people-centred migration policies—which treat migrants as bearers of rights and agents of development rather than as problems to be managed—offer the surest foundation for durable governance [14]. Such an approach begins from the recognition that migrants are human beings with claims to dignity, protection, and voice, and it seeks to build governance around that recognition rather than around the imperatives of control. It does not ignore security or capacity constraints; it insists that they be reconciled with obligation and opportunity, so that the pursuit of order does not come at the expense of the people whose lives are at stake [16].</w:t>
      </w:r>
    </w:p>
    <w:p>
      <w:pPr>
        <w:pStyle w:val="Normal"/>
      </w:pPr>
      <w:r>
        <w:t xml:space="preserve">Making rights-based governance operational, rather than merely rhetorical, requires attention to the everyday encounters between migrants and the state. It is at the level of the border post, the labour inspectorate, the registration office, and the local clinic that rights are either realised or denied, and grand declarations of principle count for little if frontline institutions are under-resourced, poorly trained, or captured by the interests they are meant to regulate [16]. A rights-based approach therefore implies investment in the mundane machinery of administration, in accessible complaint mechanisms, in independent oversight, and in the legal empowerment of migrants themselves, so that they are able to claim the protections to which they are entitled. It also implies a shift in the culture of governing institutions, away from a reflexive suspicion of the foreign-born and toward a recognition of migrants as rights-holders and contributors. Such cultural change is slow and uneven, but it is indispensable, for policies imposed on institutions that do not share their values tend to be quietly subverted in implementation.</w:t>
      </w:r>
    </w:p>
    <w:p>
      <w:pPr>
        <w:pStyle w:val="Normal"/>
      </w:pPr>
      <w:r>
        <w:t xml:space="preserve">Strengthening regional governance and institutional coordination is the second imperative. This means investing in the administrative capacity that many states lack, aligning the fragmented mandates that produce contradictory policy, and building the regional institutions through which shared challenges can be addressed collectively [15]. Capacity-building is not glamorous work, but it is foundational: without reliable registration, adequate staffing, and coherent procedures, even the best-designed policies will founder in implementation. Data systems, in particular, are foundational, because governance that cannot see mobility—that cannot count, locate, and understand the populations it seeks to govern—cannot govern it well [8]. Investment in disaggregated, rights-respecting data is therefore a precondition for the evidence-based and adaptive governance that changing patterns of mobility demand.</w:t>
      </w:r>
    </w:p>
    <w:p>
      <w:pPr>
        <w:pStyle w:val="Normal"/>
      </w:pPr>
      <w:r>
        <w:t xml:space="preserve">Looking ahead, the future of migration, identity, and regional politics will be decided by the choices states make now. The plausible futures range from fragmented crisis to inclusive mobility, and the trajectory that prevails will depend on whether governance can rise to the scale of the challenge [24]. The pathway toward inclusive and adaptive governance requires that institutional capacity, humanitarian obligation, developmental ambition, and the political recognition of migrants develop together, so that mobility becomes an enabler of stability, prosperity, and human dignity rather than merely another domain of control [27]. Achieving this will demand not only better instruments but a change of disposition: a willingness to see migration as an enduring and largely beneficial feature of interconnected societies, and to govern it in a spirit of shared responsibility rather than mutual suspicion. The stakes are high, for the way these two regions govern movement in the coming decades will shape not only the lives of millions of migrants and refugees but the stability, prosperity, and character of the regions themselves.</w:t>
      </w:r>
    </w:p>
    <w:p>
      <w:pPr>
        <w:pStyle w:val="Heading1"/>
      </w:pPr>
      <w:r>
        <w:t xml:space="preserve">Tables</w:t>
      </w:r>
    </w:p>
    <w:p>
      <w:pPr>
        <w:pStyle w:val="TableCaption"/>
      </w:pPr>
      <w:r>
        <w:rPr>
          <w:b/>
        </w:rPr>
        <w:t xml:space="preserve">Table 1. Multi-level migration governance instruments in the Middle East and Africa.</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vAlign w:val="center"/>
          </w:tcPr>
          <w:p>
            <w:pPr>
              <w:jc w:val="center"/>
              <w:spacing w:after="20" w:line="240" w:lineRule="auto"/>
            </w:pPr>
            <w:r>
              <w:rPr>
                <w:b/>
                <w:sz w:val="20"/>
                <w:szCs w:val="20"/>
              </w:rPr>
              <w:t xml:space="preserve">Level</w:t>
            </w:r>
          </w:p>
        </w:tc>
        <w:tc>
          <w:tcPr>
            <w:tcW w:w="2340" w:type="dxa"/>
            <w:shd w:val="clear" w:color="auto" w:fill="D9E2F3"/>
            <w:vAlign w:val="center"/>
          </w:tcPr>
          <w:p>
            <w:pPr>
              <w:jc w:val="center"/>
              <w:spacing w:after="20" w:line="240" w:lineRule="auto"/>
            </w:pPr>
            <w:r>
              <w:rPr>
                <w:b/>
                <w:sz w:val="20"/>
                <w:szCs w:val="20"/>
              </w:rPr>
              <w:t xml:space="preserve">Principal instruments</w:t>
            </w:r>
          </w:p>
        </w:tc>
        <w:tc>
          <w:tcPr>
            <w:tcW w:w="2340" w:type="dxa"/>
            <w:shd w:val="clear" w:color="auto" w:fill="D9E2F3"/>
            <w:vAlign w:val="center"/>
          </w:tcPr>
          <w:p>
            <w:pPr>
              <w:jc w:val="center"/>
              <w:spacing w:after="20" w:line="240" w:lineRule="auto"/>
            </w:pPr>
            <w:r>
              <w:rPr>
                <w:b/>
                <w:sz w:val="20"/>
                <w:szCs w:val="20"/>
              </w:rPr>
              <w:t xml:space="preserve">Characteristic strengths</w:t>
            </w:r>
          </w:p>
        </w:tc>
        <w:tc>
          <w:tcPr>
            <w:tcW w:w="2340" w:type="dxa"/>
            <w:shd w:val="clear" w:color="auto" w:fill="D9E2F3"/>
            <w:vAlign w:val="center"/>
          </w:tcPr>
          <w:p>
            <w:pPr>
              <w:jc w:val="center"/>
              <w:spacing w:after="20" w:line="240" w:lineRule="auto"/>
            </w:pPr>
            <w:r>
              <w:rPr>
                <w:b/>
                <w:sz w:val="20"/>
                <w:szCs w:val="20"/>
              </w:rPr>
              <w:t xml:space="preserve">Characteristic limitations</w:t>
            </w:r>
          </w:p>
        </w:tc>
      </w:tr>
      <w:tr>
        <w:tc>
          <w:tcPr>
            <w:tcW w:w="2340" w:type="dxa"/>
            <w:vAlign w:val="center"/>
          </w:tcPr>
          <w:p>
            <w:pPr>
              <w:spacing w:after="20" w:line="240" w:lineRule="auto"/>
            </w:pPr>
            <w:r>
              <w:rPr>
                <w:sz w:val="20"/>
                <w:szCs w:val="20"/>
              </w:rPr>
              <w:t xml:space="preserve">Global</w:t>
            </w:r>
          </w:p>
        </w:tc>
        <w:tc>
          <w:tcPr>
            <w:tcW w:w="2340" w:type="dxa"/>
            <w:vAlign w:val="center"/>
          </w:tcPr>
          <w:p>
            <w:pPr>
              <w:spacing w:after="20" w:line="240" w:lineRule="auto"/>
            </w:pPr>
            <w:r>
              <w:rPr>
                <w:sz w:val="20"/>
                <w:szCs w:val="20"/>
              </w:rPr>
              <w:t xml:space="preserve">UN conventions; Global Compact for Migration; SDG targets</w:t>
            </w:r>
          </w:p>
        </w:tc>
        <w:tc>
          <w:tcPr>
            <w:tcW w:w="2340" w:type="dxa"/>
            <w:vAlign w:val="center"/>
          </w:tcPr>
          <w:p>
            <w:pPr>
              <w:spacing w:after="20" w:line="240" w:lineRule="auto"/>
            </w:pPr>
            <w:r>
              <w:rPr>
                <w:sz w:val="20"/>
                <w:szCs w:val="20"/>
              </w:rPr>
              <w:t xml:space="preserve">Normative standards; shared vocabulary</w:t>
            </w:r>
          </w:p>
        </w:tc>
        <w:tc>
          <w:tcPr>
            <w:tcW w:w="2340" w:type="dxa"/>
            <w:vAlign w:val="center"/>
          </w:tcPr>
          <w:p>
            <w:pPr>
              <w:spacing w:after="20" w:line="240" w:lineRule="auto"/>
            </w:pPr>
            <w:r>
              <w:rPr>
                <w:sz w:val="20"/>
                <w:szCs w:val="20"/>
              </w:rPr>
              <w:t xml:space="preserve">Non-binding; uneven ratification</w:t>
            </w:r>
          </w:p>
        </w:tc>
      </w:tr>
      <w:tr>
        <w:tc>
          <w:tcPr>
            <w:tcW w:w="2340" w:type="dxa"/>
            <w:vAlign w:val="center"/>
          </w:tcPr>
          <w:p>
            <w:pPr>
              <w:spacing w:after="20" w:line="240" w:lineRule="auto"/>
            </w:pPr>
            <w:r>
              <w:rPr>
                <w:sz w:val="20"/>
                <w:szCs w:val="20"/>
              </w:rPr>
              <w:t xml:space="preserve">Regional</w:t>
            </w:r>
          </w:p>
        </w:tc>
        <w:tc>
          <w:tcPr>
            <w:tcW w:w="2340" w:type="dxa"/>
            <w:vAlign w:val="center"/>
          </w:tcPr>
          <w:p>
            <w:pPr>
              <w:spacing w:after="20" w:line="240" w:lineRule="auto"/>
            </w:pPr>
            <w:r>
              <w:rPr>
                <w:sz w:val="20"/>
                <w:szCs w:val="20"/>
              </w:rPr>
              <w:t xml:space="preserve">AU frameworks; sub-regional free movement; Arab labour bodies</w:t>
            </w:r>
          </w:p>
        </w:tc>
        <w:tc>
          <w:tcPr>
            <w:tcW w:w="2340" w:type="dxa"/>
            <w:vAlign w:val="center"/>
          </w:tcPr>
          <w:p>
            <w:pPr>
              <w:spacing w:after="20" w:line="240" w:lineRule="auto"/>
            </w:pPr>
            <w:r>
              <w:rPr>
                <w:sz w:val="20"/>
                <w:szCs w:val="20"/>
              </w:rPr>
              <w:t xml:space="preserve">Context-sensitive; cooperation potential</w:t>
            </w:r>
          </w:p>
        </w:tc>
        <w:tc>
          <w:tcPr>
            <w:tcW w:w="2340" w:type="dxa"/>
            <w:vAlign w:val="center"/>
          </w:tcPr>
          <w:p>
            <w:pPr>
              <w:spacing w:after="20" w:line="240" w:lineRule="auto"/>
            </w:pPr>
            <w:r>
              <w:rPr>
                <w:sz w:val="20"/>
                <w:szCs w:val="20"/>
              </w:rPr>
              <w:t xml:space="preserve">Weak implementation; resource gaps</w:t>
            </w:r>
          </w:p>
        </w:tc>
      </w:tr>
      <w:tr>
        <w:tc>
          <w:tcPr>
            <w:tcW w:w="2340" w:type="dxa"/>
            <w:vAlign w:val="center"/>
          </w:tcPr>
          <w:p>
            <w:pPr>
              <w:spacing w:after="20" w:line="240" w:lineRule="auto"/>
            </w:pPr>
            <w:r>
              <w:rPr>
                <w:sz w:val="20"/>
                <w:szCs w:val="20"/>
              </w:rPr>
              <w:t xml:space="preserve">Bilateral</w:t>
            </w:r>
          </w:p>
        </w:tc>
        <w:tc>
          <w:tcPr>
            <w:tcW w:w="2340" w:type="dxa"/>
            <w:vAlign w:val="center"/>
          </w:tcPr>
          <w:p>
            <w:pPr>
              <w:spacing w:after="20" w:line="240" w:lineRule="auto"/>
            </w:pPr>
            <w:r>
              <w:rPr>
                <w:sz w:val="20"/>
                <w:szCs w:val="20"/>
              </w:rPr>
              <w:t xml:space="preserve">Labour agreements; readmission and border deals</w:t>
            </w:r>
          </w:p>
        </w:tc>
        <w:tc>
          <w:tcPr>
            <w:tcW w:w="2340" w:type="dxa"/>
            <w:vAlign w:val="center"/>
          </w:tcPr>
          <w:p>
            <w:pPr>
              <w:spacing w:after="20" w:line="240" w:lineRule="auto"/>
            </w:pPr>
            <w:r>
              <w:rPr>
                <w:sz w:val="20"/>
                <w:szCs w:val="20"/>
              </w:rPr>
              <w:t xml:space="preserve">Concrete; enforceable</w:t>
            </w:r>
          </w:p>
        </w:tc>
        <w:tc>
          <w:tcPr>
            <w:tcW w:w="2340" w:type="dxa"/>
            <w:vAlign w:val="center"/>
          </w:tcPr>
          <w:p>
            <w:pPr>
              <w:spacing w:after="20" w:line="240" w:lineRule="auto"/>
            </w:pPr>
            <w:r>
              <w:rPr>
                <w:sz w:val="20"/>
                <w:szCs w:val="20"/>
              </w:rPr>
              <w:t xml:space="preserve">Asymmetric bargaining power</w:t>
            </w:r>
          </w:p>
        </w:tc>
      </w:tr>
      <w:tr>
        <w:tc>
          <w:tcPr>
            <w:tcW w:w="2340" w:type="dxa"/>
            <w:vAlign w:val="center"/>
          </w:tcPr>
          <w:p>
            <w:pPr>
              <w:spacing w:after="20" w:line="240" w:lineRule="auto"/>
            </w:pPr>
            <w:r>
              <w:rPr>
                <w:sz w:val="20"/>
                <w:szCs w:val="20"/>
              </w:rPr>
              <w:t xml:space="preserve">National</w:t>
            </w:r>
          </w:p>
        </w:tc>
        <w:tc>
          <w:tcPr>
            <w:tcW w:w="2340" w:type="dxa"/>
            <w:vAlign w:val="center"/>
          </w:tcPr>
          <w:p>
            <w:pPr>
              <w:spacing w:after="20" w:line="240" w:lineRule="auto"/>
            </w:pPr>
            <w:r>
              <w:rPr>
                <w:sz w:val="20"/>
                <w:szCs w:val="20"/>
              </w:rPr>
              <w:t xml:space="preserve">Immigration law; kafala/sponsorship; asylum systems</w:t>
            </w:r>
          </w:p>
        </w:tc>
        <w:tc>
          <w:tcPr>
            <w:tcW w:w="2340" w:type="dxa"/>
            <w:vAlign w:val="center"/>
          </w:tcPr>
          <w:p>
            <w:pPr>
              <w:spacing w:after="20" w:line="240" w:lineRule="auto"/>
            </w:pPr>
            <w:r>
              <w:rPr>
                <w:sz w:val="20"/>
                <w:szCs w:val="20"/>
              </w:rPr>
              <w:t xml:space="preserve">Direct control; sovereignty</w:t>
            </w:r>
          </w:p>
        </w:tc>
        <w:tc>
          <w:tcPr>
            <w:tcW w:w="2340" w:type="dxa"/>
            <w:vAlign w:val="center"/>
          </w:tcPr>
          <w:p>
            <w:pPr>
              <w:spacing w:after="20" w:line="240" w:lineRule="auto"/>
            </w:pPr>
            <w:r>
              <w:rPr>
                <w:sz w:val="20"/>
                <w:szCs w:val="20"/>
              </w:rPr>
              <w:t xml:space="preserve">Fragmentation; capacity deficits</w:t>
            </w:r>
          </w:p>
        </w:tc>
      </w:tr>
      <w:tr>
        <w:tc>
          <w:tcPr>
            <w:tcW w:w="2340" w:type="dxa"/>
            <w:vAlign w:val="center"/>
          </w:tcPr>
          <w:p>
            <w:pPr>
              <w:spacing w:after="20" w:line="240" w:lineRule="auto"/>
            </w:pPr>
            <w:r>
              <w:rPr>
                <w:sz w:val="20"/>
                <w:szCs w:val="20"/>
              </w:rPr>
              <w:t xml:space="preserve">Local</w:t>
            </w:r>
          </w:p>
        </w:tc>
        <w:tc>
          <w:tcPr>
            <w:tcW w:w="2340" w:type="dxa"/>
            <w:vAlign w:val="center"/>
          </w:tcPr>
          <w:p>
            <w:pPr>
              <w:spacing w:after="20" w:line="240" w:lineRule="auto"/>
            </w:pPr>
            <w:r>
              <w:rPr>
                <w:sz w:val="20"/>
                <w:szCs w:val="20"/>
              </w:rPr>
              <w:t xml:space="preserve">Municipal services; host-community programmes</w:t>
            </w:r>
          </w:p>
        </w:tc>
        <w:tc>
          <w:tcPr>
            <w:tcW w:w="2340" w:type="dxa"/>
            <w:vAlign w:val="center"/>
          </w:tcPr>
          <w:p>
            <w:pPr>
              <w:spacing w:after="20" w:line="240" w:lineRule="auto"/>
            </w:pPr>
            <w:r>
              <w:rPr>
                <w:sz w:val="20"/>
                <w:szCs w:val="20"/>
              </w:rPr>
              <w:t xml:space="preserve">Proximity; responsiveness</w:t>
            </w:r>
          </w:p>
        </w:tc>
        <w:tc>
          <w:tcPr>
            <w:tcW w:w="2340" w:type="dxa"/>
            <w:vAlign w:val="center"/>
          </w:tcPr>
          <w:p>
            <w:pPr>
              <w:spacing w:after="20" w:line="240" w:lineRule="auto"/>
            </w:pPr>
            <w:r>
              <w:rPr>
                <w:sz w:val="20"/>
                <w:szCs w:val="20"/>
              </w:rPr>
              <w:t xml:space="preserve">Underfunded; overstretched</w:t>
            </w:r>
          </w:p>
        </w:tc>
      </w:tr>
    </w:tbl>
    <w:p>
      <w:pPr>
        <w:spacing w:after="120"/>
      </w:pPr>
    </w:p>
    <w:p>
      <w:pPr>
        <w:pStyle w:val="TableCaption"/>
      </w:pPr>
      <w:r>
        <w:rPr>
          <w:b/>
        </w:rPr>
        <w:t xml:space="preserve">Table 2. Dimensions of migrant identity and integration.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vAlign w:val="center"/>
          </w:tcPr>
          <w:p>
            <w:pPr>
              <w:jc w:val="center"/>
              <w:spacing w:after="20" w:line="240" w:lineRule="auto"/>
            </w:pPr>
            <w:r>
              <w:rPr>
                <w:b/>
                <w:sz w:val="20"/>
                <w:szCs w:val="20"/>
              </w:rPr>
              <w:t xml:space="preserve">Dimension</w:t>
            </w:r>
          </w:p>
        </w:tc>
        <w:tc>
          <w:tcPr>
            <w:tcW w:w="3120" w:type="dxa"/>
            <w:shd w:val="clear" w:color="auto" w:fill="D9E2F3"/>
            <w:vAlign w:val="center"/>
          </w:tcPr>
          <w:p>
            <w:pPr>
              <w:jc w:val="center"/>
              <w:spacing w:after="20" w:line="240" w:lineRule="auto"/>
            </w:pPr>
            <w:r>
              <w:rPr>
                <w:b/>
                <w:sz w:val="20"/>
                <w:szCs w:val="20"/>
              </w:rPr>
              <w:t xml:space="preserve">Factors promoting inclusion</w:t>
            </w:r>
          </w:p>
        </w:tc>
        <w:tc>
          <w:tcPr>
            <w:tcW w:w="3120" w:type="dxa"/>
            <w:shd w:val="clear" w:color="auto" w:fill="D9E2F3"/>
            <w:vAlign w:val="center"/>
          </w:tcPr>
          <w:p>
            <w:pPr>
              <w:jc w:val="center"/>
              <w:spacing w:after="20" w:line="240" w:lineRule="auto"/>
            </w:pPr>
            <w:r>
              <w:rPr>
                <w:b/>
                <w:sz w:val="20"/>
                <w:szCs w:val="20"/>
              </w:rPr>
              <w:t xml:space="preserve">Factors entrenching exclusion</w:t>
            </w:r>
          </w:p>
        </w:tc>
      </w:tr>
      <w:tr>
        <w:tc>
          <w:tcPr>
            <w:tcW w:w="3120" w:type="dxa"/>
            <w:vAlign w:val="center"/>
          </w:tcPr>
          <w:p>
            <w:pPr>
              <w:spacing w:after="20" w:line="240" w:lineRule="auto"/>
            </w:pPr>
            <w:r>
              <w:rPr>
                <w:sz w:val="20"/>
                <w:szCs w:val="20"/>
              </w:rPr>
              <w:t xml:space="preserve">Legal status</w:t>
            </w:r>
          </w:p>
        </w:tc>
        <w:tc>
          <w:tcPr>
            <w:tcW w:w="3120" w:type="dxa"/>
            <w:vAlign w:val="center"/>
          </w:tcPr>
          <w:p>
            <w:pPr>
              <w:spacing w:after="20" w:line="240" w:lineRule="auto"/>
            </w:pPr>
            <w:r>
              <w:rPr>
                <w:sz w:val="20"/>
                <w:szCs w:val="20"/>
              </w:rPr>
              <w:t xml:space="preserve">Pathways to residence and citizenship</w:t>
            </w:r>
          </w:p>
        </w:tc>
        <w:tc>
          <w:tcPr>
            <w:tcW w:w="3120" w:type="dxa"/>
            <w:vAlign w:val="center"/>
          </w:tcPr>
          <w:p>
            <w:pPr>
              <w:spacing w:after="20" w:line="240" w:lineRule="auto"/>
            </w:pPr>
            <w:r>
              <w:rPr>
                <w:sz w:val="20"/>
                <w:szCs w:val="20"/>
              </w:rPr>
              <w:t xml:space="preserve">Restrictive citizenship; statelessness</w:t>
            </w:r>
          </w:p>
        </w:tc>
      </w:tr>
      <w:tr>
        <w:tc>
          <w:tcPr>
            <w:tcW w:w="3120" w:type="dxa"/>
            <w:vAlign w:val="center"/>
          </w:tcPr>
          <w:p>
            <w:pPr>
              <w:spacing w:after="20" w:line="240" w:lineRule="auto"/>
            </w:pPr>
            <w:r>
              <w:rPr>
                <w:sz w:val="20"/>
                <w:szCs w:val="20"/>
              </w:rPr>
              <w:t xml:space="preserve">Ethnicity and religion</w:t>
            </w:r>
          </w:p>
        </w:tc>
        <w:tc>
          <w:tcPr>
            <w:tcW w:w="3120" w:type="dxa"/>
            <w:vAlign w:val="center"/>
          </w:tcPr>
          <w:p>
            <w:pPr>
              <w:spacing w:after="20" w:line="240" w:lineRule="auto"/>
            </w:pPr>
            <w:r>
              <w:rPr>
                <w:sz w:val="20"/>
                <w:szCs w:val="20"/>
              </w:rPr>
              <w:t xml:space="preserve">Shared heritage; pluralist norms</w:t>
            </w:r>
          </w:p>
        </w:tc>
        <w:tc>
          <w:tcPr>
            <w:tcW w:w="3120" w:type="dxa"/>
            <w:vAlign w:val="center"/>
          </w:tcPr>
          <w:p>
            <w:pPr>
              <w:spacing w:after="20" w:line="240" w:lineRule="auto"/>
            </w:pPr>
            <w:r>
              <w:rPr>
                <w:sz w:val="20"/>
                <w:szCs w:val="20"/>
              </w:rPr>
              <w:t xml:space="preserve">Visible difference; sectarian politics</w:t>
            </w:r>
          </w:p>
        </w:tc>
      </w:tr>
      <w:tr>
        <w:tc>
          <w:tcPr>
            <w:tcW w:w="3120" w:type="dxa"/>
            <w:vAlign w:val="center"/>
          </w:tcPr>
          <w:p>
            <w:pPr>
              <w:spacing w:after="20" w:line="240" w:lineRule="auto"/>
            </w:pPr>
            <w:r>
              <w:rPr>
                <w:sz w:val="20"/>
                <w:szCs w:val="20"/>
              </w:rPr>
              <w:t xml:space="preserve">Language</w:t>
            </w:r>
          </w:p>
        </w:tc>
        <w:tc>
          <w:tcPr>
            <w:tcW w:w="3120" w:type="dxa"/>
            <w:vAlign w:val="center"/>
          </w:tcPr>
          <w:p>
            <w:pPr>
              <w:spacing w:after="20" w:line="240" w:lineRule="auto"/>
            </w:pPr>
            <w:r>
              <w:rPr>
                <w:sz w:val="20"/>
                <w:szCs w:val="20"/>
              </w:rPr>
              <w:t xml:space="preserve">Common or learnable language</w:t>
            </w:r>
          </w:p>
        </w:tc>
        <w:tc>
          <w:tcPr>
            <w:tcW w:w="3120" w:type="dxa"/>
            <w:vAlign w:val="center"/>
          </w:tcPr>
          <w:p>
            <w:pPr>
              <w:spacing w:after="20" w:line="240" w:lineRule="auto"/>
            </w:pPr>
            <w:r>
              <w:rPr>
                <w:sz w:val="20"/>
                <w:szCs w:val="20"/>
              </w:rPr>
              <w:t xml:space="preserve">Linguistic barriers; segregation</w:t>
            </w:r>
          </w:p>
        </w:tc>
      </w:tr>
      <w:tr>
        <w:tc>
          <w:tcPr>
            <w:tcW w:w="3120" w:type="dxa"/>
            <w:vAlign w:val="center"/>
          </w:tcPr>
          <w:p>
            <w:pPr>
              <w:spacing w:after="20" w:line="240" w:lineRule="auto"/>
            </w:pPr>
            <w:r>
              <w:rPr>
                <w:sz w:val="20"/>
                <w:szCs w:val="20"/>
              </w:rPr>
              <w:t xml:space="preserve">Economic role</w:t>
            </w:r>
          </w:p>
        </w:tc>
        <w:tc>
          <w:tcPr>
            <w:tcW w:w="3120" w:type="dxa"/>
            <w:vAlign w:val="center"/>
          </w:tcPr>
          <w:p>
            <w:pPr>
              <w:spacing w:after="20" w:line="240" w:lineRule="auto"/>
            </w:pPr>
            <w:r>
              <w:rPr>
                <w:sz w:val="20"/>
                <w:szCs w:val="20"/>
              </w:rPr>
              <w:t xml:space="preserve">Recognised contribution; labour rights</w:t>
            </w:r>
          </w:p>
        </w:tc>
        <w:tc>
          <w:tcPr>
            <w:tcW w:w="3120" w:type="dxa"/>
            <w:vAlign w:val="center"/>
          </w:tcPr>
          <w:p>
            <w:pPr>
              <w:spacing w:after="20" w:line="240" w:lineRule="auto"/>
            </w:pPr>
            <w:r>
              <w:rPr>
                <w:sz w:val="20"/>
                <w:szCs w:val="20"/>
              </w:rPr>
              <w:t xml:space="preserve">Confinement to informal, low-wage work</w:t>
            </w:r>
          </w:p>
        </w:tc>
      </w:tr>
      <w:tr>
        <w:tc>
          <w:tcPr>
            <w:tcW w:w="3120" w:type="dxa"/>
            <w:vAlign w:val="center"/>
          </w:tcPr>
          <w:p>
            <w:pPr>
              <w:spacing w:after="20" w:line="240" w:lineRule="auto"/>
            </w:pPr>
            <w:r>
              <w:rPr>
                <w:sz w:val="20"/>
                <w:szCs w:val="20"/>
              </w:rPr>
              <w:t xml:space="preserve">Political climate</w:t>
            </w:r>
          </w:p>
        </w:tc>
        <w:tc>
          <w:tcPr>
            <w:tcW w:w="3120" w:type="dxa"/>
            <w:vAlign w:val="center"/>
          </w:tcPr>
          <w:p>
            <w:pPr>
              <w:spacing w:after="20" w:line="240" w:lineRule="auto"/>
            </w:pPr>
            <w:r>
              <w:rPr>
                <w:sz w:val="20"/>
                <w:szCs w:val="20"/>
              </w:rPr>
              <w:t xml:space="preserve">Inclusive discourse; leadership</w:t>
            </w:r>
          </w:p>
        </w:tc>
        <w:tc>
          <w:tcPr>
            <w:tcW w:w="3120" w:type="dxa"/>
            <w:vAlign w:val="center"/>
          </w:tcPr>
          <w:p>
            <w:pPr>
              <w:spacing w:after="20" w:line="240" w:lineRule="auto"/>
            </w:pPr>
            <w:r>
              <w:rPr>
                <w:sz w:val="20"/>
                <w:szCs w:val="20"/>
              </w:rPr>
              <w:t xml:space="preserve">Xenophobic mobilisation; scapegoating</w:t>
            </w:r>
          </w:p>
        </w:tc>
      </w:tr>
    </w:tbl>
    <w:p>
      <w:pPr>
        <w:spacing w:after="120"/>
      </w:pPr>
    </w:p>
    <w:p>
      <w:pPr>
        <w:pStyle w:val="TableCaption"/>
      </w:pPr>
      <w:r>
        <w:rPr>
          <w:b/>
        </w:rPr>
        <w:t xml:space="preserve">Table 3. Economic contributions and costs of migration across contexts.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vAlign w:val="center"/>
          </w:tcPr>
          <w:p>
            <w:pPr>
              <w:jc w:val="center"/>
              <w:spacing w:after="20" w:line="240" w:lineRule="auto"/>
            </w:pPr>
            <w:r>
              <w:rPr>
                <w:b/>
                <w:sz w:val="20"/>
                <w:szCs w:val="20"/>
              </w:rPr>
              <w:t xml:space="preserve">Actor</w:t>
            </w:r>
          </w:p>
        </w:tc>
        <w:tc>
          <w:tcPr>
            <w:tcW w:w="3120" w:type="dxa"/>
            <w:shd w:val="clear" w:color="auto" w:fill="D9E2F3"/>
            <w:vAlign w:val="center"/>
          </w:tcPr>
          <w:p>
            <w:pPr>
              <w:jc w:val="center"/>
              <w:spacing w:after="20" w:line="240" w:lineRule="auto"/>
            </w:pPr>
            <w:r>
              <w:rPr>
                <w:b/>
                <w:sz w:val="20"/>
                <w:szCs w:val="20"/>
              </w:rPr>
              <w:t xml:space="preserve">Principal contributions</w:t>
            </w:r>
          </w:p>
        </w:tc>
        <w:tc>
          <w:tcPr>
            <w:tcW w:w="3120" w:type="dxa"/>
            <w:shd w:val="clear" w:color="auto" w:fill="D9E2F3"/>
            <w:vAlign w:val="center"/>
          </w:tcPr>
          <w:p>
            <w:pPr>
              <w:jc w:val="center"/>
              <w:spacing w:after="20" w:line="240" w:lineRule="auto"/>
            </w:pPr>
            <w:r>
              <w:rPr>
                <w:b/>
                <w:sz w:val="20"/>
                <w:szCs w:val="20"/>
              </w:rPr>
              <w:t xml:space="preserve">Principal costs and risks</w:t>
            </w:r>
          </w:p>
        </w:tc>
      </w:tr>
      <w:tr>
        <w:tc>
          <w:tcPr>
            <w:tcW w:w="3120" w:type="dxa"/>
            <w:vAlign w:val="center"/>
          </w:tcPr>
          <w:p>
            <w:pPr>
              <w:spacing w:after="20" w:line="240" w:lineRule="auto"/>
            </w:pPr>
            <w:r>
              <w:rPr>
                <w:sz w:val="20"/>
                <w:szCs w:val="20"/>
              </w:rPr>
              <w:t xml:space="preserve">Origin countries</w:t>
            </w:r>
          </w:p>
        </w:tc>
        <w:tc>
          <w:tcPr>
            <w:tcW w:w="3120" w:type="dxa"/>
            <w:vAlign w:val="center"/>
          </w:tcPr>
          <w:p>
            <w:pPr>
              <w:spacing w:after="20" w:line="240" w:lineRule="auto"/>
            </w:pPr>
            <w:r>
              <w:rPr>
                <w:sz w:val="20"/>
                <w:szCs w:val="20"/>
              </w:rPr>
              <w:t xml:space="preserve">Remittances; skills transfer; diaspora investment</w:t>
            </w:r>
          </w:p>
        </w:tc>
        <w:tc>
          <w:tcPr>
            <w:tcW w:w="3120" w:type="dxa"/>
            <w:vAlign w:val="center"/>
          </w:tcPr>
          <w:p>
            <w:pPr>
              <w:spacing w:after="20" w:line="240" w:lineRule="auto"/>
            </w:pPr>
            <w:r>
              <w:rPr>
                <w:sz w:val="20"/>
                <w:szCs w:val="20"/>
              </w:rPr>
              <w:t xml:space="preserve">Brain drain; dependency; family separation</w:t>
            </w:r>
          </w:p>
        </w:tc>
      </w:tr>
      <w:tr>
        <w:tc>
          <w:tcPr>
            <w:tcW w:w="3120" w:type="dxa"/>
            <w:vAlign w:val="center"/>
          </w:tcPr>
          <w:p>
            <w:pPr>
              <w:spacing w:after="20" w:line="240" w:lineRule="auto"/>
            </w:pPr>
            <w:r>
              <w:rPr>
                <w:sz w:val="20"/>
                <w:szCs w:val="20"/>
              </w:rPr>
              <w:t xml:space="preserve">Destination countries</w:t>
            </w:r>
          </w:p>
        </w:tc>
        <w:tc>
          <w:tcPr>
            <w:tcW w:w="3120" w:type="dxa"/>
            <w:vAlign w:val="center"/>
          </w:tcPr>
          <w:p>
            <w:pPr>
              <w:spacing w:after="20" w:line="240" w:lineRule="auto"/>
            </w:pPr>
            <w:r>
              <w:rPr>
                <w:sz w:val="20"/>
                <w:szCs w:val="20"/>
              </w:rPr>
              <w:t xml:space="preserve">Labour supply; fiscal contribution; dynamism</w:t>
            </w:r>
          </w:p>
        </w:tc>
        <w:tc>
          <w:tcPr>
            <w:tcW w:w="3120" w:type="dxa"/>
            <w:vAlign w:val="center"/>
          </w:tcPr>
          <w:p>
            <w:pPr>
              <w:spacing w:after="20" w:line="240" w:lineRule="auto"/>
            </w:pPr>
            <w:r>
              <w:rPr>
                <w:sz w:val="20"/>
                <w:szCs w:val="20"/>
              </w:rPr>
              <w:t xml:space="preserve">Service pressures; wage competition concerns</w:t>
            </w:r>
          </w:p>
        </w:tc>
      </w:tr>
      <w:tr>
        <w:tc>
          <w:tcPr>
            <w:tcW w:w="3120" w:type="dxa"/>
            <w:vAlign w:val="center"/>
          </w:tcPr>
          <w:p>
            <w:pPr>
              <w:spacing w:after="20" w:line="240" w:lineRule="auto"/>
            </w:pPr>
            <w:r>
              <w:rPr>
                <w:sz w:val="20"/>
                <w:szCs w:val="20"/>
              </w:rPr>
              <w:t xml:space="preserve">Migrants</w:t>
            </w:r>
          </w:p>
        </w:tc>
        <w:tc>
          <w:tcPr>
            <w:tcW w:w="3120" w:type="dxa"/>
            <w:vAlign w:val="center"/>
          </w:tcPr>
          <w:p>
            <w:pPr>
              <w:spacing w:after="20" w:line="240" w:lineRule="auto"/>
            </w:pPr>
            <w:r>
              <w:rPr>
                <w:sz w:val="20"/>
                <w:szCs w:val="20"/>
              </w:rPr>
              <w:t xml:space="preserve">Higher earnings; opportunity; agency</w:t>
            </w:r>
          </w:p>
        </w:tc>
        <w:tc>
          <w:tcPr>
            <w:tcW w:w="3120" w:type="dxa"/>
            <w:vAlign w:val="center"/>
          </w:tcPr>
          <w:p>
            <w:pPr>
              <w:spacing w:after="20" w:line="240" w:lineRule="auto"/>
            </w:pPr>
            <w:r>
              <w:rPr>
                <w:sz w:val="20"/>
                <w:szCs w:val="20"/>
              </w:rPr>
              <w:t xml:space="preserve">Exploitation; precarity; exclusion</w:t>
            </w:r>
          </w:p>
        </w:tc>
      </w:tr>
      <w:tr>
        <w:tc>
          <w:tcPr>
            <w:tcW w:w="3120" w:type="dxa"/>
            <w:vAlign w:val="center"/>
          </w:tcPr>
          <w:p>
            <w:pPr>
              <w:spacing w:after="20" w:line="240" w:lineRule="auto"/>
            </w:pPr>
            <w:r>
              <w:rPr>
                <w:sz w:val="20"/>
                <w:szCs w:val="20"/>
              </w:rPr>
              <w:t xml:space="preserve">Regional economies</w:t>
            </w:r>
          </w:p>
        </w:tc>
        <w:tc>
          <w:tcPr>
            <w:tcW w:w="3120" w:type="dxa"/>
            <w:vAlign w:val="center"/>
          </w:tcPr>
          <w:p>
            <w:pPr>
              <w:spacing w:after="20" w:line="240" w:lineRule="auto"/>
            </w:pPr>
            <w:r>
              <w:rPr>
                <w:sz w:val="20"/>
                <w:szCs w:val="20"/>
              </w:rPr>
              <w:t xml:space="preserve">Integration; corridor development</w:t>
            </w:r>
          </w:p>
        </w:tc>
        <w:tc>
          <w:tcPr>
            <w:tcW w:w="3120" w:type="dxa"/>
            <w:vAlign w:val="center"/>
          </w:tcPr>
          <w:p>
            <w:pPr>
              <w:spacing w:after="20" w:line="240" w:lineRule="auto"/>
            </w:pPr>
            <w:r>
              <w:rPr>
                <w:sz w:val="20"/>
                <w:szCs w:val="20"/>
              </w:rPr>
              <w:t xml:space="preserve">Uneven distribution; informality</w:t>
            </w:r>
          </w:p>
        </w:tc>
      </w:tr>
    </w:tbl>
    <w:p>
      <w:pPr>
        <w:spacing w:after="120"/>
      </w:pPr>
    </w:p>
    <w:p>
      <w:pPr>
        <w:pStyle w:val="TableCaption"/>
      </w:pPr>
      <w:r>
        <w:rPr>
          <w:b/>
        </w:rPr>
        <w:t xml:space="preserve">Table 4. Future migration governance scenarios and policy levers.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vAlign w:val="center"/>
          </w:tcPr>
          <w:p>
            <w:pPr>
              <w:jc w:val="center"/>
              <w:spacing w:after="20" w:line="240" w:lineRule="auto"/>
            </w:pPr>
            <w:r>
              <w:rPr>
                <w:b/>
                <w:sz w:val="20"/>
                <w:szCs w:val="20"/>
              </w:rPr>
              <w:t xml:space="preserve">Scenario</w:t>
            </w:r>
          </w:p>
        </w:tc>
        <w:tc>
          <w:tcPr>
            <w:tcW w:w="2340" w:type="dxa"/>
            <w:shd w:val="clear" w:color="auto" w:fill="D9E2F3"/>
            <w:vAlign w:val="center"/>
          </w:tcPr>
          <w:p>
            <w:pPr>
              <w:jc w:val="center"/>
              <w:spacing w:after="20" w:line="240" w:lineRule="auto"/>
            </w:pPr>
            <w:r>
              <w:rPr>
                <w:b/>
                <w:sz w:val="20"/>
                <w:szCs w:val="20"/>
              </w:rPr>
              <w:t xml:space="preserve">Defining features</w:t>
            </w:r>
          </w:p>
        </w:tc>
        <w:tc>
          <w:tcPr>
            <w:tcW w:w="2340" w:type="dxa"/>
            <w:shd w:val="clear" w:color="auto" w:fill="D9E2F3"/>
            <w:vAlign w:val="center"/>
          </w:tcPr>
          <w:p>
            <w:pPr>
              <w:jc w:val="center"/>
              <w:spacing w:after="20" w:line="240" w:lineRule="auto"/>
            </w:pPr>
            <w:r>
              <w:rPr>
                <w:b/>
                <w:sz w:val="20"/>
                <w:szCs w:val="20"/>
              </w:rPr>
              <w:t xml:space="preserve">Key policy levers</w:t>
            </w:r>
          </w:p>
        </w:tc>
        <w:tc>
          <w:tcPr>
            <w:tcW w:w="2340" w:type="dxa"/>
            <w:shd w:val="clear" w:color="auto" w:fill="D9E2F3"/>
            <w:vAlign w:val="center"/>
          </w:tcPr>
          <w:p>
            <w:pPr>
              <w:jc w:val="center"/>
              <w:spacing w:after="20" w:line="240" w:lineRule="auto"/>
            </w:pPr>
            <w:r>
              <w:rPr>
                <w:b/>
                <w:sz w:val="20"/>
                <w:szCs w:val="20"/>
              </w:rPr>
              <w:t xml:space="preserve">Likely outcomes</w:t>
            </w:r>
          </w:p>
        </w:tc>
      </w:tr>
      <w:tr>
        <w:tc>
          <w:tcPr>
            <w:tcW w:w="2340" w:type="dxa"/>
            <w:vAlign w:val="center"/>
          </w:tcPr>
          <w:p>
            <w:pPr>
              <w:spacing w:after="20" w:line="240" w:lineRule="auto"/>
            </w:pPr>
            <w:r>
              <w:rPr>
                <w:sz w:val="20"/>
                <w:szCs w:val="20"/>
              </w:rPr>
              <w:t xml:space="preserve">Fortress region</w:t>
            </w:r>
          </w:p>
        </w:tc>
        <w:tc>
          <w:tcPr>
            <w:tcW w:w="2340" w:type="dxa"/>
            <w:vAlign w:val="center"/>
          </w:tcPr>
          <w:p>
            <w:pPr>
              <w:spacing w:after="20" w:line="240" w:lineRule="auto"/>
            </w:pPr>
            <w:r>
              <w:rPr>
                <w:sz w:val="20"/>
                <w:szCs w:val="20"/>
              </w:rPr>
              <w:t xml:space="preserve">Restrictive, high-control</w:t>
            </w:r>
          </w:p>
        </w:tc>
        <w:tc>
          <w:tcPr>
            <w:tcW w:w="2340" w:type="dxa"/>
            <w:vAlign w:val="center"/>
          </w:tcPr>
          <w:p>
            <w:pPr>
              <w:spacing w:after="20" w:line="240" w:lineRule="auto"/>
            </w:pPr>
            <w:r>
              <w:rPr>
                <w:sz w:val="20"/>
                <w:szCs w:val="20"/>
              </w:rPr>
              <w:t xml:space="preserve">Interception; deterrence</w:t>
            </w:r>
          </w:p>
        </w:tc>
        <w:tc>
          <w:tcPr>
            <w:tcW w:w="2340" w:type="dxa"/>
            <w:vAlign w:val="center"/>
          </w:tcPr>
          <w:p>
            <w:pPr>
              <w:spacing w:after="20" w:line="240" w:lineRule="auto"/>
            </w:pPr>
            <w:r>
              <w:rPr>
                <w:sz w:val="20"/>
                <w:szCs w:val="20"/>
              </w:rPr>
              <w:t xml:space="preserve">Irregular flows; protection deficits</w:t>
            </w:r>
          </w:p>
        </w:tc>
      </w:tr>
      <w:tr>
        <w:tc>
          <w:tcPr>
            <w:tcW w:w="2340" w:type="dxa"/>
            <w:vAlign w:val="center"/>
          </w:tcPr>
          <w:p>
            <w:pPr>
              <w:spacing w:after="20" w:line="240" w:lineRule="auto"/>
            </w:pPr>
            <w:r>
              <w:rPr>
                <w:sz w:val="20"/>
                <w:szCs w:val="20"/>
              </w:rPr>
              <w:t xml:space="preserve">Ad-hoc bilateral</w:t>
            </w:r>
          </w:p>
        </w:tc>
        <w:tc>
          <w:tcPr>
            <w:tcW w:w="2340" w:type="dxa"/>
            <w:vAlign w:val="center"/>
          </w:tcPr>
          <w:p>
            <w:pPr>
              <w:spacing w:after="20" w:line="240" w:lineRule="auto"/>
            </w:pPr>
            <w:r>
              <w:rPr>
                <w:sz w:val="20"/>
                <w:szCs w:val="20"/>
              </w:rPr>
              <w:t xml:space="preserve">Fragmented deal-making</w:t>
            </w:r>
          </w:p>
        </w:tc>
        <w:tc>
          <w:tcPr>
            <w:tcW w:w="2340" w:type="dxa"/>
            <w:vAlign w:val="center"/>
          </w:tcPr>
          <w:p>
            <w:pPr>
              <w:spacing w:after="20" w:line="240" w:lineRule="auto"/>
            </w:pPr>
            <w:r>
              <w:rPr>
                <w:sz w:val="20"/>
                <w:szCs w:val="20"/>
              </w:rPr>
              <w:t xml:space="preserve">Transactional agreements</w:t>
            </w:r>
          </w:p>
        </w:tc>
        <w:tc>
          <w:tcPr>
            <w:tcW w:w="2340" w:type="dxa"/>
            <w:vAlign w:val="center"/>
          </w:tcPr>
          <w:p>
            <w:pPr>
              <w:spacing w:after="20" w:line="240" w:lineRule="auto"/>
            </w:pPr>
            <w:r>
              <w:rPr>
                <w:sz w:val="20"/>
                <w:szCs w:val="20"/>
              </w:rPr>
              <w:t xml:space="preserve">Instability; asymmetry</w:t>
            </w:r>
          </w:p>
        </w:tc>
      </w:tr>
      <w:tr>
        <w:tc>
          <w:tcPr>
            <w:tcW w:w="2340" w:type="dxa"/>
            <w:vAlign w:val="center"/>
          </w:tcPr>
          <w:p>
            <w:pPr>
              <w:spacing w:after="20" w:line="240" w:lineRule="auto"/>
            </w:pPr>
            <w:r>
              <w:rPr>
                <w:sz w:val="20"/>
                <w:szCs w:val="20"/>
              </w:rPr>
              <w:t xml:space="preserve">Fragmented crisis</w:t>
            </w:r>
          </w:p>
        </w:tc>
        <w:tc>
          <w:tcPr>
            <w:tcW w:w="2340" w:type="dxa"/>
            <w:vAlign w:val="center"/>
          </w:tcPr>
          <w:p>
            <w:pPr>
              <w:spacing w:after="20" w:line="240" w:lineRule="auto"/>
            </w:pPr>
            <w:r>
              <w:rPr>
                <w:sz w:val="20"/>
                <w:szCs w:val="20"/>
              </w:rPr>
              <w:t xml:space="preserve">Low cooperation, weak capacity</w:t>
            </w:r>
          </w:p>
        </w:tc>
        <w:tc>
          <w:tcPr>
            <w:tcW w:w="2340" w:type="dxa"/>
            <w:vAlign w:val="center"/>
          </w:tcPr>
          <w:p>
            <w:pPr>
              <w:spacing w:after="20" w:line="240" w:lineRule="auto"/>
            </w:pPr>
            <w:r>
              <w:rPr>
                <w:sz w:val="20"/>
                <w:szCs w:val="20"/>
              </w:rPr>
              <w:t xml:space="preserve">Emergency response only</w:t>
            </w:r>
          </w:p>
        </w:tc>
        <w:tc>
          <w:tcPr>
            <w:tcW w:w="2340" w:type="dxa"/>
            <w:vAlign w:val="center"/>
          </w:tcPr>
          <w:p>
            <w:pPr>
              <w:spacing w:after="20" w:line="240" w:lineRule="auto"/>
            </w:pPr>
            <w:r>
              <w:rPr>
                <w:sz w:val="20"/>
                <w:szCs w:val="20"/>
              </w:rPr>
              <w:t xml:space="preserve">Recurrent crises; displacement</w:t>
            </w:r>
          </w:p>
        </w:tc>
      </w:tr>
      <w:tr>
        <w:tc>
          <w:tcPr>
            <w:tcW w:w="2340" w:type="dxa"/>
            <w:vAlign w:val="center"/>
          </w:tcPr>
          <w:p>
            <w:pPr>
              <w:spacing w:after="20" w:line="240" w:lineRule="auto"/>
            </w:pPr>
            <w:r>
              <w:rPr>
                <w:sz w:val="20"/>
                <w:szCs w:val="20"/>
              </w:rPr>
              <w:t xml:space="preserve">Inclusive mobility</w:t>
            </w:r>
          </w:p>
        </w:tc>
        <w:tc>
          <w:tcPr>
            <w:tcW w:w="2340" w:type="dxa"/>
            <w:vAlign w:val="center"/>
          </w:tcPr>
          <w:p>
            <w:pPr>
              <w:spacing w:after="20" w:line="240" w:lineRule="auto"/>
            </w:pPr>
            <w:r>
              <w:rPr>
                <w:sz w:val="20"/>
                <w:szCs w:val="20"/>
              </w:rPr>
              <w:t xml:space="preserve">Open, cooperative, rights-based</w:t>
            </w:r>
          </w:p>
        </w:tc>
        <w:tc>
          <w:tcPr>
            <w:tcW w:w="2340" w:type="dxa"/>
            <w:vAlign w:val="center"/>
          </w:tcPr>
          <w:p>
            <w:pPr>
              <w:spacing w:after="20" w:line="240" w:lineRule="auto"/>
            </w:pPr>
            <w:r>
              <w:rPr>
                <w:sz w:val="20"/>
                <w:szCs w:val="20"/>
              </w:rPr>
              <w:t xml:space="preserve">Regional coordination; data systems; rights</w:t>
            </w:r>
          </w:p>
        </w:tc>
        <w:tc>
          <w:tcPr>
            <w:tcW w:w="2340" w:type="dxa"/>
            <w:vAlign w:val="center"/>
          </w:tcPr>
          <w:p>
            <w:pPr>
              <w:spacing w:after="20" w:line="240" w:lineRule="auto"/>
            </w:pPr>
            <w:r>
              <w:rPr>
                <w:sz w:val="20"/>
                <w:szCs w:val="20"/>
              </w:rPr>
              <w:t xml:space="preserve">Stability; shared development</w:t>
            </w:r>
          </w:p>
        </w:tc>
      </w:tr>
    </w:tbl>
    <w:p>
      <w:pPr>
        <w:spacing w:after="120"/>
      </w:pPr>
    </w:p>
    <w:p>
      <w:pPr>
        <w:pStyle w:val="Heading1"/>
      </w:pPr>
      <w:r>
        <w:t xml:space="preserve">References</w:t>
      </w:r>
    </w:p>
    <w:p>
      <w:pPr>
        <w:pStyle w:val="References"/>
      </w:pPr>
      <w:r>
        <w:t xml:space="preserve">[1] United Nations, </w:t>
      </w:r>
      <w:r>
        <w:rPr>
          <w:i/>
        </w:rPr>
        <w:t xml:space="preserve">International Migration and Development: Report of the Secretary-General</w:t>
      </w:r>
      <w:r>
        <w:t xml:space="preserve">, United Nations, New York, 2023.</w:t>
      </w:r>
    </w:p>
    <w:p>
      <w:pPr>
        <w:pStyle w:val="References"/>
      </w:pPr>
      <w:r>
        <w:t xml:space="preserve">[2] Amin, S., "Migrations in contemporary Africa: a retrospective view," in </w:t>
      </w:r>
      <w:r>
        <w:rPr>
          <w:i/>
        </w:rPr>
        <w:t xml:space="preserve">The Migration Experience in Africa</w:t>
      </w:r>
      <w:r>
        <w:t xml:space="preserve">, Nordic Africa Institute, Uppsala, 1995, pp. 29-40.</w:t>
      </w:r>
    </w:p>
    <w:p>
      <w:pPr>
        <w:pStyle w:val="References"/>
      </w:pPr>
      <w:r>
        <w:t xml:space="preserve">[3] Chatty, D., </w:t>
      </w:r>
      <w:r>
        <w:rPr>
          <w:i/>
        </w:rPr>
        <w:t xml:space="preserve">Displacement and Dispossession in the Modern Middle East</w:t>
      </w:r>
      <w:r>
        <w:t xml:space="preserve">, Cambridge University Press, Cambridge, 2010.</w:t>
      </w:r>
    </w:p>
    <w:p>
      <w:pPr>
        <w:pStyle w:val="References"/>
      </w:pPr>
      <w:r>
        <w:t xml:space="preserve">[4] Fargues, P., "International migration and the nation state in Arab countries," </w:t>
      </w:r>
      <w:r>
        <w:rPr>
          <w:i/>
        </w:rPr>
        <w:t xml:space="preserve">Middle East Law and Governance</w:t>
      </w:r>
      <w:r>
        <w:t xml:space="preserve">, vol. 5, no. 1-2, pp. 5-35, 2013.</w:t>
      </w:r>
    </w:p>
    <w:p>
      <w:pPr>
        <w:pStyle w:val="References"/>
      </w:pPr>
      <w:r>
        <w:t xml:space="preserve">[5] Adepoju, A., "Migration dynamics, refugees and internally displaced persons in Africa," </w:t>
      </w:r>
      <w:r>
        <w:rPr>
          <w:i/>
        </w:rPr>
        <w:t xml:space="preserve">Journal of African Economies</w:t>
      </w:r>
      <w:r>
        <w:t xml:space="preserve">, vol. 28, suppl. 1, pp. 7-24, 2019.</w:t>
      </w:r>
    </w:p>
    <w:p>
      <w:pPr>
        <w:pStyle w:val="References"/>
      </w:pPr>
      <w:r>
        <w:t xml:space="preserve">[6] Crawley, H. and Skleparis, D., "Refugees, migrants, neither, both: categorical fetishism and the politics of bounding in Europe's migration crisis," </w:t>
      </w:r>
      <w:r>
        <w:rPr>
          <w:i/>
        </w:rPr>
        <w:t xml:space="preserve">Journal of Ethnic and Migration Studies</w:t>
      </w:r>
      <w:r>
        <w:t xml:space="preserve">, vol. 44, no. 1, pp. 48-64, 2018.</w:t>
      </w:r>
    </w:p>
    <w:p>
      <w:pPr>
        <w:pStyle w:val="References"/>
      </w:pPr>
      <w:r>
        <w:t xml:space="preserve">[7] Sanchez, G., "Mixed migration and smuggling economies along the Central Mediterranean route," </w:t>
      </w:r>
      <w:r>
        <w:rPr>
          <w:i/>
        </w:rPr>
        <w:t xml:space="preserve">International Migration</w:t>
      </w:r>
      <w:r>
        <w:t xml:space="preserve">, vol. 58, no. 2, pp. 3-19, 2020.</w:t>
      </w:r>
    </w:p>
    <w:p>
      <w:pPr>
        <w:pStyle w:val="References"/>
      </w:pPr>
      <w:r>
        <w:t xml:space="preserve">[8] Betts, A., "The global governance of migration and the role of trans-regionalism," in </w:t>
      </w:r>
      <w:r>
        <w:rPr>
          <w:i/>
        </w:rPr>
        <w:t xml:space="preserve">Multilayered Migration Governance</w:t>
      </w:r>
      <w:r>
        <w:t xml:space="preserve">, Routledge, London, 2011, pp. 23-45.</w:t>
      </w:r>
    </w:p>
    <w:p>
      <w:pPr>
        <w:pStyle w:val="References"/>
      </w:pPr>
      <w:r>
        <w:t xml:space="preserve">[9] Thiollet, H., "Migration and the politics of the Gulf: governance, labour and rights," </w:t>
      </w:r>
      <w:r>
        <w:rPr>
          <w:i/>
        </w:rPr>
        <w:t xml:space="preserve">International Migration Review</w:t>
      </w:r>
      <w:r>
        <w:t xml:space="preserve">, vol. 53, no. 4, pp. 1029-1054, 2019.</w:t>
      </w:r>
    </w:p>
    <w:p>
      <w:pPr>
        <w:pStyle w:val="References"/>
      </w:pPr>
      <w:r>
        <w:t xml:space="preserve">[10] Cassarino, J.-P., "Readmission policy and cooperation on migration management in the Mediterranean," </w:t>
      </w:r>
      <w:r>
        <w:rPr>
          <w:i/>
        </w:rPr>
        <w:t xml:space="preserve">Mediterranean Politics</w:t>
      </w:r>
      <w:r>
        <w:t xml:space="preserve">, vol. 23, no. 1, pp. 130-149, 2018.</w:t>
      </w:r>
    </w:p>
    <w:p>
      <w:pPr>
        <w:pStyle w:val="References"/>
      </w:pPr>
      <w:r>
        <w:t xml:space="preserve">[11] Janmyr, M., "No country of asylum: legal ambiguity and refugee protection in the Middle East," </w:t>
      </w:r>
      <w:r>
        <w:rPr>
          <w:i/>
        </w:rPr>
        <w:t xml:space="preserve">International Journal of Refugee Law</w:t>
      </w:r>
      <w:r>
        <w:t xml:space="preserve">, vol. 29, no. 3, pp. 438-465, 2017.</w:t>
      </w:r>
    </w:p>
    <w:p>
      <w:pPr>
        <w:pStyle w:val="References"/>
      </w:pPr>
      <w:r>
        <w:t xml:space="preserve">[12] Wood, T., "The African Union and the governance of forced displacement," </w:t>
      </w:r>
      <w:r>
        <w:rPr>
          <w:i/>
        </w:rPr>
        <w:t xml:space="preserve">African Affairs</w:t>
      </w:r>
      <w:r>
        <w:t xml:space="preserve">, vol. 118, no. 471, pp. 236-259, 2019.</w:t>
      </w:r>
    </w:p>
    <w:p>
      <w:pPr>
        <w:pStyle w:val="References"/>
      </w:pPr>
      <w:r>
        <w:t xml:space="preserve">[13] Geiger, M. and Pecoud, A., </w:t>
      </w:r>
      <w:r>
        <w:rPr>
          <w:i/>
        </w:rPr>
        <w:t xml:space="preserve">The Politics of International Migration Management</w:t>
      </w:r>
      <w:r>
        <w:t xml:space="preserve">, Palgrave Macmillan, Basingstoke, 2010.</w:t>
      </w:r>
    </w:p>
    <w:p>
      <w:pPr>
        <w:pStyle w:val="References"/>
      </w:pPr>
      <w:r>
        <w:t xml:space="preserve">[14] Grugel, J. and Piper, N., "Global governance, economic migration and the difficulties of social activism," </w:t>
      </w:r>
      <w:r>
        <w:rPr>
          <w:i/>
        </w:rPr>
        <w:t xml:space="preserve">International Sociology</w:t>
      </w:r>
      <w:r>
        <w:t xml:space="preserve">, vol. 26, no. 4, pp. 435-454, 2011.</w:t>
      </w:r>
    </w:p>
    <w:p>
      <w:pPr>
        <w:pStyle w:val="References"/>
      </w:pPr>
      <w:r>
        <w:t xml:space="preserve">[15] Natter, K., "Rethinking immigration policy theory beyond Western liberal democracies," </w:t>
      </w:r>
      <w:r>
        <w:rPr>
          <w:i/>
        </w:rPr>
        <w:t xml:space="preserve">Comparative Migration Studies</w:t>
      </w:r>
      <w:r>
        <w:t xml:space="preserve">, vol. 6, no. 4, pp. 1-21, 2018.</w:t>
      </w:r>
    </w:p>
    <w:p>
      <w:pPr>
        <w:pStyle w:val="References"/>
      </w:pPr>
      <w:r>
        <w:t xml:space="preserve">[16] De Haas, H., "The determinants of international migration: policies, origins and destinations," </w:t>
      </w:r>
      <w:r>
        <w:rPr>
          <w:i/>
        </w:rPr>
        <w:t xml:space="preserve">IMI Working Paper Series</w:t>
      </w:r>
      <w:r>
        <w:t xml:space="preserve">, no. 32, International Migration Institute, Oxford, 2011.</w:t>
      </w:r>
    </w:p>
    <w:p>
      <w:pPr>
        <w:pStyle w:val="References"/>
      </w:pPr>
      <w:r>
        <w:t xml:space="preserve">[17] Andersson, R., </w:t>
      </w:r>
      <w:r>
        <w:rPr>
          <w:i/>
        </w:rPr>
        <w:t xml:space="preserve">Illegality, Inc.: Clandestine Migration and the Business of Bordering Europe</w:t>
      </w:r>
      <w:r>
        <w:t xml:space="preserve">, University of California Press, Berkeley, 2014.</w:t>
      </w:r>
    </w:p>
    <w:p>
      <w:pPr>
        <w:pStyle w:val="References"/>
      </w:pPr>
      <w:r>
        <w:t xml:space="preserve">[18] Chatelard, G., "Migration, displacement and the reshaping of Middle Eastern societies," </w:t>
      </w:r>
      <w:r>
        <w:rPr>
          <w:i/>
        </w:rPr>
        <w:t xml:space="preserve">Mediterranean Politics</w:t>
      </w:r>
      <w:r>
        <w:t xml:space="preserve">, vol. 22, no. 2, pp. 189-208, 2017.</w:t>
      </w:r>
    </w:p>
    <w:p>
      <w:pPr>
        <w:pStyle w:val="References"/>
      </w:pPr>
      <w:r>
        <w:t xml:space="preserve">[19] Longva, A. N., "Citizenship in the Gulf states: conceptualization and practice," in </w:t>
      </w:r>
      <w:r>
        <w:rPr>
          <w:i/>
        </w:rPr>
        <w:t xml:space="preserve">Citizenship and the State in the Middle East</w:t>
      </w:r>
      <w:r>
        <w:t xml:space="preserve">, Syracuse University Press, Syracuse, 2000, pp. 179-197.</w:t>
      </w:r>
    </w:p>
    <w:p>
      <w:pPr>
        <w:pStyle w:val="References"/>
      </w:pPr>
      <w:r>
        <w:t xml:space="preserve">[20] Sadiq, K., </w:t>
      </w:r>
      <w:r>
        <w:rPr>
          <w:i/>
        </w:rPr>
        <w:t xml:space="preserve">Paper Citizens: How Illegal Immigrants Acquire Citizenship in Developing Countries</w:t>
      </w:r>
      <w:r>
        <w:t xml:space="preserve">, Oxford University Press, Oxford, 2009.</w:t>
      </w:r>
    </w:p>
    <w:p>
      <w:pPr>
        <w:pStyle w:val="References"/>
      </w:pPr>
      <w:r>
        <w:t xml:space="preserve">[21] Levitt, P. and Glick Schiller, N., "Conceptualizing simultaneity: a transnational social field perspective on society," </w:t>
      </w:r>
      <w:r>
        <w:rPr>
          <w:i/>
        </w:rPr>
        <w:t xml:space="preserve">International Migration Review</w:t>
      </w:r>
      <w:r>
        <w:t xml:space="preserve">, vol. 38, no. 3, pp. 1002-1039, 2004.</w:t>
      </w:r>
    </w:p>
    <w:p>
      <w:pPr>
        <w:pStyle w:val="References"/>
      </w:pPr>
      <w:r>
        <w:t xml:space="preserve">[22] Landau, L. B. and Freemantle, I., "Tactical cosmopolitanism and idioms of belonging," </w:t>
      </w:r>
      <w:r>
        <w:rPr>
          <w:i/>
        </w:rPr>
        <w:t xml:space="preserve">Journal of Ethnic and Migration Studies</w:t>
      </w:r>
      <w:r>
        <w:t xml:space="preserve">, vol. 36, no. 3, pp. 375-390, 2010.</w:t>
      </w:r>
    </w:p>
    <w:p>
      <w:pPr>
        <w:pStyle w:val="References"/>
      </w:pPr>
      <w:r>
        <w:t xml:space="preserve">[23] UNHCR, </w:t>
      </w:r>
      <w:r>
        <w:rPr>
          <w:i/>
        </w:rPr>
        <w:t xml:space="preserve">Global Trends: Forced Displacement</w:t>
      </w:r>
      <w:r>
        <w:t xml:space="preserve">, United Nations High Commissioner for Refugees, Geneva, 2024.</w:t>
      </w:r>
    </w:p>
    <w:p>
      <w:pPr>
        <w:pStyle w:val="References"/>
      </w:pPr>
      <w:r>
        <w:t xml:space="preserve">[24] Milner, J. and Loescher, G., "Responding to protracted refugee situations," </w:t>
      </w:r>
      <w:r>
        <w:rPr>
          <w:i/>
        </w:rPr>
        <w:t xml:space="preserve">Refugee Studies Centre Policy Briefing</w:t>
      </w:r>
      <w:r>
        <w:t xml:space="preserve">, no. 6, University of Oxford, Oxford, 2011.</w:t>
      </w:r>
    </w:p>
    <w:p>
      <w:pPr>
        <w:pStyle w:val="References"/>
      </w:pPr>
      <w:r>
        <w:t xml:space="preserve">[25] Zetter, R. and Ruaudel, H., "Refugees' right to work and access to labour markets," </w:t>
      </w:r>
      <w:r>
        <w:rPr>
          <w:i/>
        </w:rPr>
        <w:t xml:space="preserve">KNOMAD Study</w:t>
      </w:r>
      <w:r>
        <w:t xml:space="preserve">, World Bank, Washington, DC, 2016.</w:t>
      </w:r>
    </w:p>
    <w:p>
      <w:pPr>
        <w:pStyle w:val="References"/>
      </w:pPr>
      <w:r>
        <w:t xml:space="preserve">[26] Betts, A., Bloom, L., Kaplan, J. and Omata, N., </w:t>
      </w:r>
      <w:r>
        <w:rPr>
          <w:i/>
        </w:rPr>
        <w:t xml:space="preserve">Refugee Economies: Forced Displacement and Development</w:t>
      </w:r>
      <w:r>
        <w:t xml:space="preserve">, Oxford University Press, Oxford, 2017.</w:t>
      </w:r>
    </w:p>
    <w:p>
      <w:pPr>
        <w:pStyle w:val="References"/>
      </w:pPr>
      <w:r>
        <w:t xml:space="preserve">[27] Lischer, S. K., </w:t>
      </w:r>
      <w:r>
        <w:rPr>
          <w:i/>
        </w:rPr>
        <w:t xml:space="preserve">Dangerous Sanctuaries: Refugee Camps, Civil War, and the Dilemmas of Humanitarian Aid</w:t>
      </w:r>
      <w:r>
        <w:t xml:space="preserve">, Cornell University Press, Ithaca, 2005.</w:t>
      </w:r>
    </w:p>
    <w:p>
      <w:pPr>
        <w:pStyle w:val="References"/>
      </w:pPr>
      <w:r>
        <w:t xml:space="preserve">[28] Adamson, F. B., "Crossing borders: international migration and national security," </w:t>
      </w:r>
      <w:r>
        <w:rPr>
          <w:i/>
        </w:rPr>
        <w:t xml:space="preserve">International Security</w:t>
      </w:r>
      <w:r>
        <w:t xml:space="preserve">, vol. 31, no. 1, pp. 165-199, 2006.</w:t>
      </w:r>
    </w:p>
    <w:p>
      <w:pPr>
        <w:pStyle w:val="References"/>
      </w:pPr>
      <w:r>
        <w:t xml:space="preserve">[29] Tsourapas, G., "Migration diplomacy in the Global South: cooperation, coercion and issue linkage," </w:t>
      </w:r>
      <w:r>
        <w:rPr>
          <w:i/>
        </w:rPr>
        <w:t xml:space="preserve">Third World Quarterly</w:t>
      </w:r>
      <w:r>
        <w:t xml:space="preserve">, vol. 40, no. 12, pp. 2367-2385, 2019.</w:t>
      </w:r>
    </w:p>
    <w:p>
      <w:pPr>
        <w:pStyle w:val="References"/>
      </w:pPr>
      <w:r>
        <w:t xml:space="preserve">[30] Herbst, J., </w:t>
      </w:r>
      <w:r>
        <w:rPr>
          <w:i/>
        </w:rPr>
        <w:t xml:space="preserve">States and Power in Africa: Comparative Lessons in Authority and Control</w:t>
      </w:r>
      <w:r>
        <w:t xml:space="preserve">, Princeton University Press, Princeton, 2000.</w:t>
      </w:r>
    </w:p>
    <w:p>
      <w:pPr>
        <w:pStyle w:val="References"/>
      </w:pPr>
      <w:r>
        <w:t xml:space="preserve">[31] Greenhill, K. M., </w:t>
      </w:r>
      <w:r>
        <w:rPr>
          <w:i/>
        </w:rPr>
        <w:t xml:space="preserve">Weapons of Mass Migration: Forced Displacement, Coercion, and Foreign Policy</w:t>
      </w:r>
      <w:r>
        <w:t xml:space="preserve">, Cornell University Press, Ithaca, 2010.</w:t>
      </w:r>
    </w:p>
    <w:p>
      <w:pPr>
        <w:pStyle w:val="References"/>
      </w:pPr>
      <w:r>
        <w:t xml:space="preserve">[32] Norman, K. P. and Micinski, N. R., "Migration governance and the securitization of mobility in the Middle East," </w:t>
      </w:r>
      <w:r>
        <w:rPr>
          <w:i/>
        </w:rPr>
        <w:t xml:space="preserve">Geopolitics</w:t>
      </w:r>
      <w:r>
        <w:t xml:space="preserve">, vol. 28, no. 3, pp. 1123-1145, 2023.</w:t>
      </w:r>
    </w:p>
    <w:p>
      <w:pPr>
        <w:pStyle w:val="References"/>
      </w:pPr>
      <w:r>
        <w:t xml:space="preserve">[33] Massey, D. S. et al., "Theories of international migration: a review and appraisal," </w:t>
      </w:r>
      <w:r>
        <w:rPr>
          <w:i/>
        </w:rPr>
        <w:t xml:space="preserve">Population and Development Review</w:t>
      </w:r>
      <w:r>
        <w:t xml:space="preserve">, vol. 19, no. 3, pp. 431-466, 1993.</w:t>
      </w:r>
    </w:p>
    <w:p>
      <w:pPr>
        <w:pStyle w:val="References"/>
      </w:pPr>
      <w:r>
        <w:t xml:space="preserve">[34] Kapiszewski, A., "Arab versus Asian migrant workers in the GCC countries," in </w:t>
      </w:r>
      <w:r>
        <w:rPr>
          <w:i/>
        </w:rPr>
        <w:t xml:space="preserve">Migration and the Gulf</w:t>
      </w:r>
      <w:r>
        <w:t xml:space="preserve">, Middle East Institute, Washington, DC, 2006, pp. 66-74.</w:t>
      </w:r>
    </w:p>
    <w:p>
      <w:pPr>
        <w:pStyle w:val="References"/>
      </w:pPr>
      <w:r>
        <w:t xml:space="preserve">[35] Ratha, D. and Shaw, W., "South-South migration and remittances," </w:t>
      </w:r>
      <w:r>
        <w:rPr>
          <w:i/>
        </w:rPr>
        <w:t xml:space="preserve">World Bank Working Paper</w:t>
      </w:r>
      <w:r>
        <w:t xml:space="preserve">, no. 102, World Bank, Washington, DC, 2007.</w:t>
      </w:r>
    </w:p>
    <w:p>
      <w:pPr>
        <w:pStyle w:val="References"/>
      </w:pPr>
      <w:r>
        <w:t xml:space="preserve">[36] World Bank, </w:t>
      </w:r>
      <w:r>
        <w:rPr>
          <w:i/>
        </w:rPr>
        <w:t xml:space="preserve">Migration and Development Brief</w:t>
      </w:r>
      <w:r>
        <w:t xml:space="preserve">, KNOMAD/World Bank, Washington, DC, 2024.</w:t>
      </w:r>
    </w:p>
    <w:p>
      <w:pPr>
        <w:pStyle w:val="References"/>
      </w:pPr>
      <w:r>
        <w:t xml:space="preserve">[37] Chami, R., Fullenkamp, C. and Jahjah, S., "Are immigrant remittance flows a source of capital for development?," </w:t>
      </w:r>
      <w:r>
        <w:rPr>
          <w:i/>
        </w:rPr>
        <w:t xml:space="preserve">IMF Staff Papers</w:t>
      </w:r>
      <w:r>
        <w:t xml:space="preserve">, vol. 52, no. 1, pp. 55-81, 2005.</w:t>
      </w:r>
    </w:p>
    <w:p>
      <w:pPr>
        <w:pStyle w:val="References"/>
      </w:pPr>
      <w:r>
        <w:t xml:space="preserve">[38] Docquier, F. and Rapoport, H., "Globalization, brain drain, and development," </w:t>
      </w:r>
      <w:r>
        <w:rPr>
          <w:i/>
        </w:rPr>
        <w:t xml:space="preserve">Journal of Economic Literature</w:t>
      </w:r>
      <w:r>
        <w:t xml:space="preserve">, vol. 50, no. 3, pp. 681-730, 2012.</w:t>
      </w:r>
    </w:p>
    <w:p>
      <w:pPr>
        <w:pStyle w:val="References"/>
      </w:pPr>
      <w:r>
        <w:t xml:space="preserve">[39] Piore, M. J., </w:t>
      </w:r>
      <w:r>
        <w:rPr>
          <w:i/>
        </w:rPr>
        <w:t xml:space="preserve">Birds of Passage: Migrant Labor and Industrial Societies</w:t>
      </w:r>
      <w:r>
        <w:t xml:space="preserve">, Cambridge University Press, Cambridge, 1979.</w:t>
      </w:r>
    </w:p>
    <w:p>
      <w:pPr>
        <w:pStyle w:val="References"/>
      </w:pPr>
      <w:r>
        <w:t xml:space="preserve">[40] Gardner, A., "Why do they keep coming? Labor migrants in the Gulf states," in </w:t>
      </w:r>
      <w:r>
        <w:rPr>
          <w:i/>
        </w:rPr>
        <w:t xml:space="preserve">Migrant Labor in the Persian Gulf</w:t>
      </w:r>
      <w:r>
        <w:t xml:space="preserve">, Georgetown University, Doha, 2011, pp. 41-58.</w:t>
      </w:r>
    </w:p>
    <w:p>
      <w:pPr>
        <w:pStyle w:val="References"/>
      </w:pPr>
      <w:r>
        <w:t xml:space="preserve">[41] Fernandez, B., "Cheap and disposable? The impact of the global economic crisis on the migration of Ethiopian women domestic workers," </w:t>
      </w:r>
      <w:r>
        <w:rPr>
          <w:i/>
        </w:rPr>
        <w:t xml:space="preserve">Gender and Development</w:t>
      </w:r>
      <w:r>
        <w:t xml:space="preserve">, vol. 18, no. 2, pp. 249-262, 2010.</w:t>
      </w:r>
    </w:p>
    <w:p>
      <w:pPr>
        <w:pStyle w:val="References"/>
      </w:pPr>
      <w:r>
        <w:t xml:space="preserve">[42] Black, R. et al., "The effect of environmental change on human migration," </w:t>
      </w:r>
      <w:r>
        <w:rPr>
          <w:i/>
        </w:rPr>
        <w:t xml:space="preserve">Global Environmental Change</w:t>
      </w:r>
      <w:r>
        <w:t xml:space="preserve">, vol. 21, suppl. 1, pp. S3-S11, 2011.</w:t>
      </w:r>
    </w:p>
    <w:p>
      <w:pPr>
        <w:pStyle w:val="References"/>
      </w:pPr>
      <w:r>
        <w:t xml:space="preserve">[43] Newland, K. and Tanaka, H., "Mobilizing diaspora entrepreneurship for development," </w:t>
      </w:r>
      <w:r>
        <w:rPr>
          <w:i/>
        </w:rPr>
        <w:t xml:space="preserve">Migration Policy Institute Report</w:t>
      </w:r>
      <w:r>
        <w:t xml:space="preserve">, Washington, DC, 2010.</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28"/>
      <w:szCs w:val="28"/>
    </w:rPr>
  </w:style>
  <w:style w:type="paragraph" w:styleId="Heading2">
    <w:name w:val="heading 2"/>
    <w:basedOn w:val="Normal"/>
    <w:pPr>
      <w:spacing w:before="240" w:after="120"/>
      <w:jc w:val="left"/>
      <w:keepNext/>
    </w:pPr>
    <w:rPr>
      <w:b/>
      <w:sz w:val="26"/>
      <w:szCs w:val="26"/>
    </w:rPr>
  </w:style>
  <w:style w:type="paragraph" w:styleId="Heading3">
    <w:name w:val="heading 3"/>
    <w:basedOn w:val="Normal"/>
    <w:pPr>
      <w:spacing w:before="200" w:after="100"/>
      <w:jc w:val="left"/>
      <w:keepNext/>
    </w:pPr>
    <w:rPr>
      <w:b/>
      <w:i/>
      <w:sz w:val="24"/>
      <w:szCs w:val="24"/>
    </w:rPr>
  </w:style>
  <w:style w:type="paragraph" w:styleId="Abstract">
    <w:name w:val="Abstract"/>
    <w:basedOn w:val="Normal"/>
    <w:pPr>
      <w:ind w:left="480" w:right="480"/>
    </w:pPr>
    <w:rPr>
      <w:i/>
    </w:rPr>
  </w:style>
  <w:style w:type="paragraph" w:styleId="References">
    <w:name w:val="References"/>
    <w:basedOn w:val="Normal"/>
    <w:pPr>
      <w:ind w:left="480" w:hanging="480"/>
      <w:spacing w:after="60"/>
      <w:jc w:val="left"/>
    </w:pPr>
    <w:rPr>
      <w:sz w:val="22"/>
      <w:szCs w:val="22"/>
    </w:rPr>
  </w:style>
  <w:style w:type="paragraph" w:styleId="FigureImage">
    <w:name w:val="Figure Image"/>
    <w:basedOn w:val="Normal"/>
    <w:pPr>
      <w:jc w:val="center"/>
      <w:spacing w:before="180" w:after="60"/>
      <w:keepNext/>
    </w:pPr>
  </w:style>
  <w:style w:type="paragraph" w:styleId="FigureCaption">
    <w:name w:val="Figure Caption"/>
    <w:basedOn w:val="Normal"/>
    <w:pPr>
      <w:jc w:val="center"/>
      <w:spacing w:before="0" w:after="240"/>
    </w:pPr>
    <w:rPr>
      <w:i/>
      <w:sz w:val="20"/>
      <w:szCs w:val="20"/>
    </w:rPr>
  </w:style>
  <w:style w:type="paragraph" w:styleId="TableCaption">
    <w:name w:val="Table Caption"/>
    <w:basedOn w:val="Normal"/>
    <w:pPr>
      <w:spacing w:before="200" w:after="60"/>
      <w:jc w:val="left"/>
      <w:keepNext/>
    </w:pPr>
    <w:rPr>
      <w:b/>
      <w:sz w:val="22"/>
      <w:szCs w:val="22"/>
    </w:rPr>
  </w:style>
  <w:style w:type="paragraph" w:styleId="Keywords">
    <w:name w:val="Keywords"/>
    <w:basedOn w:val="Normal"/>
    <w:pPr>
      <w:ind w:left="480" w:right="480"/>
      <w:spacing w:after="240"/>
    </w:pPr>
    <w:rPr>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image" Target="media/Figure_1.png"/><Relationship Id="rId11" Type="http://schemas.openxmlformats.org/officeDocument/2006/relationships/image" Target="media/Figure_2.png"/><Relationship Id="rId12" Type="http://schemas.openxmlformats.org/officeDocument/2006/relationships/image" Target="media/Figure_3.png"/><Relationship Id="rId13" Type="http://schemas.openxmlformats.org/officeDocument/2006/relationships/image" Target="media/Figure_4.png"/></Relationships>
</file>

<file path=docProps/core.xml><?xml version="1.0" encoding="utf-8"?>
<cp:coreProperties xmlns:cp="http://schemas.openxmlformats.org/package/2006/metadata/core-properties" xmlns:dc="http://purl.org/dc/elements/1.1/" xmlns:dcterms="http://purl.org/dc/terms/" xmlns:xsi="http://www.w3.org/2001/XMLSchema-instance">
  <dc:title>Migration, Governance, and Regional Politics in the Middle East and Africa</dc:title>
  <dc:creator>Book Chapter</dc:creator>
</cp:coreProperties>
</file>