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9: Engineering Principles of Modern Drug Delivery</w:t>
      </w:r>
    </w:p>
    <w:p>
      <w:pPr>
        <w:pStyle w:val="Heading1"/>
      </w:pPr>
      <w:r>
        <w:t xml:space="preserve">Abstract</w:t>
      </w:r>
    </w:p>
    <w:p>
      <w:pPr>
        <w:pStyle w:val="Normal"/>
      </w:pPr>
      <w:r>
        <w:t xml:space="preserve">Drug delivery has evolved from the simple administration of a therapeutic agent into a sophisticated engineering discipline concerned with governing precisely where, when, and how much of a drug reaches its intended site of action. The therapeutic value of even the most potent molecule is ultimately determined not by its intrinsic pharmacology alone but by the delivery system that carries it through the formidable barriers of the human body. Modern drug delivery engineering therefore sits at the intersection of pharmaceutics, materials science, chemical engineering, transport phenomena, and quantitative modelling, drawing on each to convert a promising compound into a safe, effective, and manufacturable medicine.</w:t>
      </w:r>
    </w:p>
    <w:p>
      <w:pPr>
        <w:pStyle w:val="Normal"/>
      </w:pPr>
      <w:r>
        <w:t xml:space="preserve">This chapter develops the engineering principles that underpin contemporary drug delivery across three connected themes. First, it establishes the fundamentals of drug delivery engineering: the physicochemical properties of drugs and carriers, the biological barriers that delivery must overcome, the routes of administration, and the pharmacokinetic framework that links dose to concentration to effect. Second, it examines controlled, sustained, and targeted delivery, surveying the mechanisms—diffusion, dissolution, swelling, erosion, osmosis, and stimuli-responsiveness—by which release is regulated, together with the carrier architectures and targeting strategies that concentrate drug at disease sites while sparing healthy tissue. Third, it addresses the mathematical modelling of drug release and transport, presenting the diffusion equations, empirical and mechanistic release models, and pharmacokinetic descriptions that allow engineers to predict, design, and optimise delivery systems rationally rather than by trial and error.</w:t>
      </w:r>
    </w:p>
    <w:p>
      <w:pPr>
        <w:pStyle w:val="Normal"/>
      </w:pPr>
      <w:r>
        <w:t xml:space="preserve">Throughout, the emphasis is on the quantitative reasoning that distinguishes engineering from empiricism. The chapter connects molecular and material properties to macroscopic performance, shows how governing equations are derived and applied, and illustrates how models inform the design of real dosage forms. It also confronts the practical realities of manufacturing, scale-up, regulatory expectation, and biological variability that constrain what is achievable. The intent is to equip students, formulation scientists, and engineers with an integrated, mechanistic understanding of how modern delivery systems are conceived, analysed, and built, and to convey both the remarkable capabilities and the enduring challenges of this rapidly advancing field.</w:t>
      </w:r>
    </w:p>
    <w:p>
      <w:pPr>
        <w:pStyle w:val="Heading1"/>
      </w:pPr>
      <w:r>
        <w:t xml:space="preserve">9.1 Fundamentals of Drug Delivery Engineering</w:t>
      </w:r>
    </w:p>
    <w:p>
      <w:pPr>
        <w:pStyle w:val="Heading2"/>
      </w:pPr>
      <w:r>
        <w:t xml:space="preserve">9.1.1 The Delivery Problem and Its Engineering Framing</w:t>
      </w:r>
    </w:p>
    <w:p>
      <w:pPr>
        <w:pStyle w:val="Normal"/>
      </w:pPr>
      <w:r>
        <w:t xml:space="preserve">A drug molecule exerts its effect only when it reaches its molecular target at an adequate concentration for an adequate duration, without accumulating to toxic levels elsewhere. The gap between administering a dose and achieving this condition is the central problem that drug delivery engineering exists to solve [1]. Between the point of administration and the target lie a series of physical, chemical, and biological obstacles: dissolution in physiological fluids, permeation across epithelial and endothelial membranes, distribution through the circulation, metabolism, and clearance. Each obstacle attenuates the fraction of the administered dose that ultimately becomes available to act, and each introduces variability that undermines therapeutic reliability [2].</w:t>
      </w:r>
    </w:p>
    <w:p>
      <w:pPr>
        <w:pStyle w:val="Normal"/>
      </w:pPr>
      <w:r>
        <w:t xml:space="preserve">Framing this problem in engineering terms means treating the body as a system of compartments connected by transport processes with definable rates, and treating the dosage form as a device engineered to deliver an input to that system with a desired temporal and spatial profile [3]. The engineer's task is to design the carrier, the formulation, and the administration strategy so that the resulting concentration–time profile at the target falls within the therapeutic window—above the minimum effective concentration and below the minimum toxic concentration—for as long as therapy requires [4]. This reframing converts an intuitive pharmaceutical goal into a quantitative design problem amenable to the tools of transport phenomena, reaction kinetics, and control theory. Table 9.1 summarises the principal biological barriers to delivery and the engineering strategies commonly used to overcome each.</w:t>
      </w:r>
    </w:p>
    <w:p>
      <w:pPr>
        <w:pStyle w:val="Normal"/>
      </w:pPr>
      <w:r>
        <w:t xml:space="preserve">It is worth dwelling on why this systems view is so productive. When the body is regarded as a collection of compartments linked by transport processes, the effect of any delivery system can be expressed as an input function—a rate at which drug is presented to the system over time—combined with the system's own dynamics. The delivery engineer, in this picture, is designing the input function. A conventional tablet delivers a sharp bolus; a sustained-release device delivers a broadened, lowered input; an osmotic pump delivers a nearly rectangular input held constant for hours. Because the downstream pharmacokinetics are, to a first approximation, linear and time-invariant, the shape of the input propagates predictably to the shape of the concentration response, which means that specifying a desired therapeutic profile can be worked backward into a specification for the release rate the dosage form must provide [3]. This inversion—from clinical goal to engineering requirement—is the intellectual core of rational delivery design, and it is precisely what separates a designed medicine from one arrived at by iterative guesswork.</w:t>
      </w:r>
    </w:p>
    <w:p>
      <w:pPr>
        <w:pStyle w:val="Normal"/>
      </w:pPr>
      <w:r>
        <w:t xml:space="preserve">The variability that biological systems introduce complicates this ideal but does not overturn it. Patients differ in gastric emptying, transit time, enzyme expression, blood flow, and body composition, so the same dosage form produces a distribution of responses rather than a single curve [2]. Good delivery engineering therefore aims not merely to hit a target profile in the average patient but to compress the spread of outcomes across the population, since a system whose performance is robust to physiological variation is inherently safer and more reliable than one that is optimal on average but erratic in practice [4]. Reducing variability is often as valuable as raising the mean exposure, a point that immediate-release formulations, with their pronounced peaks and troughs, illustrate by their shortcomings.</w:t>
      </w:r>
    </w:p>
    <w:p>
      <w:pPr>
        <w:pStyle w:val="TableCaption"/>
      </w:pPr>
      <w:r>
        <w:t xml:space="preserve">Table 9.1: Principal biological barriers to drug delivery and engineering strategies to overcome them</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Barrier</w:t>
            </w:r>
          </w:p>
        </w:tc>
        <w:tc>
          <w:tcPr>
            <w:shd w:val="clear" w:color="auto" w:fill="D9E2F3"/>
          </w:tcPr>
          <w:p>
            <w:pPr>
              <w:jc w:val="center"/>
            </w:pPr>
            <w:r>
              <w:rPr>
                <w:b/>
              </w:rPr>
              <w:t xml:space="preserve">Location / Nature</w:t>
            </w:r>
          </w:p>
        </w:tc>
        <w:tc>
          <w:tcPr>
            <w:shd w:val="clear" w:color="auto" w:fill="D9E2F3"/>
          </w:tcPr>
          <w:p>
            <w:pPr>
              <w:jc w:val="center"/>
            </w:pPr>
            <w:r>
              <w:rPr>
                <w:b/>
              </w:rPr>
              <w:t xml:space="preserve">Effect on Delivery</w:t>
            </w:r>
          </w:p>
        </w:tc>
        <w:tc>
          <w:tcPr>
            <w:shd w:val="clear" w:color="auto" w:fill="D9E2F3"/>
          </w:tcPr>
          <w:p>
            <w:pPr>
              <w:jc w:val="center"/>
            </w:pPr>
            <w:r>
              <w:rPr>
                <w:b/>
              </w:rPr>
              <w:t xml:space="preserve">Engineering Strategy</w:t>
            </w:r>
          </w:p>
        </w:tc>
      </w:tr>
      <w:tr>
        <w:tc>
          <w:p>
            <w:pPr>
              <w:spacing w:after="40"/>
            </w:pPr>
            <w:r>
              <w:t xml:space="preserve">Gastric acidity &amp; enzymes</w:t>
            </w:r>
          </w:p>
        </w:tc>
        <w:tc>
          <w:p>
            <w:pPr>
              <w:spacing w:after="40"/>
            </w:pPr>
            <w:r>
              <w:t xml:space="preserve">Stomach</w:t>
            </w:r>
          </w:p>
        </w:tc>
        <w:tc>
          <w:p>
            <w:pPr>
              <w:spacing w:after="40"/>
            </w:pPr>
            <w:r>
              <w:t xml:space="preserve">Degrades labile drugs</w:t>
            </w:r>
          </w:p>
        </w:tc>
        <w:tc>
          <w:p>
            <w:pPr>
              <w:spacing w:after="40"/>
            </w:pPr>
            <w:r>
              <w:t xml:space="preserve">Enteric coatings, encapsulation</w:t>
            </w:r>
          </w:p>
        </w:tc>
      </w:tr>
      <w:tr>
        <w:tc>
          <w:p>
            <w:pPr>
              <w:spacing w:after="40"/>
            </w:pPr>
            <w:r>
              <w:t xml:space="preserve">Intestinal epithelium</w:t>
            </w:r>
          </w:p>
        </w:tc>
        <w:tc>
          <w:p>
            <w:pPr>
              <w:spacing w:after="40"/>
            </w:pPr>
            <w:r>
              <w:t xml:space="preserve">Gut wall</w:t>
            </w:r>
          </w:p>
        </w:tc>
        <w:tc>
          <w:p>
            <w:pPr>
              <w:spacing w:after="40"/>
            </w:pPr>
            <w:r>
              <w:t xml:space="preserve">Limits permeation</w:t>
            </w:r>
          </w:p>
        </w:tc>
        <w:tc>
          <w:p>
            <w:pPr>
              <w:spacing w:after="40"/>
            </w:pPr>
            <w:r>
              <w:t xml:space="preserve">Permeation enhancers, prodrugs</w:t>
            </w:r>
          </w:p>
        </w:tc>
      </w:tr>
      <w:tr>
        <w:tc>
          <w:p>
            <w:pPr>
              <w:spacing w:after="40"/>
            </w:pPr>
            <w:r>
              <w:t xml:space="preserve">Hepatic first-pass</w:t>
            </w:r>
          </w:p>
        </w:tc>
        <w:tc>
          <w:p>
            <w:pPr>
              <w:spacing w:after="40"/>
            </w:pPr>
            <w:r>
              <w:t xml:space="preserve">Liver</w:t>
            </w:r>
          </w:p>
        </w:tc>
        <w:tc>
          <w:p>
            <w:pPr>
              <w:spacing w:after="40"/>
            </w:pPr>
            <w:r>
              <w:t xml:space="preserve">Reduces oral bioavailability</w:t>
            </w:r>
          </w:p>
        </w:tc>
        <w:tc>
          <w:p>
            <w:pPr>
              <w:spacing w:after="40"/>
            </w:pPr>
            <w:r>
              <w:t xml:space="preserve">Parenteral or transdermal routes</w:t>
            </w:r>
          </w:p>
        </w:tc>
      </w:tr>
      <w:tr>
        <w:tc>
          <w:p>
            <w:pPr>
              <w:spacing w:after="40"/>
            </w:pPr>
            <w:r>
              <w:t xml:space="preserve">Stratum corneum</w:t>
            </w:r>
          </w:p>
        </w:tc>
        <w:tc>
          <w:p>
            <w:pPr>
              <w:spacing w:after="40"/>
            </w:pPr>
            <w:r>
              <w:t xml:space="preserve">Skin surface</w:t>
            </w:r>
          </w:p>
        </w:tc>
        <w:tc>
          <w:p>
            <w:pPr>
              <w:spacing w:after="40"/>
            </w:pPr>
            <w:r>
              <w:t xml:space="preserve">Blocks transdermal transport</w:t>
            </w:r>
          </w:p>
        </w:tc>
        <w:tc>
          <w:p>
            <w:pPr>
              <w:spacing w:after="40"/>
            </w:pPr>
            <w:r>
              <w:t xml:space="preserve">Microneedles, chemical enhancers</w:t>
            </w:r>
          </w:p>
        </w:tc>
      </w:tr>
      <w:tr>
        <w:tc>
          <w:p>
            <w:pPr>
              <w:spacing w:after="40"/>
            </w:pPr>
            <w:r>
              <w:t xml:space="preserve">Blood-brain barrier</w:t>
            </w:r>
          </w:p>
        </w:tc>
        <w:tc>
          <w:p>
            <w:pPr>
              <w:spacing w:after="40"/>
            </w:pPr>
            <w:r>
              <w:t xml:space="preserve">CNS capillaries</w:t>
            </w:r>
          </w:p>
        </w:tc>
        <w:tc>
          <w:p>
            <w:pPr>
              <w:spacing w:after="40"/>
            </w:pPr>
            <w:r>
              <w:t xml:space="preserve">Excludes most drugs</w:t>
            </w:r>
          </w:p>
        </w:tc>
        <w:tc>
          <w:p>
            <w:pPr>
              <w:spacing w:after="40"/>
            </w:pPr>
            <w:r>
              <w:t xml:space="preserve">Receptor-mediated carriers</w:t>
            </w:r>
          </w:p>
        </w:tc>
      </w:tr>
      <w:tr>
        <w:tc>
          <w:p>
            <w:pPr>
              <w:spacing w:after="40"/>
            </w:pPr>
            <w:r>
              <w:t xml:space="preserve">Endosomal entrapment</w:t>
            </w:r>
          </w:p>
        </w:tc>
        <w:tc>
          <w:p>
            <w:pPr>
              <w:spacing w:after="40"/>
            </w:pPr>
            <w:r>
              <w:t xml:space="preserve">Intracellular</w:t>
            </w:r>
          </w:p>
        </w:tc>
        <w:tc>
          <w:p>
            <w:pPr>
              <w:spacing w:after="40"/>
            </w:pPr>
            <w:r>
              <w:t xml:space="preserve">Prevents cytosolic access</w:t>
            </w:r>
          </w:p>
        </w:tc>
        <w:tc>
          <w:p>
            <w:pPr>
              <w:spacing w:after="40"/>
            </w:pPr>
            <w:r>
              <w:t xml:space="preserve">Endosomal-escape lipids/polymers</w:t>
            </w:r>
          </w:p>
        </w:tc>
      </w:tr>
    </w:tbl>
    <w:p>
      <w:pPr>
        <w:pStyle w:val="Normal"/>
      </w:pPr>
    </w:p>
    <w:p>
      <w:pPr>
        <w:pStyle w:val="Heading2"/>
      </w:pPr>
      <w:r>
        <w:t xml:space="preserve">9.1.2 Physicochemical Determinants of Delivery</w:t>
      </w:r>
    </w:p>
    <w:p>
      <w:pPr>
        <w:pStyle w:val="Normal"/>
      </w:pPr>
      <w:r>
        <w:t xml:space="preserve">The behaviour of a delivery system is dictated in large part by the physicochemical properties of the drug and its carrier. Aqueous solubility governs how readily a drug dissolves in physiological fluids and is a frequent limiting factor, since a molecule that will not dissolve cannot be absorbed [5]. Lipophilicity, commonly quantified by the octanol–water partition coefficient, determines a compound's tendency to partition into lipid membranes and thereby influences permeability, distribution, and non-specific binding [6]. Molecular size, hydrogen-bonding capacity, ionisation state, and stability all further shape the delivery challenge, and the interplay among them explains why many potent compounds fail to become viable medicines [7].</w:t>
      </w:r>
    </w:p>
    <w:p>
      <w:pPr>
        <w:pStyle w:val="Normal"/>
      </w:pPr>
      <w:r>
        <w:t xml:space="preserve">These relationships are captured heuristically by frameworks such as the rule-of-five for oral absorption and, more mechanistically, by the Biopharmaceutics Classification System, which stratifies drugs according to solubility and permeability and thereby predicts the dominant barrier to oral bioavailability [8]. A poorly soluble but highly permeable compound demands formulation strategies that enhance dissolution—particle size reduction, amorphous solid dispersions, salt formation, or solubilising carriers—whereas a soluble but poorly permeable compound requires permeation enhancement or an alternative route [9]. Understanding which physicochemical property limits a given drug is therefore the essential first step in rational delivery design, because it dictates which engineering levers will actually improve performance [10].</w:t>
      </w:r>
    </w:p>
    <w:p>
      <w:pPr>
        <w:pStyle w:val="Normal"/>
      </w:pPr>
      <w:r>
        <w:t xml:space="preserve">The interplay between solubility and permeability deserves particular emphasis because the two properties often stand in tension. Chemical modifications that raise lipophilicity to improve membrane permeation tend to depress aqueous solubility, and vice versa, so that optimising one property frequently degrades the other [7]. This trade-off is one reason that so large a fraction of modern drug candidates fall into the difficult categories of the Biopharmaceutics Classification System, being either poorly soluble, poorly permeable, or both, and it is precisely these difficult candidates for which delivery engineering adds the most value [8]. For a poorly soluble compound, the rate-limiting step is often the dissolution process itself, and the engineer's task becomes one of maximising the effective surface area and the driving force for dissolution—by reducing particle size to the nanoscale, by trapping the drug in a high-energy amorphous state, or by presenting it in a solubilised form—while guarding against the physical instability that such high-energy states invite [9].</w:t>
      </w:r>
    </w:p>
    <w:p>
      <w:pPr>
        <w:pStyle w:val="Normal"/>
      </w:pPr>
      <w:r>
        <w:t xml:space="preserve">Ionisation adds a further layer of complexity that the pH-dependence of the gastrointestinal tract makes unavoidable. A weakly acidic or basic drug exists in different ratios of charged and uncharged forms at different pH values, and since only the uncharged form partitions readily into lipid membranes while the charged form dissolves more readily in water, the same molecule can present entirely different delivery behaviour in the stomach and the intestine [5]. Salt formation exploits this behaviour deliberately, pairing the drug with a counter-ion to improve dissolution, and the choice of salt can materially alter bioavailability. These considerations illustrate a general principle: the physicochemical properties of a drug are not fixed constraints to be accepted but parameters that formulation can, within limits, engineer to advantage, and a sophisticated understanding of the underlying physical chemistry is what makes such engineering possible [6].</w:t>
      </w:r>
    </w:p>
    <w:p>
      <w:pPr>
        <w:pStyle w:val="Heading2"/>
      </w:pPr>
      <w:r>
        <w:t xml:space="preserve">9.1.3 Biological Barriers and Routes of Administration</w:t>
      </w:r>
    </w:p>
    <w:p>
      <w:pPr>
        <w:pStyle w:val="Normal"/>
      </w:pPr>
      <w:r>
        <w:t xml:space="preserve">The route of administration profoundly shapes both the barriers encountered and the achievable delivery profile. The oral route, favoured for its convenience and patient acceptance, exposes the drug to the acidic stomach, digestive enzymes, the intestinal epithelium, and hepatic first-pass metabolism, any of which can drastically reduce bioavailability [11]. The parenteral routes—intravenous, intramuscular, and subcutaneous—bypass gastrointestinal and first-pass barriers and offer precise dose control, but require injection and impose constraints on formulation tonicity, sterility, and volume [12]. Transdermal delivery must overcome the formidable barrier of the stratum corneum; pulmonary delivery exploits the vast, thin absorptive surface of the alveoli; and mucosal routes such as nasal, buccal, and ocular delivery each present their own combination of accessibility and biological defence [13].</w:t>
      </w:r>
    </w:p>
    <w:p>
      <w:pPr>
        <w:pStyle w:val="Normal"/>
      </w:pPr>
      <w:r>
        <w:t xml:space="preserve">Beyond these organ-level barriers lie cellular and subcellular ones. Reaching an intracellular target requires crossing the plasma membrane and often escaping the endosome, while delivery to the central nervous system confronts the highly selective blood–brain barrier that excludes the great majority of therapeutics, as summarised among the barriers in Table 9.1 [14]. Each barrier is simultaneously an obstacle and an opportunity: the same selectivity that impedes delivery can, if understood mechanistically, be exploited to achieve targeting. The engineering of modern delivery systems is in large measure the art of designing carriers whose properties are matched to the specific sequence of barriers imposed by the chosen route and target [15].</w:t>
      </w:r>
    </w:p>
    <w:p>
      <w:pPr>
        <w:pStyle w:val="Normal"/>
      </w:pPr>
      <w:r>
        <w:t xml:space="preserve">The rise of biologic therapeutics has sharpened these challenges considerably. Peptides, proteins, antibodies, and nucleic acids are large, fragile, and often charged molecules that are degraded by the gastrointestinal environment, cannot cross epithelial barriers unaided, and are cleared or destroyed rapidly if administered without protection [11]. For such molecules the oral route is largely closed, and delivery has historically relied on injection, with all the burden that frequent injection imposes on patients [15]. Much of the most active research in delivery engineering is therefore directed at protecting these delicate payloads and shepherding them across barriers that small molecules negotiate more easily, whether by encapsulation in carriers that shield them from enzymes, by transient disruption of epithelial tight junctions, or by exploiting natural transport pathways. The lipid nanoparticle carriers that made messenger RNA vaccines possible are the most conspicuous recent example of this effort, demonstrating that a delivery breakthrough can unlock an entire therapeutic modality that would otherwise remain unusable [12].</w:t>
      </w:r>
    </w:p>
    <w:p>
      <w:pPr>
        <w:pStyle w:val="Normal"/>
      </w:pPr>
      <w:r>
        <w:t xml:space="preserve">The choice of route is thus never made in isolation from the molecule and its target; it is a coupled decision in which the drug's properties, the barriers of each candidate route, the required dose and duration, and the practicalities of administration are weighed together. A highly potent, unstable biologic destined for a systemic target may demand a long-acting subcutaneous depot; a locally acting drug may be best delivered directly to its site of action to minimise systemic exposure; and a chronic oral therapy may prioritise convenience and adherence above all. Recognising route selection as an integral part of delivery design, rather than a fixed premise, widens the space of engineering solutions available to the formulator [13].</w:t>
      </w:r>
    </w:p>
    <w:p>
      <w:pPr>
        <w:pStyle w:val="Heading2"/>
      </w:pPr>
      <w:r>
        <w:t xml:space="preserve">9.1.4 The Pharmacokinetic Framework</w:t>
      </w:r>
    </w:p>
    <w:p>
      <w:pPr>
        <w:pStyle w:val="Normal"/>
      </w:pPr>
      <w:r>
        <w:t xml:space="preserve">To design delivery quantitatively, engineers rely on pharmacokinetics, the study of how the body absorbs, distributes, metabolises, and eliminates a drug. The simplest useful description represents the body as one or two well-mixed compartments, with the drug entering by a defined absorption process and leaving by first-order elimination [16]. From this framework arise the fundamental parameters that govern dosing: the volume of distribution, which relates the amount of drug in the body to its plasma concentration; clearance, which quantifies the volume of plasma cleared of drug per unit time; and the elimination half-life, which sets the timescale over which the drug persists [17]. Figure 9.1 depicts the classical compartmental representation and the characteristic concentration–time profiles it produces for different input modes.</w:t>
      </w:r>
    </w:p>
    <w:p>
      <w:pPr>
        <w:pStyle w:val="FigureImage"/>
      </w:pPr>
      <w:r>
        <w:drawing>
          <wp:inline xmlns:wp="http://schemas.openxmlformats.org/drawingml/2006/wordprocessingDrawing" distT="0" distB="0" distL="0" distR="0">
            <wp:extent cx="5486400" cy="3305907"/>
            <wp:effectExtent l="0" t="0" r="0" b="0"/>
            <wp:docPr id="1001" name="Figure_9_1_Compartmental_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9_1_Compartmental_PK.png"/>
                    <pic:cNvPicPr/>
                  </pic:nvPicPr>
                  <pic:blipFill>
                    <a:blip xmlns:r="http://schemas.openxmlformats.org/officeDocument/2006/relationships" r:embed="rIdImg1"/>
                    <a:stretch>
                      <a:fillRect/>
                    </a:stretch>
                  </pic:blipFill>
                  <pic:spPr>
                    <a:xfrm>
                      <a:off x="0" y="0"/>
                      <a:ext cx="5486400" cy="3305907"/>
                    </a:xfrm>
                    <a:prstGeom prst="rect">
                      <a:avLst/>
                    </a:prstGeom>
                  </pic:spPr>
                </pic:pic>
              </a:graphicData>
            </a:graphic>
          </wp:inline>
        </w:drawing>
      </w:r>
    </w:p>
    <w:p>
      <w:pPr>
        <w:pStyle w:val="FigureCaption"/>
      </w:pPr>
      <w:r>
        <w:t xml:space="preserve">Figure 9.1: Compartmental pharmacokinetic representation of the body and the characteristic concentration-time profiles produced by immediate-release, sustained-release, and constant (zero-order) input, relative to the therapeutic window.</w:t>
      </w:r>
    </w:p>
    <w:p>
      <w:pPr>
        <w:pStyle w:val="Normal"/>
      </w:pPr>
      <w:r>
        <w:t xml:space="preserve">Bioavailability—the fraction of an administered dose that reaches the systemic circulation intact—ties formulation performance directly to these parameters, since a delivery system that improves dissolution or protects a labile drug raises bioavailability and thereby the achieved exposure [18]. For repeated dosing, the interplay of dose, interval, and half-life determines the steady-state concentration and its fluctuation, which the delivery engineer manipulates through release rate to keep concentrations within the therapeutic window [19]. This pharmacokinetic framework provides the language in which delivery objectives are expressed and against which delivery-system performance is ultimately judged, connecting the physical design of a dosage form to its clinical effect. Figure 9.1 makes explicit how a sustained input flattens the peaks and troughs that a conventional immediate-release dose would produce.</w:t>
      </w:r>
    </w:p>
    <w:p>
      <w:pPr>
        <w:pStyle w:val="Heading2"/>
      </w:pPr>
      <w:r>
        <w:t xml:space="preserve">9.1.5 Materials for Drug Delivery</w:t>
      </w:r>
    </w:p>
    <w:p>
      <w:pPr>
        <w:pStyle w:val="Normal"/>
      </w:pPr>
      <w:r>
        <w:t xml:space="preserve">The carrier materials from which delivery systems are built determine their capacity, release behaviour, stability, and biocompatibility. Polymers are the workhorses of the field, valued for the breadth of properties accessible through choice of monomer, molecular weight, and architecture [20]. Biodegradable polyesters such as poly(lactic-co-glycolic acid) hydrolyse into naturally occurring metabolites and are widely used for injectable depots and microparticles, while hydrophilic polymers form the swelling matrices and hydrogels central to many oral and implantable systems [21]. Lipids furnish the building blocks of liposomes and lipid nanoparticles, whose bilayer or core structures encapsulate hydrophilic and hydrophobic payloads and whose surfaces can be engineered for stability and targeting [22].</w:t>
      </w:r>
    </w:p>
    <w:p>
      <w:pPr>
        <w:pStyle w:val="Normal"/>
      </w:pPr>
      <w:r>
        <w:t xml:space="preserve">The selection of a material is never a matter of a single property but of a constellation of requirements that must be satisfied simultaneously: biocompatibility and safe degradation, mechanical and chemical stability, compatibility with the drug, manufacturability, and regulatory acceptability [23]. Increasingly, the field draws on advanced and responsive materials—stimuli-sensitive polymers, inorganic nanostructures, and biologically derived carriers—that expand the design space toward ever more precise control [24]. Yet the introduction of novel materials also raises new questions of toxicity, immunogenicity, and long-term fate that the engineer must weigh against the delivery advantages they confer, a tension that recurs throughout the discipline [25].</w:t>
      </w:r>
    </w:p>
    <w:p>
      <w:pPr>
        <w:pStyle w:val="Normal"/>
      </w:pPr>
      <w:r>
        <w:t xml:space="preserve">The degradation behaviour of a carrier merits especially careful design because it determines both the release profile and the ultimate fate of the material in the body. A biodegradable polyester, for instance, hydrolyses over time into acidic monomers, and the rate of this hydrolysis—governed by the polymer's composition, molecular weight, and crystallinity—sets the timescale over which an implant or microsphere releases its payload and then disappears [21]. This coupling of degradation to release is powerful, because it allows a single material property to be tuned to program both functions at once, but it is also treacherous, since the accumulating acidic degradation products can lower the local pH and destabilise a sensitive drug, and the degradation rate observed in a laboratory buffer may differ from that in living tissue [20]. The engineer must therefore understand degradation not as an incidental end-of-life property but as a central design variable that shapes performance throughout the product's functional life.</w:t>
      </w:r>
    </w:p>
    <w:p>
      <w:pPr>
        <w:pStyle w:val="Normal"/>
      </w:pPr>
      <w:r>
        <w:t xml:space="preserve">Hydrogels occupy a special place in this landscape because their high water content, soft mechanical properties, and tunable mesh size make them exceptionally versatile and biocompatible [24]. The size of the pores within a swollen hydrogel network relative to the size of the drug molecule determines whether release is rapid and diffusion-limited or slow and hindered, and this mesh size can be adjusted through the degree of crosslinking, giving the designer direct control over release rate through a single, physically meaningful parameter. Responsive hydrogels that change their swelling in reaction to pH, temperature, or specific molecules extend this control still further, and their behaviour connects directly to the stimuli-responsive systems examined later in this chapter. The breadth of the material palette now available—from classical polyesters and celluloses through lipids to advanced responsive networks and inorganic nanostructures—means that material selection is itself a rich engineering discipline, in which the properties of the carrier are chosen and often chemically tailored to serve the specific delivery objective [23].</w:t>
      </w:r>
    </w:p>
    <w:p>
      <w:pPr>
        <w:pStyle w:val="Heading1"/>
      </w:pPr>
      <w:r>
        <w:t xml:space="preserve">9.2 Controlled, Sustained, and Targeted Drug Delivery</w:t>
      </w:r>
    </w:p>
    <w:p>
      <w:pPr>
        <w:pStyle w:val="Heading2"/>
      </w:pPr>
      <w:r>
        <w:t xml:space="preserve">9.2.1 Rationale and Terminology</w:t>
      </w:r>
    </w:p>
    <w:p>
      <w:pPr>
        <w:pStyle w:val="Normal"/>
      </w:pPr>
      <w:r>
        <w:t xml:space="preserve">Conventional immediate-release dosage forms release their entire payload rapidly, producing a sharp rise in concentration followed by decline as the drug is eliminated. Repeated dosing therefore generates a sawtooth concentration profile whose peaks may approach toxicity and whose troughs may fall below efficacy, while demanding frequent administration that burdens patients and undermines adherence [26]. Controlled and sustained delivery systems were developed to overcome these limitations by regulating the rate at which drug becomes available, flattening the concentration profile and extending the duration of action [27].</w:t>
      </w:r>
    </w:p>
    <w:p>
      <w:pPr>
        <w:pStyle w:val="Normal"/>
      </w:pPr>
      <w:r>
        <w:t xml:space="preserve">Precise terminology matters here. Sustained release prolongs drug availability to reduce dosing frequency; controlled release additionally aims to hold the release rate constant, ideally achieving zero-order kinetics that maintain a steady concentration; and targeted delivery seeks to direct the drug preferentially to a specific tissue, cell, or compartment [28]. These goals are distinct but frequently combined, and the engineering challenge is to select or design a mechanism whose release profile matches the therapeutic requirement while remaining robust, safe, and manufacturable [29]. The remainder of this section surveys the principal mechanisms and architectures by which these objectives are achieved.</w:t>
      </w:r>
    </w:p>
    <w:p>
      <w:pPr>
        <w:pStyle w:val="Normal"/>
      </w:pPr>
      <w:r>
        <w:t xml:space="preserve">The therapeutic motivation for controlled release extends well beyond mere convenience. For a drug with a narrow therapeutic window—one for which the toxic and effective concentrations lie close together—the smoothing of the concentration profile that controlled release provides can be the difference between a usable medicine and an unusable one, because it keeps exposure within the safe band that an oscillating immediate-release profile would repeatedly breach [26]. For a drug with a short half-life, sustained release can maintain therapeutic concentrations through the night or across a full day without the multiple daily doses that patients so often miss, and improved adherence translates directly into improved outcomes [27]. And for a locally acting therapy, controlled release from a device implanted at the disease site can sustain a high local concentration while keeping systemic exposure—and therefore systemic toxicity—low. Each of these benefits follows from the same underlying capability: the ability to specify, through engineering, the rate at which drug becomes available rather than accepting the rate that the drug's own dissolution happens to dictate [28].</w:t>
      </w:r>
    </w:p>
    <w:p>
      <w:pPr>
        <w:pStyle w:val="Normal"/>
      </w:pPr>
      <w:r>
        <w:t xml:space="preserve">Against these benefits the designer must weigh real risks and constraints. A controlled-release device concentrates a larger total dose in a single unit, so any failure of the release-controlling mechanism—a cracked coating, a dissolved matrix, an interaction with food or alcohol—can release that entire dose at once, a hazard known as dose dumping that has caused serious harm and that robust design must guard against [29]. Controlled-release products are also generally more complex and costly to manufacture, more sensitive to process variation, and more demanding to characterise and regulate than their immediate-release counterparts. The decision to pursue controlled release, and the choice among the many mechanisms available, is therefore a genuine engineering trade-off in which therapeutic benefit, safety, manufacturability, and cost must all be balanced.</w:t>
      </w:r>
    </w:p>
    <w:p>
      <w:pPr>
        <w:pStyle w:val="Heading2"/>
      </w:pPr>
      <w:r>
        <w:t xml:space="preserve">9.2.2 Mechanisms of Controlled Release</w:t>
      </w:r>
    </w:p>
    <w:p>
      <w:pPr>
        <w:pStyle w:val="Normal"/>
      </w:pPr>
      <w:r>
        <w:t xml:space="preserve">Several distinct physical mechanisms can be harnessed to control drug release, and most real systems combine more than one. In diffusion-controlled systems, the drug migrates through a polymer membrane or matrix under a concentration gradient; the release rate is governed by the drug's diffusivity and the geometry of the device, and can be held nearly constant in reservoir designs that maintain a steady gradient [30]. In dissolution-controlled systems, release is limited by the rate at which a coating or the drug itself dissolves, allowing timing to be tuned through the choice and thickness of slowly dissolving materials [31].</w:t>
      </w:r>
    </w:p>
    <w:p>
      <w:pPr>
        <w:pStyle w:val="Normal"/>
      </w:pPr>
      <w:r>
        <w:t xml:space="preserve">Swelling-controlled systems use hydrophilic polymers that imbibe water and swell, so that release depends on the coupled processes of water uptake, polymer relaxation, and drug diffusion through the hydrated gel [32]. Erosion-controlled systems rely on the gradual degradation of the carrier—by surface erosion, which proceeds from the exterior inward, or by bulk erosion throughout the matrix—to liberate drug as the material disappears [33]. Osmotically driven systems exploit a pressure difference across a semipermeable membrane to pump drug solution out through a precisely sized orifice at a rate that can be remarkably constant and independent of the surrounding environment, making them a benchmark for true zero-order delivery [34].</w:t>
      </w:r>
    </w:p>
    <w:p>
      <w:pPr>
        <w:pStyle w:val="Normal"/>
      </w:pPr>
      <w:r>
        <w:t xml:space="preserve">The distinction between reservoir and matrix diffusion designs illustrates how geometry alone can transform a release profile. In a reservoir system, a drug core is surrounded by a rate-controlling membrane, and as long as the core remains saturated the concentration gradient across the membrane stays constant, yielding a steady, near-zero-order release that persists until the core is depleted [30]. In a matrix system, by contrast, the drug is dispersed uniformly throughout the carrier, and as release proceeds the drug at the surface departs first, so that the remaining drug must diffuse ever-greater distances; the lengthening diffusion path causes the release rate to decline over time, producing the characteristic square-root-of-time profile rather than a constant one [31]. Neither design is inherently superior; the reservoir offers constant release but concentrates the dose behind a single membrane whose failure is catastrophic, while the matrix is simpler and safer to manufacture but delivers a declining rate, a contrast reflected in the differing kinetics tabulated in Table 9.2. The choice between them is a concrete example of how a mechanistic understanding of transport translates directly into a design decision with clinical consequences.</w:t>
      </w:r>
    </w:p>
    <w:p>
      <w:pPr>
        <w:pStyle w:val="Normal"/>
      </w:pPr>
      <w:r>
        <w:t xml:space="preserve">Erosion introduces a further subtlety through the contrast between surface and bulk erosion. A polymer that erodes only at its surface, like a bar of soap dissolving, retains its interior intact and can deliver drug at a rate proportional to its surface area, approaching zero-order for appropriate geometries and protecting drug in the interior until its turn comes [33]. A polymer that erodes throughout its bulk, by contrast, degrades everywhere at once as water penetrates the whole matrix, which can produce complex release kinetics and, in the case of biodegradable polyesters, an accumulation of acidic degradation products within the device [29]. Whether a given polymer erodes at its surface or in its bulk depends on the competition between the rate of water penetration and the rate of chemical degradation, and understanding this competition allows the engineer to select or design materials whose erosion behaviour matches the desired release profile. Table 9.2 compares these mechanisms in terms of their governing physics, characteristic release kinetics, and typical applications, and Figure 9.2 illustrates the archetypal device geometries and their corresponding release profiles.</w:t>
      </w:r>
    </w:p>
    <w:p>
      <w:pPr>
        <w:pStyle w:val="TableCaption"/>
      </w:pPr>
      <w:r>
        <w:t xml:space="preserve">Table 9.2: Comparison of controlled-release mechanisms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Mechanism</w:t>
            </w:r>
          </w:p>
        </w:tc>
        <w:tc>
          <w:tcPr>
            <w:shd w:val="clear" w:color="auto" w:fill="D9E2F3"/>
          </w:tcPr>
          <w:p>
            <w:pPr>
              <w:jc w:val="center"/>
            </w:pPr>
            <w:r>
              <w:rPr>
                <w:b/>
              </w:rPr>
              <w:t xml:space="preserve">Governing Physics</w:t>
            </w:r>
          </w:p>
        </w:tc>
        <w:tc>
          <w:tcPr>
            <w:shd w:val="clear" w:color="auto" w:fill="D9E2F3"/>
          </w:tcPr>
          <w:p>
            <w:pPr>
              <w:jc w:val="center"/>
            </w:pPr>
            <w:r>
              <w:rPr>
                <w:b/>
              </w:rPr>
              <w:t xml:space="preserve">Typical Release Kinetics</w:t>
            </w:r>
          </w:p>
        </w:tc>
        <w:tc>
          <w:tcPr>
            <w:shd w:val="clear" w:color="auto" w:fill="D9E2F3"/>
          </w:tcPr>
          <w:p>
            <w:pPr>
              <w:jc w:val="center"/>
            </w:pPr>
            <w:r>
              <w:rPr>
                <w:b/>
              </w:rPr>
              <w:t xml:space="preserve">Representative Application</w:t>
            </w:r>
          </w:p>
        </w:tc>
      </w:tr>
      <w:tr>
        <w:tc>
          <w:p>
            <w:pPr>
              <w:spacing w:after="40"/>
            </w:pPr>
            <w:r>
              <w:t xml:space="preserve">Diffusion (reservoir)</w:t>
            </w:r>
          </w:p>
        </w:tc>
        <w:tc>
          <w:p>
            <w:pPr>
              <w:spacing w:after="40"/>
            </w:pPr>
            <w:r>
              <w:t xml:space="preserve">Fickian diffusion through membrane</w:t>
            </w:r>
          </w:p>
        </w:tc>
        <w:tc>
          <w:p>
            <w:pPr>
              <w:spacing w:after="40"/>
            </w:pPr>
            <w:r>
              <w:t xml:space="preserve">Near zero-order</w:t>
            </w:r>
          </w:p>
        </w:tc>
        <w:tc>
          <w:p>
            <w:pPr>
              <w:spacing w:after="40"/>
            </w:pPr>
            <w:r>
              <w:t xml:space="preserve">Transdermal patches, implants</w:t>
            </w:r>
          </w:p>
        </w:tc>
      </w:tr>
      <w:tr>
        <w:tc>
          <w:p>
            <w:pPr>
              <w:spacing w:after="40"/>
            </w:pPr>
            <w:r>
              <w:t xml:space="preserve">Diffusion (matrix)</w:t>
            </w:r>
          </w:p>
        </w:tc>
        <w:tc>
          <w:p>
            <w:pPr>
              <w:spacing w:after="40"/>
            </w:pPr>
            <w:r>
              <w:t xml:space="preserve">Diffusion from dispersed matrix</w:t>
            </w:r>
          </w:p>
        </w:tc>
        <w:tc>
          <w:p>
            <w:pPr>
              <w:spacing w:after="40"/>
            </w:pPr>
            <w:r>
              <w:t xml:space="preserve">Square-root of time (Higuchi)</w:t>
            </w:r>
          </w:p>
        </w:tc>
        <w:tc>
          <w:p>
            <w:pPr>
              <w:spacing w:after="40"/>
            </w:pPr>
            <w:r>
              <w:t xml:space="preserve">Matrix tablets</w:t>
            </w:r>
          </w:p>
        </w:tc>
      </w:tr>
      <w:tr>
        <w:tc>
          <w:p>
            <w:pPr>
              <w:spacing w:after="40"/>
            </w:pPr>
            <w:r>
              <w:t xml:space="preserve">Dissolution</w:t>
            </w:r>
          </w:p>
        </w:tc>
        <w:tc>
          <w:p>
            <w:pPr>
              <w:spacing w:after="40"/>
            </w:pPr>
            <w:r>
              <w:t xml:space="preserve">Rate-limiting coating dissolution</w:t>
            </w:r>
          </w:p>
        </w:tc>
        <w:tc>
          <w:p>
            <w:pPr>
              <w:spacing w:after="40"/>
            </w:pPr>
            <w:r>
              <w:t xml:space="preserve">Tunable delay / first-order</w:t>
            </w:r>
          </w:p>
        </w:tc>
        <w:tc>
          <w:p>
            <w:pPr>
              <w:spacing w:after="40"/>
            </w:pPr>
            <w:r>
              <w:t xml:space="preserve">Enteric &amp; sustained coatings</w:t>
            </w:r>
          </w:p>
        </w:tc>
      </w:tr>
      <w:tr>
        <w:tc>
          <w:p>
            <w:pPr>
              <w:spacing w:after="40"/>
            </w:pPr>
            <w:r>
              <w:t xml:space="preserve">Swelling</w:t>
            </w:r>
          </w:p>
        </w:tc>
        <w:tc>
          <w:p>
            <w:pPr>
              <w:spacing w:after="40"/>
            </w:pPr>
            <w:r>
              <w:t xml:space="preserve">Water uptake + polymer relaxation</w:t>
            </w:r>
          </w:p>
        </w:tc>
        <w:tc>
          <w:p>
            <w:pPr>
              <w:spacing w:after="40"/>
            </w:pPr>
            <w:r>
              <w:t xml:space="preserve">Anomalous (Case II) transport</w:t>
            </w:r>
          </w:p>
        </w:tc>
        <w:tc>
          <w:p>
            <w:pPr>
              <w:spacing w:after="40"/>
            </w:pPr>
            <w:r>
              <w:t xml:space="preserve">Hydrophilic matrix systems</w:t>
            </w:r>
          </w:p>
        </w:tc>
      </w:tr>
      <w:tr>
        <w:tc>
          <w:p>
            <w:pPr>
              <w:spacing w:after="40"/>
            </w:pPr>
            <w:r>
              <w:t xml:space="preserve">Erosion</w:t>
            </w:r>
          </w:p>
        </w:tc>
        <w:tc>
          <w:p>
            <w:pPr>
              <w:spacing w:after="40"/>
            </w:pPr>
            <w:r>
              <w:t xml:space="preserve">Surface or bulk degradation</w:t>
            </w:r>
          </w:p>
        </w:tc>
        <w:tc>
          <w:p>
            <w:pPr>
              <w:spacing w:after="40"/>
            </w:pPr>
            <w:r>
              <w:t xml:space="preserve">Near zero-order (surface)</w:t>
            </w:r>
          </w:p>
        </w:tc>
        <w:tc>
          <w:p>
            <w:pPr>
              <w:spacing w:after="40"/>
            </w:pPr>
            <w:r>
              <w:t xml:space="preserve">PLGA depots, microspheres</w:t>
            </w:r>
          </w:p>
        </w:tc>
      </w:tr>
      <w:tr>
        <w:tc>
          <w:p>
            <w:pPr>
              <w:spacing w:after="40"/>
            </w:pPr>
            <w:r>
              <w:t xml:space="preserve">Osmotic</w:t>
            </w:r>
          </w:p>
        </w:tc>
        <w:tc>
          <w:p>
            <w:pPr>
              <w:spacing w:after="40"/>
            </w:pPr>
            <w:r>
              <w:t xml:space="preserve">Osmotic pumping across membrane</w:t>
            </w:r>
          </w:p>
        </w:tc>
        <w:tc>
          <w:p>
            <w:pPr>
              <w:spacing w:after="40"/>
            </w:pPr>
            <w:r>
              <w:t xml:space="preserve">Zero-order</w:t>
            </w:r>
          </w:p>
        </w:tc>
        <w:tc>
          <w:p>
            <w:pPr>
              <w:spacing w:after="40"/>
            </w:pPr>
            <w:r>
              <w:t xml:space="preserve">Oral osmotic pump tablets</w:t>
            </w:r>
          </w:p>
        </w:tc>
      </w:tr>
    </w:tbl>
    <w:p>
      <w:pPr>
        <w:pStyle w:val="Normal"/>
      </w:pPr>
    </w:p>
    <w:p>
      <w:pPr>
        <w:pStyle w:val="FigureImage"/>
      </w:pPr>
      <w:r>
        <w:drawing>
          <wp:inline xmlns:wp="http://schemas.openxmlformats.org/drawingml/2006/wordprocessingDrawing" distT="0" distB="0" distL="0" distR="0">
            <wp:extent cx="5486400" cy="3376246"/>
            <wp:effectExtent l="0" t="0" r="0" b="0"/>
            <wp:docPr id="1002" name="Figure_9_2_Device_Geome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9_2_Device_Geometries.png"/>
                    <pic:cNvPicPr/>
                  </pic:nvPicPr>
                  <pic:blipFill>
                    <a:blip xmlns:r="http://schemas.openxmlformats.org/officeDocument/2006/relationships" r:embed="rIdImg2"/>
                    <a:stretch>
                      <a:fillRect/>
                    </a:stretch>
                  </pic:blipFill>
                  <pic:spPr>
                    <a:xfrm>
                      <a:off x="0" y="0"/>
                      <a:ext cx="5486400" cy="3376246"/>
                    </a:xfrm>
                    <a:prstGeom prst="rect">
                      <a:avLst/>
                    </a:prstGeom>
                  </pic:spPr>
                </pic:pic>
              </a:graphicData>
            </a:graphic>
          </wp:inline>
        </w:drawing>
      </w:r>
    </w:p>
    <w:p>
      <w:pPr>
        <w:pStyle w:val="FigureCaption"/>
      </w:pPr>
      <w:r>
        <w:t xml:space="preserve">Figure 9.2: Archetypal controlled-release device geometries (reservoir, matrix, osmotic pump, and eroding depot) with their corresponding cumulative-release profiles.</w:t>
      </w:r>
    </w:p>
    <w:p>
      <w:pPr>
        <w:pStyle w:val="Heading2"/>
      </w:pPr>
      <w:r>
        <w:t xml:space="preserve">9.2.3 Stimuli-Responsive and Smart Systems</w:t>
      </w:r>
    </w:p>
    <w:p>
      <w:pPr>
        <w:pStyle w:val="Normal"/>
      </w:pPr>
      <w:r>
        <w:t xml:space="preserve">A further level of sophistication is reached by systems that release drug in response to a stimulus, adapting their behaviour to physiological conditions rather than following a preprogrammed schedule. Internal stimuli exploit differences intrinsic to the disease or its microenvironment: the lower pH of the stomach, endosomes, or tumour tissue can trigger release from pH-sensitive polymers; elevated concentrations of specific enzymes at a disease site can cleave carrier linkages; and the reducing intracellular environment can rupture disulphide-containing carriers [35]. Such systems aim to couple release directly to the biological signal that indicates where and when the drug is needed [36].</w:t>
      </w:r>
    </w:p>
    <w:p>
      <w:pPr>
        <w:pStyle w:val="Normal"/>
      </w:pPr>
      <w:r>
        <w:t xml:space="preserve">External stimuli offer control from outside the body, allowing a clinician or the patient to modulate release on demand. Temperature-responsive polymers change conformation and permeability at a tunable transition temperature; light, magnetic fields, and ultrasound can each be focused on a target region to trigger local release from appropriately engineered carriers [37]. The glucose-responsive insulin systems pursued for diabetes exemplify the ultimate ambition of this approach: a closed-loop device that senses a physiological variable and releases drug in proportion, mimicking healthy regulation [38]. Although many smart systems remain at the research stage, they represent the frontier of controlled delivery, where the carrier becomes an active participant in therapy rather than a passive container, and they illustrate how mechanistic understanding enables ever finer temporal and spatial control [39].</w:t>
      </w:r>
    </w:p>
    <w:p>
      <w:pPr>
        <w:pStyle w:val="Normal"/>
      </w:pPr>
      <w:r>
        <w:t xml:space="preserve">The gap between the elegance of these concepts and their clinical realisation is instructive. A stimulus that is abundant and specific to the disease site makes for a reliable trigger, but many proposed internal triggers—modestly lowered pH, modestly elevated enzyme levels—differ only in degree from normal tissue, so that a system tuned to respond to the disease may also respond, to some extent, in healthy tissue, blurring the very selectivity it was designed to achieve [36]. External triggers avoid this ambiguity by placing control in the clinician's hands, but they require that energy—light, ultrasound, a magnetic field—be delivered to the target with adequate intensity and acceptable safety, which is straightforward for superficial sites and progressively harder for deep ones [39]. The engineering of a smart system is therefore only partly a matter of designing a responsive material; it is equally a matter of matching the chosen stimulus to a real biological or clinical signal that is strong enough, specific enough, and accessible enough to drive release where and when it is needed.</w:t>
      </w:r>
    </w:p>
    <w:p>
      <w:pPr>
        <w:pStyle w:val="Normal"/>
      </w:pPr>
      <w:r>
        <w:t xml:space="preserve">Closed-loop systems, of which glucose-responsive insulin delivery is the paradigmatic goal, raise the ambition higher still, for they must sense a physiological variable continuously, respond in proportion, and do so safely over long periods without external intervention [38]. Such a system is, in effect, an artificial regulatory organ, and the demands it places on sensing accuracy, response speed, stability, and fail-safety are formidable. That these systems remain largely aspirational, despite decades of effort, is a measure of the difficulty, but the steady progress toward them reflects the field's conviction that the ultimate delivery system is one that adapts to the patient's changing state in real time rather than following a fixed schedule set at the moment of administration.</w:t>
      </w:r>
    </w:p>
    <w:p>
      <w:pPr>
        <w:pStyle w:val="Heading2"/>
      </w:pPr>
      <w:r>
        <w:t xml:space="preserve">9.2.4 Carrier Architectures and Nanoscale Delivery</w:t>
      </w:r>
    </w:p>
    <w:p>
      <w:pPr>
        <w:pStyle w:val="Normal"/>
      </w:pPr>
      <w:r>
        <w:t xml:space="preserve">The physical architecture of the carrier is as important as the release mechanism it embodies. At the macroscale, matrix tablets, coated pellets, osmotic pumps, and implantable depots provide robust, well-understood platforms for sustained oral and parenteral delivery, embodying the reservoir, matrix, osmotic, and eroding geometries contrasted in Figure 9.2 [40]. At the nanoscale, a rich family of carriers—liposomes, polymeric nanoparticles, micelles, dendrimers, and lipid nanoparticles—offers the ability to encapsulate delicate payloads, protect them from degradation, and modify their biodistribution [41]. Nanoscale carriers are particularly significant because their size, surface chemistry, and shape can be tuned to influence how long they circulate, which tissues they penetrate, and how cells take them up [42].</w:t>
      </w:r>
    </w:p>
    <w:p>
      <w:pPr>
        <w:pStyle w:val="Normal"/>
      </w:pPr>
      <w:r>
        <w:t xml:space="preserve">The circulation lifetime of a nanocarrier is strongly affected by its interaction with the body's clearance systems, and surface modification with hydrophilic polymers such as poly(ethylene glycol) is widely used to reduce opsonisation and prolong residence in the blood, increasing the opportunity for accumulation at target sites [43]. The dramatic clinical success of lipid nanoparticles as carriers for nucleic acid therapeutics has demonstrated that nanoscale engineering can solve delivery problems once considered intractable, enabling entire classes of drugs that cannot survive or cross barriers on their own [44]. This success has intensified interest in the rational design of carrier architecture as a primary determinant of therapeutic outcome.</w:t>
      </w:r>
    </w:p>
    <w:p>
      <w:pPr>
        <w:pStyle w:val="Normal"/>
      </w:pPr>
      <w:r>
        <w:t xml:space="preserve">The behaviour of a nanocarrier in the body is shaped by a set of physical properties that the designer can tune with increasing precision. Size governs both the routes a particle can take through the vasculature and tissues and the mechanisms by which cells internalise it, with particles that are too small cleared rapidly by the kidney and those that are too large captured by the liver and spleen, leaving an intermediate window that favours prolonged circulation [42]. Surface charge influences interactions with the negatively charged components of blood and cell membranes, affecting both stability and uptake. Shape, once neglected in favour of the convenient sphere, is now recognised to influence circulation, margination toward vessel walls, and cellular uptake in ways that expand the design space beyond size and charge alone [42]. The systematic mapping of these structure–behaviour relationships is one of the central projects of contemporary nanomedicine.</w:t>
      </w:r>
    </w:p>
    <w:p>
      <w:pPr>
        <w:pStyle w:val="Normal"/>
      </w:pPr>
      <w:r>
        <w:t xml:space="preserve">A phenomenon that complicates all of this is the protein corona: within moments of entering the bloodstream, a nanocarrier adsorbs a layer of proteins whose composition reflects both the particle's surface and the biological milieu, and it is this corona, rather than the bare engineered surface, that the body's cells actually encounter [43]. The corona can mask targeting ligands, alter biodistribution, and trigger clearance, so that a carrier designed with a particular surface chemistry may behave quite differently once clothed in proteins. Recognising that the biological identity of a nanocarrier differs from its synthetic identity has been a sobering but essential lesson, tempering early optimism and directing attention to how carriers behave in realistic biological environments rather than in idealised buffers. It is a further instance of the recurring theme that delivery systems must be understood and designed in the context of the formidable, active biological environment they are meant to traverse.</w:t>
      </w:r>
    </w:p>
    <w:p>
      <w:pPr>
        <w:pStyle w:val="Heading2"/>
      </w:pPr>
      <w:r>
        <w:t xml:space="preserve">9.2.5 Targeting Strategies</w:t>
      </w:r>
    </w:p>
    <w:p>
      <w:pPr>
        <w:pStyle w:val="Normal"/>
      </w:pPr>
      <w:r>
        <w:t xml:space="preserve">Targeting seeks to concentrate drug at the disease site, improving efficacy while reducing systemic exposure and toxicity. Passive targeting relies on the physiology of the target tissue: many solid tumours exhibit leaky vasculature and impaired lymphatic drainage, which can allow long-circulating nanocarriers to accumulate preferentially, an effect that has motivated much nanomedicine research even as its magnitude and reliability in patients have been vigorously debated [45]. Active targeting attaches ligands—antibodies, peptides, aptamers, or small molecules—to the carrier surface so that it binds selectively to receptors overexpressed on target cells, enhancing uptake and retention where the ligand's partner is present [46].</w:t>
      </w:r>
    </w:p>
    <w:p>
      <w:pPr>
        <w:pStyle w:val="Normal"/>
      </w:pPr>
      <w:r>
        <w:t xml:space="preserve">A third strategy uses external physical guidance, such as magnetic fields directing magnetically responsive carriers to a defined region, to localise delivery independently of biological recognition [47]. In practice, targeting is difficult: biological barriers, off-target binding, heterogeneity of disease, and the formation of a protein corona on nanocarrier surfaces all conspire to limit the fraction of dose that reaches the intended site. The honest engineering assessment is that targeting improves the odds rather than guaranteeing precision, and that realistic delivery design combines targeting with the other principles of controlled and sustained release to achieve a therapeutic advantage that no single strategy delivers alone.</w:t>
      </w:r>
    </w:p>
    <w:p>
      <w:pPr>
        <w:pStyle w:val="Normal"/>
      </w:pPr>
      <w:r>
        <w:t xml:space="preserve">The gap between the promise of targeting and its measured performance deserves candid discussion, because it exemplifies the importance of quantitative honesty in engineering. Systematic analysis of the literature has found that only a small fraction of an administered nanoparticle dose typically reaches a solid tumour, with the great majority sequestered by the organs of the mononuclear phagocyte system, and this sobering figure has prompted a re-examination of assumptions that guided the field for years [45]. The enhanced permeability and retention effect on which passive targeting relies is now understood to be highly variable between tumour types and between patients, and far less dependable than early animal studies suggested [45]. These findings do not negate the value of nanocarriers, many of which deliver genuine clinical benefit through reduced toxicity and improved solubility rather than through dramatic tumour accumulation, but they insist that claims of targeting be grounded in measured biodistribution rather than in mechanistic hope.</w:t>
      </w:r>
    </w:p>
    <w:p>
      <w:pPr>
        <w:pStyle w:val="Normal"/>
      </w:pPr>
      <w:r>
        <w:t xml:space="preserve">Active targeting faces its own quantitative reckoning. Attaching a ligand can improve the retention and internalisation of a carrier once it has reached the vicinity of its target, but it does little to increase the fraction that arrives there in the first place, since arrival is governed by circulation and extravasation rather than by molecular recognition [46]. Moreover, the ligands themselves can accelerate clearance by making the carrier more recognisable to the immune system, and the protein corona can bury them beneath adsorbed protein. The realistic role of active targeting is therefore to enhance the cellular fate of carriers that passive processes have already delivered to the target region, a valuable but bounded contribution. Understanding these limits precisely, rather than overstating them in either direction, is what allows targeting to be deployed where it genuinely helps and combined intelligently with controlled release, dose, and route to build delivery systems that perform as designed [47].</w:t>
      </w:r>
    </w:p>
    <w:p>
      <w:pPr>
        <w:pStyle w:val="Heading1"/>
      </w:pPr>
      <w:r>
        <w:t xml:space="preserve">9.3 Mathematical Modelling of Drug Release and Transport</w:t>
      </w:r>
    </w:p>
    <w:p>
      <w:pPr>
        <w:pStyle w:val="Heading2"/>
      </w:pPr>
      <w:r>
        <w:t xml:space="preserve">9.3.1 Why Modelling Matters</w:t>
      </w:r>
    </w:p>
    <w:p>
      <w:pPr>
        <w:pStyle w:val="Normal"/>
      </w:pPr>
      <w:r>
        <w:t xml:space="preserve">Mathematical modelling transforms drug delivery from an empirical craft into a predictive engineering discipline. A validated model allows the designer to explore how changes in geometry, material properties, or drug loading will alter the release profile without fabricating and testing every variant, dramatically accelerating development and deepening mechanistic understanding [1]. Models also support the interpretation of experimental release data, the establishment of in-vitro–in-vivo correlations, and the regulatory demonstration that a product will behave reliably [3]. The models used in this field span a spectrum from purely empirical fits that summarise data compactly to fully mechanistic descriptions grounded in the physics of transport, and the art of modelling lies in choosing the level of description appropriate to the question at hand [4].</w:t>
      </w:r>
    </w:p>
    <w:p>
      <w:pPr>
        <w:pStyle w:val="Normal"/>
      </w:pPr>
      <w:r>
        <w:t xml:space="preserve">The distinction between these two ends of the spectrum is fundamental and often misunderstood. An empirical model fits observed data with a convenient mathematical form chosen for its flexibility rather than its physical meaning; it can interpolate reliably within the range of conditions it was fitted to but should not be trusted to extrapolate beyond them, because its parameters correspond to no physical quantity that would carry over to a new situation [4]. A mechanistic model, by contrast, is built from the actual physics and chemistry of the release process, so that its parameters are genuine material properties—diffusivities, solubilities, degradation rates—and its predictions can, in principle, extend to conditions never directly tested, precisely because the underlying physics does not change [3]. The price of this extrapolative power is that mechanistic models demand accurate physical parameters and faithful representation of the governing processes, both of which are hard to obtain. The choice between the two is thus a choice about what one needs the model to do: to summarise and compare, or to predict and design [35].</w:t>
      </w:r>
    </w:p>
    <w:p>
      <w:pPr>
        <w:pStyle w:val="Normal"/>
      </w:pPr>
      <w:r>
        <w:t xml:space="preserve">This choice has practical consequences at every stage of development. In early formulation screening, when many candidates must be compared quickly, a simple empirical fit that reduces a dissolution curve to one or two interpretable numbers is often exactly the right tool. In later optimisation, when one wishes to understand why a formulation behaves as it does and to predict how it will respond to a change in geometry or loading, a mechanistic model repays its greater cost with insight and predictive reach. And in regulatory contexts, where the goal is to demonstrate that a product will perform reliably and that a manufacturing change will not compromise it, models of intermediate complexity, well validated against data, occupy the middle ground. Matching the model to its purpose, rather than reflexively reaching for the most or least sophisticated option, is the mark of a skilled modeller [3].</w:t>
      </w:r>
    </w:p>
    <w:p>
      <w:pPr>
        <w:pStyle w:val="Heading2"/>
      </w:pPr>
      <w:r>
        <w:t xml:space="preserve">9.3.2 Diffusion and the Transport Equations</w:t>
      </w:r>
    </w:p>
    <w:p>
      <w:pPr>
        <w:pStyle w:val="Normal"/>
      </w:pPr>
      <w:r>
        <w:t xml:space="preserve">At the heart of most release models lies diffusion, the transport of molecules down a concentration gradient by random thermal motion. Fick's first law states that the diffusive flux is proportional to the concentration gradient, with the diffusion coefficient as the constant of proportionality; Fick's second law, obtained by combining this with conservation of mass, describes how concentration evolves in space and time [30]. Solving this partial differential equation for the geometry and boundary conditions of a given device yields the concentration field and, by integration of the flux at the surface, the cumulative amount released as a function of time [32].</w:t>
      </w:r>
    </w:p>
    <w:p>
      <w:pPr>
        <w:pStyle w:val="Normal"/>
      </w:pPr>
      <w:r>
        <w:t xml:space="preserve">For simple geometries and idealised conditions, analytical solutions exist and provide invaluable insight. A drug dispersed in a thin slab and released into a perfect sink initially releases in proportion to the square root of time, the classic signature of diffusion-controlled release from a planar matrix [31]. When the drug loading exceeds its solubility in the matrix, so that undissolved drug persists as a reservoir, the Higuchi model provides a widely used square-root-of-time expression relating the amount released to the drug loading, solubility, and diffusivity [33]. These solutions rest on simplifying assumptions—constant diffusivity, perfect sink, negligible edge effects—whose validity must be checked, but they anchor intuition and furnish the limiting cases against which more complex models are judged. Table 9.3 collects the most widely used release models together with their governing equations, underlying assumptions, and domains of applicability.</w:t>
      </w:r>
    </w:p>
    <w:p>
      <w:pPr>
        <w:pStyle w:val="TableCaption"/>
      </w:pPr>
      <w:r>
        <w:t xml:space="preserve">Table 9.3: Widely used mathematical models of drug release</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Model</w:t>
            </w:r>
          </w:p>
        </w:tc>
        <w:tc>
          <w:tcPr>
            <w:shd w:val="clear" w:color="auto" w:fill="D9E2F3"/>
          </w:tcPr>
          <w:p>
            <w:pPr>
              <w:jc w:val="center"/>
            </w:pPr>
            <w:r>
              <w:rPr>
                <w:b/>
              </w:rPr>
              <w:t xml:space="preserve">Governing Expression</w:t>
            </w:r>
          </w:p>
        </w:tc>
        <w:tc>
          <w:tcPr>
            <w:shd w:val="clear" w:color="auto" w:fill="D9E2F3"/>
          </w:tcPr>
          <w:p>
            <w:pPr>
              <w:jc w:val="center"/>
            </w:pPr>
            <w:r>
              <w:rPr>
                <w:b/>
              </w:rPr>
              <w:t xml:space="preserve">Key Assumptions</w:t>
            </w:r>
          </w:p>
        </w:tc>
        <w:tc>
          <w:tcPr>
            <w:shd w:val="clear" w:color="auto" w:fill="D9E2F3"/>
          </w:tcPr>
          <w:p>
            <w:pPr>
              <w:jc w:val="center"/>
            </w:pPr>
            <w:r>
              <w:rPr>
                <w:b/>
              </w:rPr>
              <w:t xml:space="preserve">Applicability</w:t>
            </w:r>
          </w:p>
        </w:tc>
      </w:tr>
      <w:tr>
        <w:tc>
          <w:p>
            <w:pPr>
              <w:spacing w:after="40"/>
            </w:pPr>
            <w:r>
              <w:t xml:space="preserve">Zero-order</w:t>
            </w:r>
          </w:p>
        </w:tc>
        <w:tc>
          <w:p>
            <w:pPr>
              <w:spacing w:after="40"/>
            </w:pPr>
            <w:r>
              <w:t xml:space="preserve">Amount released proportional to time</w:t>
            </w:r>
          </w:p>
        </w:tc>
        <w:tc>
          <w:p>
            <w:pPr>
              <w:spacing w:after="40"/>
            </w:pPr>
            <w:r>
              <w:t xml:space="preserve">Constant release rate</w:t>
            </w:r>
          </w:p>
        </w:tc>
        <w:tc>
          <w:p>
            <w:pPr>
              <w:spacing w:after="40"/>
            </w:pPr>
            <w:r>
              <w:t xml:space="preserve">Osmotic, reservoir systems</w:t>
            </w:r>
          </w:p>
        </w:tc>
      </w:tr>
      <w:tr>
        <w:tc>
          <w:p>
            <w:pPr>
              <w:spacing w:after="40"/>
            </w:pPr>
            <w:r>
              <w:t xml:space="preserve">First-order</w:t>
            </w:r>
          </w:p>
        </w:tc>
        <w:tc>
          <w:p>
            <w:pPr>
              <w:spacing w:after="40"/>
            </w:pPr>
            <w:r>
              <w:t xml:space="preserve">Rate proportional to remaining drug</w:t>
            </w:r>
          </w:p>
        </w:tc>
        <w:tc>
          <w:p>
            <w:pPr>
              <w:spacing w:after="40"/>
            </w:pPr>
            <w:r>
              <w:t xml:space="preserve">Dissolution-limited</w:t>
            </w:r>
          </w:p>
        </w:tc>
        <w:tc>
          <w:p>
            <w:pPr>
              <w:spacing w:after="40"/>
            </w:pPr>
            <w:r>
              <w:t xml:space="preserve">Rapidly dissolving forms</w:t>
            </w:r>
          </w:p>
        </w:tc>
      </w:tr>
      <w:tr>
        <w:tc>
          <w:p>
            <w:pPr>
              <w:spacing w:after="40"/>
            </w:pPr>
            <w:r>
              <w:t xml:space="preserve">Higuchi</w:t>
            </w:r>
          </w:p>
        </w:tc>
        <w:tc>
          <w:p>
            <w:pPr>
              <w:spacing w:after="40"/>
            </w:pPr>
            <w:r>
              <w:t xml:space="preserve">Release proportional to square root of time</w:t>
            </w:r>
          </w:p>
        </w:tc>
        <w:tc>
          <w:p>
            <w:pPr>
              <w:spacing w:after="40"/>
            </w:pPr>
            <w:r>
              <w:t xml:space="preserve">Drug loading exceeds solubility, planar sink</w:t>
            </w:r>
          </w:p>
        </w:tc>
        <w:tc>
          <w:p>
            <w:pPr>
              <w:spacing w:after="40"/>
            </w:pPr>
            <w:r>
              <w:t xml:space="preserve">Matrix systems</w:t>
            </w:r>
          </w:p>
        </w:tc>
      </w:tr>
      <w:tr>
        <w:tc>
          <w:p>
            <w:pPr>
              <w:spacing w:after="40"/>
            </w:pPr>
            <w:r>
              <w:t xml:space="preserve">Korsmeyer-Peppas</w:t>
            </w:r>
          </w:p>
        </w:tc>
        <w:tc>
          <w:p>
            <w:pPr>
              <w:spacing w:after="40"/>
            </w:pPr>
            <w:r>
              <w:t xml:space="preserve">Fractional release equals constant times time to exponent n</w:t>
            </w:r>
          </w:p>
        </w:tc>
        <w:tc>
          <w:p>
            <w:pPr>
              <w:spacing w:after="40"/>
            </w:pPr>
            <w:r>
              <w:t xml:space="preserve">Early-time release, single mechanism</w:t>
            </w:r>
          </w:p>
        </w:tc>
        <w:tc>
          <w:p>
            <w:pPr>
              <w:spacing w:after="40"/>
            </w:pPr>
            <w:r>
              <w:t xml:space="preserve">Polymeric systems (mechanism diagnosis)</w:t>
            </w:r>
          </w:p>
        </w:tc>
      </w:tr>
      <w:tr>
        <w:tc>
          <w:p>
            <w:pPr>
              <w:spacing w:after="40"/>
            </w:pPr>
            <w:r>
              <w:t xml:space="preserve">Peppas-Sahlin</w:t>
            </w:r>
          </w:p>
        </w:tc>
        <w:tc>
          <w:p>
            <w:pPr>
              <w:spacing w:after="40"/>
            </w:pPr>
            <w:r>
              <w:t xml:space="preserve">Additive diffusion + relaxation terms</w:t>
            </w:r>
          </w:p>
        </w:tc>
        <w:tc>
          <w:p>
            <w:pPr>
              <w:spacing w:after="40"/>
            </w:pPr>
            <w:r>
              <w:t xml:space="preserve">Coupled Fickian &amp; Case II</w:t>
            </w:r>
          </w:p>
        </w:tc>
        <w:tc>
          <w:p>
            <w:pPr>
              <w:spacing w:after="40"/>
            </w:pPr>
            <w:r>
              <w:t xml:space="preserve">Swelling matrices</w:t>
            </w:r>
          </w:p>
        </w:tc>
      </w:tr>
    </w:tbl>
    <w:p>
      <w:pPr>
        <w:pStyle w:val="Normal"/>
      </w:pPr>
    </w:p>
    <w:p>
      <w:pPr>
        <w:pStyle w:val="Heading2"/>
      </w:pPr>
      <w:r>
        <w:t xml:space="preserve">9.3.3 Empirical and Semi-Empirical Release Models</w:t>
      </w:r>
    </w:p>
    <w:p>
      <w:pPr>
        <w:pStyle w:val="Normal"/>
      </w:pPr>
      <w:r>
        <w:t xml:space="preserve">When mechanistic solutions are unavailable or unnecessary, empirical and semi-empirical models offer compact descriptions that fit data and permit comparison between formulations. Zero-order kinetics, in which a constant amount is released per unit time, describes the ideal controlled-release system and is approached by well-designed osmotic and reservoir devices [34]. First-order kinetics, in which the release rate is proportional to the amount remaining, describes many dissolution-limited systems and mirrors the mathematics of first-order elimination, and its steadily decaying curve stands in clear visual contrast to the straight line of zero-order release shown in Figure 9.3 [16].</w:t>
      </w:r>
    </w:p>
    <w:p>
      <w:pPr>
        <w:pStyle w:val="Normal"/>
      </w:pPr>
      <w:r>
        <w:t xml:space="preserve">The most versatile of the semi-empirical descriptions is the Korsmeyer–Peppas power-law model, which expresses the fractional release as a constant multiplied by time raised to an exponent [32]. The value of that release exponent is diagnostic of the underlying mechanism: a value near one-half indicates Fickian diffusion, an intermediate value indicates anomalous transport in which diffusion and polymer relaxation both contribute, and a value near one indicates relaxation-controlled, or Case II, transport characteristic of swelling systems, as set out alongside the other models in Table 9.3 [35]. Because it requires no assumptions about geometry and yields an interpretable exponent, this model is ubiquitous in formulation characterisation, serving as a bridge between raw dissolution data and mechanistic hypotheses about how a given system actually releases its drug [36].</w:t>
      </w:r>
    </w:p>
    <w:p>
      <w:pPr>
        <w:pStyle w:val="Normal"/>
      </w:pPr>
      <w:r>
        <w:t xml:space="preserve">The power-law model does carry important caveats that its very convenience can obscure. Its diagnostic exponent is strictly valid only for the early portion of the release curve, up to roughly the first sixty per cent of drug released, and only for a single dominant mechanism; applying it to the full curve or to systems governed by several competing processes can yield an exponent that fits the data well yet means nothing mechanistically [35]. The exponent's interpretation also depends on the geometry of the device, since the boundary between Fickian and anomalous behaviour shifts for slabs, cylinders, and spheres, so that the same numerical value implies different mechanisms in different shapes. For systems in which diffusion and polymer relaxation genuinely act together, the Peppas–Sahlin extension separates the two contributions explicitly through an additive expression, allowing their relative importance to be quantified rather than merged into a single ambiguous exponent [41]. These refinements illustrate a general lesson about empirical models: their ease of use is a virtue only when accompanied by an understanding of the assumptions that bound their validity, and a fitted parameter is informative only to the extent that the conditions for its interpretation are met. Figure 9.3 contrasts the characteristic release curves of zero-order, first-order, Higuchi, and power-law behaviour and shows how the fitted exponent distinguishes the governing mechanism.</w:t>
      </w:r>
    </w:p>
    <w:p>
      <w:pPr>
        <w:pStyle w:val="FigureImage"/>
      </w:pPr>
      <w:r>
        <w:drawing>
          <wp:inline xmlns:wp="http://schemas.openxmlformats.org/drawingml/2006/wordprocessingDrawing" distT="0" distB="0" distL="0" distR="0">
            <wp:extent cx="5486400" cy="3392905"/>
            <wp:effectExtent l="0" t="0" r="0" b="0"/>
            <wp:docPr id="1003" name="Figure_9_3_Releas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9_3_Release_Models.png"/>
                    <pic:cNvPicPr/>
                  </pic:nvPicPr>
                  <pic:blipFill>
                    <a:blip xmlns:r="http://schemas.openxmlformats.org/officeDocument/2006/relationships" r:embed="rIdImg3"/>
                    <a:stretch>
                      <a:fillRect/>
                    </a:stretch>
                  </pic:blipFill>
                  <pic:spPr>
                    <a:xfrm>
                      <a:off x="0" y="0"/>
                      <a:ext cx="5486400" cy="3392905"/>
                    </a:xfrm>
                    <a:prstGeom prst="rect">
                      <a:avLst/>
                    </a:prstGeom>
                  </pic:spPr>
                </pic:pic>
              </a:graphicData>
            </a:graphic>
          </wp:inline>
        </w:drawing>
      </w:r>
    </w:p>
    <w:p>
      <w:pPr>
        <w:pStyle w:val="FigureCaption"/>
      </w:pPr>
      <w:r>
        <w:t xml:space="preserve">Figure 9.3: Comparison of characteristic release curves for zero-order, first-order, Higuchi, and Korsmeyer-Peppas power-law models, showing how the fitted release exponent distinguishes the governing transport mechanism.</w:t>
      </w:r>
    </w:p>
    <w:p>
      <w:pPr>
        <w:pStyle w:val="Heading2"/>
      </w:pPr>
      <w:r>
        <w:t xml:space="preserve">9.3.4 Mechanistic and Multiphysics Models</w:t>
      </w:r>
    </w:p>
    <w:p>
      <w:pPr>
        <w:pStyle w:val="Normal"/>
      </w:pPr>
      <w:r>
        <w:t xml:space="preserve">Real delivery systems frequently involve several coupled processes—diffusion together with swelling, erosion, dissolution, and moving boundaries—that no single closed-form solution can capture. Mechanistic models represent these processes explicitly through systems of coupled equations solved numerically, typically by finite-difference or finite-element methods that discretise the device geometry and march the solution forward in time [37]. Such models can accommodate concentration-dependent diffusivity, degradation of the polymer that changes its transport properties as release proceeds, and the complex geometries of real dosage forms [40].</w:t>
      </w:r>
    </w:p>
    <w:p>
      <w:pPr>
        <w:pStyle w:val="Normal"/>
      </w:pPr>
      <w:r>
        <w:t xml:space="preserve">The reward for this complexity is predictive power and mechanistic insight: a well-constructed mechanistic model can predict how a formulation will respond to changes never explicitly tested, identify the rate-limiting step, and guide design toward a desired profile [41]. The cost is the need for accurate material parameters, careful numerical implementation, and rigorous validation against experiment, since a model that has not been tested against data is a hypothesis rather than a tool [4]. The judicious modeller therefore matches model complexity to purpose, using the simplest description that answers the design question and reserving multiphysics simulation for cases where coupled phenomena genuinely govern behaviour and simpler models demonstrably fail [3].</w:t>
      </w:r>
    </w:p>
    <w:p>
      <w:pPr>
        <w:pStyle w:val="Normal"/>
      </w:pPr>
      <w:r>
        <w:t xml:space="preserve">A particular strength of numerical mechanistic models is their ability to handle moving boundaries, which arise whenever a swelling front advances into a glassy polymer, an eroding surface recedes, or a dissolution front consumes solid drug. These moving boundaries defeat most analytical methods but are handled naturally by discretising the domain and updating it as the boundary moves, allowing a single simulation to capture the interplay of water ingress, polymer swelling, drug dissolution, and diffusion that governs a real hydrophilic matrix tablet [33]. The same framework accommodates the way a polymer's diffusivity rises as it hydrates and degrades, so that transport properties evolve during release rather than remaining fixed, a feature that simpler models cannot represent but that often dominates real behaviour [37]. It is precisely in these coupled, evolving situations that the investment in mechanistic modelling pays off most clearly, converting a tangle of interacting phenomena into a quantitative, predictive account.</w:t>
      </w:r>
    </w:p>
    <w:p>
      <w:pPr>
        <w:pStyle w:val="Heading2"/>
      </w:pPr>
      <w:r>
        <w:t xml:space="preserve">9.3.5 Pharmacokinetic and Physiologically Based Modelling</w:t>
      </w:r>
    </w:p>
    <w:p>
      <w:pPr>
        <w:pStyle w:val="Normal"/>
      </w:pPr>
      <w:r>
        <w:t xml:space="preserve">Release from the dosage form is only the first stage; predicting the resulting concentration at the target requires linking the release model to a description of the drug's fate in the body. Compartmental pharmacokinetic models, introduced earlier, convolve the input rate supplied by the delivery system with the body's disposition to yield the plasma concentration–time profile, allowing the delivery engineer to translate a release specification directly into a predicted clinical exposure [17]. This coupling is what makes it possible to design a release profile expressly to achieve a target concentration–time curve rather than merely to prolong release for its own sake [19].</w:t>
      </w:r>
    </w:p>
    <w:p>
      <w:pPr>
        <w:pStyle w:val="Normal"/>
      </w:pPr>
      <w:r>
        <w:t xml:space="preserve">Physiologically based pharmacokinetic models extend this idea by representing the body as a network of anatomically defined compartments connected by blood flow, each with its own volume, partition behaviour, and clearance [16]. These models can incorporate the tissue-specific accumulation of targeted carriers and the effect of formulation on absorption, offering a mechanistic bridge from dosage-form design to systemic and local exposure across populations and species [18]. When combined with in-vitro release data and in-vitro–in-vivo correlation, such models increasingly allow delivery systems to be optimised in silico before clinical testing, reducing cost and risk while sharpening the link between engineering design and therapeutic outcome.</w:t>
      </w:r>
    </w:p>
    <w:p>
      <w:pPr>
        <w:pStyle w:val="Normal"/>
      </w:pPr>
      <w:r>
        <w:t xml:space="preserve">The power of coupling release and disposition models becomes vivid when one considers designing for a specific therapeutic target. Suppose the goal is to hold the plasma concentration of a short-half-life drug within a narrow band for twenty-four hours. Working backward, the disposition model specifies the input rate that would sustain the desired concentration given the drug's clearance, and the release model then specifies the device parameters—membrane thickness, matrix loading, orifice size—that would deliver that input rate [17]. The design emerges from the mathematics rather than from iterative laboratory trial, and candidate designs can be screened computationally before any is fabricated. This backward reasoning from clinical goal to device specification, made possible only by linking the two classes of model, is the fullest expression of drug delivery as an engineering discipline [19].</w:t>
      </w:r>
    </w:p>
    <w:p>
      <w:pPr>
        <w:pStyle w:val="Normal"/>
      </w:pPr>
      <w:r>
        <w:t xml:space="preserve">Physiologically based models deepen this capability by resolving where in the body a drug goes, not merely how much of it circulates. Because they represent individual organs with their own blood flows and partition behaviour, they can predict local exposure at a target tissue, account for the way a formulation alters absorption, and translate findings across species and populations in a mechanistically grounded way [18]. For targeted delivery in particular, where the whole point is to change biodistribution, a model that resolves tissue-level concentrations is far more informative than one that tracks only the plasma. Figure 9.4 presents an integrated modelling workflow that connects material and formulation parameters through release and transport models to a predicted concentration–time profile at the site of action.</w:t>
      </w:r>
    </w:p>
    <w:p>
      <w:pPr>
        <w:pStyle w:val="FigureImage"/>
      </w:pPr>
      <w:r>
        <w:drawing>
          <wp:inline xmlns:wp="http://schemas.openxmlformats.org/drawingml/2006/wordprocessingDrawing" distT="0" distB="0" distL="0" distR="0">
            <wp:extent cx="5486400" cy="3017520"/>
            <wp:effectExtent l="0" t="0" r="0" b="0"/>
            <wp:docPr id="1004" name="Figure_9_4_Modellin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9_4_Modelling_Workflow.png"/>
                    <pic:cNvPicPr/>
                  </pic:nvPicPr>
                  <pic:blipFill>
                    <a:blip xmlns:r="http://schemas.openxmlformats.org/officeDocument/2006/relationships" r:embed="rIdImg4"/>
                    <a:stretch>
                      <a:fillRect/>
                    </a:stretch>
                  </pic:blipFill>
                  <pic:spPr>
                    <a:xfrm>
                      <a:off x="0" y="0"/>
                      <a:ext cx="5486400" cy="3017520"/>
                    </a:xfrm>
                    <a:prstGeom prst="rect">
                      <a:avLst/>
                    </a:prstGeom>
                  </pic:spPr>
                </pic:pic>
              </a:graphicData>
            </a:graphic>
          </wp:inline>
        </w:drawing>
      </w:r>
    </w:p>
    <w:p>
      <w:pPr>
        <w:pStyle w:val="FigureCaption"/>
      </w:pPr>
      <w:r>
        <w:t xml:space="preserve">Figure 9.4: Integrated modelling workflow linking material and formulation parameters through release and transport models and pharmacokinetic coupling to a predicted concentration-time profile at the site of action, with validation and uncertainty analysis as explicit stages.</w:t>
      </w:r>
    </w:p>
    <w:p>
      <w:pPr>
        <w:pStyle w:val="Heading2"/>
      </w:pPr>
      <w:r>
        <w:t xml:space="preserve">9.3.6 Validation, Uncertainty, and In-Vitro–In-Vivo Correlation</w:t>
      </w:r>
    </w:p>
    <w:p>
      <w:pPr>
        <w:pStyle w:val="Normal"/>
      </w:pPr>
      <w:r>
        <w:t xml:space="preserve">A model earns trust only through validation against independent experimental data, and the credibility of any predictive claim rests on how rigorously this has been done [4]. Release models are calibrated against in-vitro dissolution measurements made under standardised conditions, but the ultimate test is whether they predict in-vivo behaviour, which the establishment of an in-vitro–in-vivo correlation seeks to demonstrate [19]. Such correlations, when robust, allow in-vitro release testing to serve as a surrogate for clinical performance, streamlining development and supporting regulatory decisions about formulation changes.</w:t>
      </w:r>
    </w:p>
    <w:p>
      <w:pPr>
        <w:pStyle w:val="Normal"/>
      </w:pPr>
      <w:r>
        <w:t xml:space="preserve">Every model carries uncertainty, arising from imperfectly known parameters, simplifying assumptions, biological variability, and measurement error, and responsible modelling quantifies this uncertainty rather than presenting a single deterministic curve as if it were exact [17]. Sensitivity analysis identifies which parameters most influence the predicted outcome and therefore most deserve precise measurement, focusing experimental effort where it matters most. The mature practice of modelling in drug delivery treats models not as oracles but as structured, testable hypotheses whose predictions are always accompanied by an honest account of their limitations, and this discipline is what allows models to be relied upon in decisions that affect patients. Figure 9.4 accordingly situates validation and uncertainty analysis as explicit stages in the workflow rather than afterthoughts appended once a model has been built.</w:t>
      </w:r>
    </w:p>
    <w:p>
      <w:pPr>
        <w:pStyle w:val="Heading2"/>
      </w:pPr>
      <w:r>
        <w:t xml:space="preserve">9.3.7 From Model to Manufacture</w:t>
      </w:r>
    </w:p>
    <w:p>
      <w:pPr>
        <w:pStyle w:val="Normal"/>
      </w:pPr>
      <w:r>
        <w:t xml:space="preserve">The final measure of a delivery system is whether it can be manufactured reliably at scale and perform consistently in patients, and modelling increasingly extends into this domain as well. The principles of quality by design encourage the identification of the critical material attributes and process parameters that determine product performance, and models help map how these inputs propagate to the release profile and thence to clinical effect [3]. Table 9.4 links representative dosage-form platforms to their dominant release mechanisms, the models most appropriate for describing them, and the principal manufacturing considerations that constrain their design.</w:t>
      </w:r>
    </w:p>
    <w:p>
      <w:pPr>
        <w:pStyle w:val="TableCaption"/>
      </w:pPr>
      <w:r>
        <w:t xml:space="preserve">Table 9.4: Dosage-form platforms, dominant mechanisms, models, and manufacturing considerations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Platform</w:t>
            </w:r>
          </w:p>
        </w:tc>
        <w:tc>
          <w:tcPr>
            <w:shd w:val="clear" w:color="auto" w:fill="D9E2F3"/>
          </w:tcPr>
          <w:p>
            <w:pPr>
              <w:jc w:val="center"/>
            </w:pPr>
            <w:r>
              <w:rPr>
                <w:b/>
              </w:rPr>
              <w:t xml:space="preserve">Dominant Mechanism</w:t>
            </w:r>
          </w:p>
        </w:tc>
        <w:tc>
          <w:tcPr>
            <w:shd w:val="clear" w:color="auto" w:fill="D9E2F3"/>
          </w:tcPr>
          <w:p>
            <w:pPr>
              <w:jc w:val="center"/>
            </w:pPr>
            <w:r>
              <w:rPr>
                <w:b/>
              </w:rPr>
              <w:t xml:space="preserve">Appropriate Model</w:t>
            </w:r>
          </w:p>
        </w:tc>
        <w:tc>
          <w:tcPr>
            <w:shd w:val="clear" w:color="auto" w:fill="D9E2F3"/>
          </w:tcPr>
          <w:p>
            <w:pPr>
              <w:jc w:val="center"/>
            </w:pPr>
            <w:r>
              <w:rPr>
                <w:b/>
              </w:rPr>
              <w:t xml:space="preserve">Manufacturing Consideration</w:t>
            </w:r>
          </w:p>
        </w:tc>
      </w:tr>
      <w:tr>
        <w:tc>
          <w:p>
            <w:pPr>
              <w:spacing w:after="40"/>
            </w:pPr>
            <w:r>
              <w:t xml:space="preserve">Matrix tablet</w:t>
            </w:r>
          </w:p>
        </w:tc>
        <w:tc>
          <w:p>
            <w:pPr>
              <w:spacing w:after="40"/>
            </w:pPr>
            <w:r>
              <w:t xml:space="preserve">Diffusion + erosion</w:t>
            </w:r>
          </w:p>
        </w:tc>
        <w:tc>
          <w:p>
            <w:pPr>
              <w:spacing w:after="40"/>
            </w:pPr>
            <w:r>
              <w:t xml:space="preserve">Higuchi / Korsmeyer-Peppas</w:t>
            </w:r>
          </w:p>
        </w:tc>
        <w:tc>
          <w:p>
            <w:pPr>
              <w:spacing w:after="40"/>
            </w:pPr>
            <w:r>
              <w:t xml:space="preserve">Powder blending, compression uniformity</w:t>
            </w:r>
          </w:p>
        </w:tc>
      </w:tr>
      <w:tr>
        <w:tc>
          <w:p>
            <w:pPr>
              <w:spacing w:after="40"/>
            </w:pPr>
            <w:r>
              <w:t xml:space="preserve">Osmotic pump tablet</w:t>
            </w:r>
          </w:p>
        </w:tc>
        <w:tc>
          <w:p>
            <w:pPr>
              <w:spacing w:after="40"/>
            </w:pPr>
            <w:r>
              <w:t xml:space="preserve">Osmotic pumping</w:t>
            </w:r>
          </w:p>
        </w:tc>
        <w:tc>
          <w:p>
            <w:pPr>
              <w:spacing w:after="40"/>
            </w:pPr>
            <w:r>
              <w:t xml:space="preserve">Zero-order</w:t>
            </w:r>
          </w:p>
        </w:tc>
        <w:tc>
          <w:p>
            <w:pPr>
              <w:spacing w:after="40"/>
            </w:pPr>
            <w:r>
              <w:t xml:space="preserve">Membrane coating, laser-drilled orifice</w:t>
            </w:r>
          </w:p>
        </w:tc>
      </w:tr>
      <w:tr>
        <w:tc>
          <w:p>
            <w:pPr>
              <w:spacing w:after="40"/>
            </w:pPr>
            <w:r>
              <w:t xml:space="preserve">PLGA microsphere</w:t>
            </w:r>
          </w:p>
        </w:tc>
        <w:tc>
          <w:p>
            <w:pPr>
              <w:spacing w:after="40"/>
            </w:pPr>
            <w:r>
              <w:t xml:space="preserve">Bulk erosion + diffusion</w:t>
            </w:r>
          </w:p>
        </w:tc>
        <w:tc>
          <w:p>
            <w:pPr>
              <w:spacing w:after="40"/>
            </w:pPr>
            <w:r>
              <w:t xml:space="preserve">Mechanistic multiphysics</w:t>
            </w:r>
          </w:p>
        </w:tc>
        <w:tc>
          <w:p>
            <w:pPr>
              <w:spacing w:after="40"/>
            </w:pPr>
            <w:r>
              <w:t xml:space="preserve">Emulsion process, residual solvent control</w:t>
            </w:r>
          </w:p>
        </w:tc>
      </w:tr>
      <w:tr>
        <w:tc>
          <w:p>
            <w:pPr>
              <w:spacing w:after="40"/>
            </w:pPr>
            <w:r>
              <w:t xml:space="preserve">Lipid nanoparticle</w:t>
            </w:r>
          </w:p>
        </w:tc>
        <w:tc>
          <w:p>
            <w:pPr>
              <w:spacing w:after="40"/>
            </w:pPr>
            <w:r>
              <w:t xml:space="preserve">Diffusion + degradation</w:t>
            </w:r>
          </w:p>
        </w:tc>
        <w:tc>
          <w:p>
            <w:pPr>
              <w:spacing w:after="40"/>
            </w:pPr>
            <w:r>
              <w:t xml:space="preserve">Compartmental PK coupling</w:t>
            </w:r>
          </w:p>
        </w:tc>
        <w:tc>
          <w:p>
            <w:pPr>
              <w:spacing w:after="40"/>
            </w:pPr>
            <w:r>
              <w:t xml:space="preserve">Microfluidic mixing, cold-chain stability</w:t>
            </w:r>
          </w:p>
        </w:tc>
      </w:tr>
      <w:tr>
        <w:tc>
          <w:p>
            <w:pPr>
              <w:spacing w:after="40"/>
            </w:pPr>
            <w:r>
              <w:t xml:space="preserve">Transdermal patch</w:t>
            </w:r>
          </w:p>
        </w:tc>
        <w:tc>
          <w:p>
            <w:pPr>
              <w:spacing w:after="40"/>
            </w:pPr>
            <w:r>
              <w:t xml:space="preserve">Reservoir diffusion</w:t>
            </w:r>
          </w:p>
        </w:tc>
        <w:tc>
          <w:p>
            <w:pPr>
              <w:spacing w:after="40"/>
            </w:pPr>
            <w:r>
              <w:t xml:space="preserve">Zero-order Fickian</w:t>
            </w:r>
          </w:p>
        </w:tc>
        <w:tc>
          <w:p>
            <w:pPr>
              <w:spacing w:after="40"/>
            </w:pPr>
            <w:r>
              <w:t xml:space="preserve">Adhesive design, membrane consistency</w:t>
            </w:r>
          </w:p>
        </w:tc>
      </w:tr>
    </w:tbl>
    <w:p>
      <w:pPr>
        <w:pStyle w:val="Normal"/>
      </w:pPr>
    </w:p>
    <w:p>
      <w:pPr>
        <w:pStyle w:val="Normal"/>
      </w:pPr>
      <w:r>
        <w:t xml:space="preserve">Scale-up introduces phenomena—heat and mass transfer gradients, mixing limitations, and equipment-specific effects—that can alter a product's behaviour relative to laboratory batches, and predictive models that incorporate these effects reduce the risk of costly late-stage failure [40]. The convergence of mechanistic release modelling, pharmacokinetic prediction, and process modelling points toward an increasingly integrated design paradigm in which a delivery system is conceived, analysed, optimised, and de-risked computationally before substantial physical resources are committed, spanning the range of platforms and their attendant constraints laid out in Table 9.4 [41]. Realising this vision fully remains a work in progress, limited by the availability of accurate parameters and validated models, but the trajectory is clear and the engineering payoff substantial.</w:t>
      </w:r>
    </w:p>
    <w:p>
      <w:pPr>
        <w:pStyle w:val="Normal"/>
      </w:pPr>
      <w:r>
        <w:t xml:space="preserve">The manufacturing dimension is not a mere afterthought to design but a constraint that shapes design from the outset. A release mechanism that performs beautifully in a carefully prepared laboratory batch is worthless if it cannot be reproduced reliably in a factory producing millions of units, and the sensitivity of a mechanism to process variation is therefore itself a design criterion [40]. Osmotic pump tablets, for instance, depend on a precisely coated semipermeable membrane and a laser-drilled orifice of controlled diameter, so their excellent zero-order release is bought at the cost of demanding, specialised manufacturing. Matrix tablets, by contrast, are produced by conventional blending and compression and tolerate ordinary process variation more gracefully, which is one reason for their enduring popularity despite their less ideal release kinetics. Nanoparticle carriers introduce yet another set of manufacturing challenges, from achieving reproducible size distributions to maintaining stability through storage and, for lipid systems, an unbroken cold chain [44]. Building an appreciation of these realities into the earliest design decisions—choosing mechanisms and materials that are not only theoretically apt but practically manufacturable—is what turns an elegant concept into a medicine that reaches patients, and it closes the loop between the physical principles with which this chapter began and the finished product in which they are ultimately embodied [41].</w:t>
      </w:r>
    </w:p>
    <w:p>
      <w:pPr>
        <w:pStyle w:val="Heading1"/>
      </w:pPr>
      <w:r>
        <w:t xml:space="preserve">9.4 Conclusion</w:t>
      </w:r>
    </w:p>
    <w:p>
      <w:pPr>
        <w:pStyle w:val="Normal"/>
      </w:pPr>
      <w:r>
        <w:t xml:space="preserve">Modern drug delivery is a mature engineering discipline in which the design of the carrier is as consequential as the discovery of the drug it carries. This chapter has developed that discipline across three connected levels. The fundamentals establish how the physicochemical properties of drugs and materials, the biological barriers of the chosen route, and the pharmacokinetic framework together define the delivery problem and the levers available to solve it. Controlled, sustained, and targeted delivery translate these fundamentals into working strategies, harnessing diffusion, dissolution, swelling, erosion, osmosis, and stimuli-responsiveness within carrier architectures ranging from robust matrix tablets to precisely engineered nanoparticles, and directing drug to disease through passive, active, and physical targeting. Mathematical modelling binds the whole together, converting mechanistic understanding into quantitative prediction and enabling rational design, optimisation, and validation.</w:t>
      </w:r>
    </w:p>
    <w:p>
      <w:pPr>
        <w:pStyle w:val="Normal"/>
      </w:pPr>
      <w:r>
        <w:t xml:space="preserve">The recurring theme is that quantitative reasoning—grounded in transport phenomena, reaction kinetics, and pharmacokinetics—is what elevates drug delivery from empirical formulation to genuine engineering. The remarkable clinical successes of osmotic systems, long-acting injectables, and lipid nanoparticle carriers demonstrate what disciplined engineering can achieve, while the persistent difficulty of reliable targeting and the gap between in-vitro and in-vivo behaviour remind us how much remains to be understood. As materials grow more sophisticated and models more predictive, the field moves steadily toward its enduring goal: delivering the right drug to the right place at the right time, reliably, safely, and by design rather than by chance.</w:t>
      </w:r>
    </w:p>
    <w:p>
      <w:pPr>
        <w:pStyle w:val="Heading1"/>
      </w:pPr>
      <w:r>
        <w:t xml:space="preserve">References</w:t>
      </w:r>
    </w:p>
    <w:p>
      <w:pPr>
        <w:pStyle w:val="References"/>
      </w:pPr>
      <w:r>
        <w:t xml:space="preserve">[1] Langer R. Drug Delivery and Targeting. Nature. 1998;392(6679 Suppl):5-10.</w:t>
      </w:r>
    </w:p>
    <w:p>
      <w:pPr>
        <w:pStyle w:val="References"/>
      </w:pPr>
      <w:r>
        <w:t xml:space="preserve">[2] Tiwari G, Tiwari R, Sriwastawa B, et al. Drug Delivery Systems: An Updated Review. International Journal of Pharmaceutical Investigation. 2012;2(1):2-11.</w:t>
      </w:r>
    </w:p>
    <w:p>
      <w:pPr>
        <w:pStyle w:val="References"/>
      </w:pPr>
      <w:r>
        <w:t xml:space="preserve">[3] Siepmann J, Siepmann F. Modeling of Diffusion Controlled Drug Delivery. Journal of Controlled Release. 2012;161(2):351-362.</w:t>
      </w:r>
    </w:p>
    <w:p>
      <w:pPr>
        <w:pStyle w:val="References"/>
      </w:pPr>
      <w:r>
        <w:t xml:space="preserve">[4] Siepmann J, Siepmann F. Mathematical Modeling of Drug Delivery. International Journal of Pharmaceutics. 2008;364(2):328-343.</w:t>
      </w:r>
    </w:p>
    <w:p>
      <w:pPr>
        <w:pStyle w:val="References"/>
      </w:pPr>
      <w:r>
        <w:t xml:space="preserve">[5] Savjani KT, Gajjar AK, Savjani JK. Drug Solubility: Importance and Enhancement Techniques. ISRN Pharmaceutics. 2012;2012:195727.</w:t>
      </w:r>
    </w:p>
    <w:p>
      <w:pPr>
        <w:pStyle w:val="References"/>
      </w:pPr>
      <w:r>
        <w:t xml:space="preserve">[6] Leo A, Hansch C, Elkins D. Partition Coefficients and Their Uses. Chemical Reviews. 1971;71(6):525-616.</w:t>
      </w:r>
    </w:p>
    <w:p>
      <w:pPr>
        <w:pStyle w:val="References"/>
      </w:pPr>
      <w:r>
        <w:t xml:space="preserve">[7] Di L, Kerns EH, Carter GT. Drug-Like Property Concepts in Pharmaceutical Design. Current Pharmaceutical Design. 2009;15(19):2184-2194.</w:t>
      </w:r>
    </w:p>
    <w:p>
      <w:pPr>
        <w:pStyle w:val="References"/>
      </w:pPr>
      <w:r>
        <w:t xml:space="preserve">[8] Amidon GL, Lennernas H, Shah VP, Crison JR. A Theoretical Basis for a Biopharmaceutic Drug Classification: The Correlation of In Vitro Drug Product Dissolution and In Vivo Bioavailability. Pharmaceutical Research. 1995;12(3):413-420.</w:t>
      </w:r>
    </w:p>
    <w:p>
      <w:pPr>
        <w:pStyle w:val="References"/>
      </w:pPr>
      <w:r>
        <w:t xml:space="preserve">[9] Kawabata Y, Wada K, Nakatani M, et al. Formulation Design for Poorly Water-Soluble Drugs Based on Biopharmaceutics Classification System. International Journal of Pharmaceutics. 2011;420(1):1-10.</w:t>
      </w:r>
    </w:p>
    <w:p>
      <w:pPr>
        <w:pStyle w:val="References"/>
      </w:pPr>
      <w:r>
        <w:t xml:space="preserve">[10] Lipinski CA, Lombardo F, Dominy BW, Feeney PJ. Experimental and Computational Approaches to Estimate Solubility and Permeability in Drug Discovery and Development Settings. Advanced Drug Delivery Reviews. 2001;46(1-3):3-26.</w:t>
      </w:r>
    </w:p>
    <w:p>
      <w:pPr>
        <w:pStyle w:val="References"/>
      </w:pPr>
      <w:r>
        <w:t xml:space="preserve">[11] Homayun B, Lin X, Choi HJ. Challenges and Recent Progress in Oral Drug Delivery Systems for Biopharmaceuticals. Pharmaceutics. 2019;11(3):129.</w:t>
      </w:r>
    </w:p>
    <w:p>
      <w:pPr>
        <w:pStyle w:val="References"/>
      </w:pPr>
      <w:r>
        <w:t xml:space="preserve">[12] Zhao L, Seth A, Wibowo N, et al. Nanoparticle Vaccines. Vaccine. 2014;32(3):327-337.</w:t>
      </w:r>
    </w:p>
    <w:p>
      <w:pPr>
        <w:pStyle w:val="References"/>
      </w:pPr>
      <w:r>
        <w:t xml:space="preserve">[13] Prausnitz MR, Langer R. Transdermal Drug Delivery. Nature Biotechnology. 2008;26(11):1261-1268.</w:t>
      </w:r>
    </w:p>
    <w:p>
      <w:pPr>
        <w:pStyle w:val="References"/>
      </w:pPr>
      <w:r>
        <w:t xml:space="preserve">[14] Pardridge WM. The Blood-Brain Barrier: Bottleneck in Brain Drug Development. NeuroRx. 2005;2(1):3-14.</w:t>
      </w:r>
    </w:p>
    <w:p>
      <w:pPr>
        <w:pStyle w:val="References"/>
      </w:pPr>
      <w:r>
        <w:t xml:space="preserve">[15] Mitragotri S, Burke PA, Langer R. Overcoming the Challenges in Administering Biopharmaceuticals: Formulation and Delivery Strategies. Nature Reviews Drug Discovery. 2014;13(9):655-672.</w:t>
      </w:r>
    </w:p>
    <w:p>
      <w:pPr>
        <w:pStyle w:val="References"/>
      </w:pPr>
      <w:r>
        <w:t xml:space="preserve">[16] Jones HM, Rowland-Yeo K. Basic Concepts in Physiologically Based Pharmacokinetic Modeling in Drug Discovery and Development. CPT: Pharmacometrics &amp; Systems Pharmacology. 2013;2(8):e63.</w:t>
      </w:r>
    </w:p>
    <w:p>
      <w:pPr>
        <w:pStyle w:val="References"/>
      </w:pPr>
      <w:r>
        <w:t xml:space="preserve">[17] Rowland M, Tozer TN. Clinical Pharmacokinetics and Pharmacodynamics: Concepts and Applications. 4th ed. Philadelphia: Lippincott Williams &amp; Wilkins; 2011.</w:t>
      </w:r>
    </w:p>
    <w:p>
      <w:pPr>
        <w:pStyle w:val="References"/>
      </w:pPr>
      <w:r>
        <w:t xml:space="preserve">[18] Chow SC. Bioavailability and Bioequivalence in Drug Development. Wiley Interdisciplinary Reviews: Computational Statistics. 2014;6(4):304-312.</w:t>
      </w:r>
    </w:p>
    <w:p>
      <w:pPr>
        <w:pStyle w:val="References"/>
      </w:pPr>
      <w:r>
        <w:t xml:space="preserve">[19] Emami J. In Vitro-In Vivo Correlation: From Theory to Applications. Journal of Pharmacy and Pharmaceutical Sciences. 2006;9(2):169-189.</w:t>
      </w:r>
    </w:p>
    <w:p>
      <w:pPr>
        <w:pStyle w:val="References"/>
      </w:pPr>
      <w:r>
        <w:t xml:space="preserve">[20] Ulery BD, Nair LS, Laurencin CT. Biomedical Applications of Biodegradable Polymers. Journal of Polymer Science Part B: Polymer Physics. 2011;49(12):832-864.</w:t>
      </w:r>
    </w:p>
    <w:p>
      <w:pPr>
        <w:pStyle w:val="References"/>
      </w:pPr>
      <w:r>
        <w:t xml:space="preserve">[21] Makadia HK, Siegel SJ. Poly Lactic-co-Glycolic Acid (PLGA) as Biodegradable Controlled Drug Delivery Carrier. Polymers. 2011;3(3):1377-1397.</w:t>
      </w:r>
    </w:p>
    <w:p>
      <w:pPr>
        <w:pStyle w:val="References"/>
      </w:pPr>
      <w:r>
        <w:t xml:space="preserve">[22] Allen TM, Cullis PR. Liposomal Drug Delivery Systems: From Concept to Clinical Applications. Advanced Drug Delivery Reviews. 2013;65(1):36-48.</w:t>
      </w:r>
    </w:p>
    <w:p>
      <w:pPr>
        <w:pStyle w:val="References"/>
      </w:pPr>
      <w:r>
        <w:t xml:space="preserve">[23] Tibbitt MW, Dahlman JE, Langer R. Emerging Frontiers in Drug Delivery. Journal of the American Chemical Society. 2016;138(3):704-717.</w:t>
      </w:r>
    </w:p>
    <w:p>
      <w:pPr>
        <w:pStyle w:val="References"/>
      </w:pPr>
      <w:r>
        <w:t xml:space="preserve">[24] Peppas NA, Hilt JZ, Khademhosseini A, Langer R. Hydrogels in Biology and Medicine: From Molecular Principles to Bionanotechnology. Advanced Materials. 2006;18(11):1345-1360.</w:t>
      </w:r>
    </w:p>
    <w:p>
      <w:pPr>
        <w:pStyle w:val="References"/>
      </w:pPr>
      <w:r>
        <w:t xml:space="preserve">[25] Nel A, Xia T, Madler L, Li N. Toxic Potential of Materials at the Nanolevel. Science. 2006;311(5761):622-627.</w:t>
      </w:r>
    </w:p>
    <w:p>
      <w:pPr>
        <w:pStyle w:val="References"/>
      </w:pPr>
      <w:r>
        <w:t xml:space="preserve">[26] Langer R, Peppas NA. Advances in Biomaterials, Drug Delivery, and Bionanotechnology. AIChE Journal. 2003;49(12):2990-3006.</w:t>
      </w:r>
    </w:p>
    <w:p>
      <w:pPr>
        <w:pStyle w:val="References"/>
      </w:pPr>
      <w:r>
        <w:t xml:space="preserve">[27] Yun YH, Lee BK, Park K. Controlled Drug Delivery: Historical Perspective for the Next Generation. Journal of Controlled Release. 2015;219:2-7.</w:t>
      </w:r>
    </w:p>
    <w:p>
      <w:pPr>
        <w:pStyle w:val="References"/>
      </w:pPr>
      <w:r>
        <w:t xml:space="preserve">[28] Uhrich KE, Cannizzaro SM, Langer RS, Shakesheff KM. Polymeric Systems for Controlled Drug Release. Chemical Reviews. 1999;99(11):3181-3198.</w:t>
      </w:r>
    </w:p>
    <w:p>
      <w:pPr>
        <w:pStyle w:val="References"/>
      </w:pPr>
      <w:r>
        <w:t xml:space="preserve">[29] Kamaly N, Yameen B, Wu J, Farokhzad OC. Degradable Controlled-Release Polymers and Polymeric Nanoparticles: Mechanisms of Controlling Drug Release. Chemical Reviews. 2016;116(4):2602-2663.</w:t>
      </w:r>
    </w:p>
    <w:p>
      <w:pPr>
        <w:pStyle w:val="References"/>
      </w:pPr>
      <w:r>
        <w:t xml:space="preserve">[30] Crank J. The Mathematics of Diffusion. 2nd ed. Oxford: Clarendon Press; 1975.</w:t>
      </w:r>
    </w:p>
    <w:p>
      <w:pPr>
        <w:pStyle w:val="References"/>
      </w:pPr>
      <w:r>
        <w:t xml:space="preserve">[31] Higuchi T. Mechanism of Sustained-Action Medication: Theoretical Analysis of Rate of Release of Solid Drugs Dispersed in Solid Matrices. Journal of Pharmaceutical Sciences. 1963;52(12):1145-1149.</w:t>
      </w:r>
    </w:p>
    <w:p>
      <w:pPr>
        <w:pStyle w:val="References"/>
      </w:pPr>
      <w:r>
        <w:t xml:space="preserve">[32] Korsmeyer RW, Gurny R, Doelker E, et al. Mechanisms of Solute Release from Porous Hydrophilic Polymers. International Journal of Pharmaceutics. 1983;15(1):25-35.</w:t>
      </w:r>
    </w:p>
    <w:p>
      <w:pPr>
        <w:pStyle w:val="References"/>
      </w:pPr>
      <w:r>
        <w:t xml:space="preserve">[33] Siepmann J, Peppas NA. Modeling of Drug Release from Delivery Systems Based on Hydroxypropyl Methylcellulose (HPMC). Advanced Drug Delivery Reviews. 2001;48(2-3):139-157.</w:t>
      </w:r>
    </w:p>
    <w:p>
      <w:pPr>
        <w:pStyle w:val="References"/>
      </w:pPr>
      <w:r>
        <w:t xml:space="preserve">[34] Verma RK, Krishna DM, Garg S. Formulation Aspects in the Development of Osmotically Controlled Oral Drug Delivery Systems. Journal of Controlled Release. 2002;79(1-3):7-27.</w:t>
      </w:r>
    </w:p>
    <w:p>
      <w:pPr>
        <w:pStyle w:val="References"/>
      </w:pPr>
      <w:r>
        <w:t xml:space="preserve">[35] Peppas NA, Narasimhan B. Mathematical Models in Drug Delivery: How Modeling Has Shaped the Way We Design New Drug Delivery Systems. Journal of Controlled Release. 2014;190:75-81.</w:t>
      </w:r>
    </w:p>
    <w:p>
      <w:pPr>
        <w:pStyle w:val="References"/>
      </w:pPr>
      <w:r>
        <w:t xml:space="preserve">[36] Mura S, Nicolas J, Couvreur P. Stimuli-Responsive Nanocarriers for Drug Delivery. Nature Materials. 2013;12(11):991-1003.</w:t>
      </w:r>
    </w:p>
    <w:p>
      <w:pPr>
        <w:pStyle w:val="References"/>
      </w:pPr>
      <w:r>
        <w:t xml:space="preserve">[37] Fu Y, Kao WJ. Drug Release Kinetics and Transport Mechanisms of Non-Degradable and Degradable Polymeric Delivery Systems. Expert Opinion on Drug Delivery. 2010;7(4):429-444.</w:t>
      </w:r>
    </w:p>
    <w:p>
      <w:pPr>
        <w:pStyle w:val="References"/>
      </w:pPr>
      <w:r>
        <w:t xml:space="preserve">[38] Veiseh O, Tang BC, Whitehead KA, et al. Managing Diabetes with Nanomedicine: Challenges and Opportunities. Nature Reviews Drug Discovery. 2015;14(1):45-57.</w:t>
      </w:r>
    </w:p>
    <w:p>
      <w:pPr>
        <w:pStyle w:val="References"/>
      </w:pPr>
      <w:r>
        <w:t xml:space="preserve">[39] Wang Y, Kohane DS. External Triggering and Triggered Targeting Strategies for Drug Delivery. Nature Reviews Materials. 2017;2(6):17020.</w:t>
      </w:r>
    </w:p>
    <w:p>
      <w:pPr>
        <w:pStyle w:val="References"/>
      </w:pPr>
      <w:r>
        <w:t xml:space="preserve">[40] Siepmann J, Siepmann F. Sink Conditions Do Not Guarantee the Absence of Saturation Effects. International Journal of Pharmaceutics. 2020;577:119009.</w:t>
      </w:r>
    </w:p>
    <w:p>
      <w:pPr>
        <w:pStyle w:val="References"/>
      </w:pPr>
      <w:r>
        <w:t xml:space="preserve">[41] Peppas NA, Sahlin JJ. A Simple Equation for the Description of Solute Release. III. Coupling of Diffusion and Relaxation. International Journal of Pharmaceutics. 1989;57(2):169-172.</w:t>
      </w:r>
    </w:p>
    <w:p>
      <w:pPr>
        <w:pStyle w:val="References"/>
      </w:pPr>
      <w:r>
        <w:t xml:space="preserve">[42] Blanco E, Shen H, Ferrari M. Principles of Nanoparticle Design for Overcoming Biological Barriers to Drug Delivery. Nature Biotechnology. 2015;33(9):941-951.</w:t>
      </w:r>
    </w:p>
    <w:p>
      <w:pPr>
        <w:pStyle w:val="References"/>
      </w:pPr>
      <w:r>
        <w:t xml:space="preserve">[43] Suk JS, Xu Q, Kim N, et al. PEGylation as a Strategy for Improving Nanoparticle-Based Drug and Gene Delivery. Advanced Drug Delivery Reviews. 2016;99:28-51.</w:t>
      </w:r>
    </w:p>
    <w:p>
      <w:pPr>
        <w:pStyle w:val="References"/>
      </w:pPr>
      <w:r>
        <w:t xml:space="preserve">[44] Hou X, Zaks T, Langer R, Dong Y. Lipid Nanoparticles for mRNA Delivery. Nature Reviews Materials. 2021;6(12):1078-1094.</w:t>
      </w:r>
    </w:p>
    <w:p>
      <w:pPr>
        <w:pStyle w:val="References"/>
      </w:pPr>
      <w:r>
        <w:t xml:space="preserve">[45] Wilhelm S, Tavares AJ, Dai Q, et al. Analysis of Nanoparticle Delivery to Tumours. Nature Reviews Materials. 2016;1(5):16014.</w:t>
      </w:r>
    </w:p>
    <w:p>
      <w:pPr>
        <w:pStyle w:val="References"/>
      </w:pPr>
      <w:r>
        <w:t xml:space="preserve">[46] Bertrand N, Wu J, Xu X, et al. Cancer Nanotechnology: The Impact of Passive and Active Targeting in the Era of Modern Cancer Biology. Advanced Drug Delivery Reviews. 2014;66:2-25.</w:t>
      </w:r>
    </w:p>
    <w:p>
      <w:pPr>
        <w:pStyle w:val="References"/>
      </w:pPr>
      <w:r>
        <w:t xml:space="preserve">[47] Sun C, Lee JSH, Zhang M. Magnetic Nanoparticles in MR Imaging and Drug Delivery. Advanced Drug Delivery Reviews. 2008;60(11):1252-1265.</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9_1_Compartmental_PK.png"/>
  <Relationship Id="rIdImg2" Type="http://schemas.openxmlformats.org/officeDocument/2006/relationships/image" Target="media/Figure_9_2_Device_Geometries.png"/>
  <Relationship Id="rIdImg3" Type="http://schemas.openxmlformats.org/officeDocument/2006/relationships/image" Target="media/Figure_9_3_Release_Models.png"/>
  <Relationship Id="rIdImg4" Type="http://schemas.openxmlformats.org/officeDocument/2006/relationships/image" Target="media/Figure_9_4_Modelling_Workflow.png"/>
</Relationships>
</file>