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Circular Economy and Recyclable 3D Printed Materials</w:t>
      </w:r>
    </w:p>
    <w:p>
      <w:pPr>
        <w:pStyle w:val="Heading1"/>
      </w:pPr>
      <w:r>
        <w:t xml:space="preserve">Abstract</w:t>
      </w:r>
    </w:p>
    <w:p>
      <w:pPr>
        <w:pStyle w:val="Abstract"/>
      </w:pPr>
      <w:r>
        <w:t xml:space="preserve">Additive manufacturing, popularly known as three-dimensional (3D) printing, has evolved from a rapid-prototyping novelty into a mainstream production technology that is reshaping how products are designed, fabricated, and delivered. Yet the rapid diffusion of this technology has amplified concerns about material consumption, printing waste, and the environmental burden of virgin polymer feedstocks. This chapter examines the intersection of circular economy principles and additive manufacturing, arguing that recyclable and bio-based printing materials, combined with closed-loop processing and life-cycle thinking, can transform 3D printing into a genuinely sustainable production paradigm. The discussion moves from the foundational principles of circular manufacturing through the materials science of recyclable thermoplastics, recycled composite filaments, and advanced multifunctional materials, before turning to circular applications in design for disassembly, remanufacturing, and repair. Industrial case studies across automotive, aerospace, construction, medical, and consumer sectors illustrate how recycled feedstocks perform under real-world conditions. The chapter closes with a forward-looking analysis of digital enablers such as artificial intelligence, digital twins, and material passports, alongside emerging circular business models, evolving standards, and future research directions aimed at zero-waste and climate-neutral manufacturing. Throughout, mechanical performance, economic viability, and environmental impact are treated as inseparable dimensions of a credible circular strategy. The synthesis presented here is intended to guide researchers, engineers, and policymakers seeking to embed circularity into the practice of additive manufacturing.</w:t>
      </w:r>
    </w:p>
    <w:p>
      <w:pPr>
        <w:pStyle w:val="Heading1"/>
      </w:pPr>
      <w:r>
        <w:t xml:space="preserve">Section 1: Fundamentals of Circular Economy in 3D Printing</w:t>
      </w:r>
    </w:p>
    <w:p>
      <w:pPr>
        <w:pStyle w:val="Heading2"/>
      </w:pPr>
      <w:r>
        <w:t xml:space="preserve">1.1 Principles of Circular Manufacturing</w:t>
      </w:r>
    </w:p>
    <w:p>
      <w:pPr>
        <w:pStyle w:val="Normal"/>
      </w:pPr>
      <w:r>
        <w:t xml:space="preserve">The circular economy is a systemic framework that decouples economic activity from the consumption of finite resources by designing waste out of production and keeping materials in use for as long as possible [1]. Unlike the conventional linear model, in which raw materials are extracted, converted into products, and ultimately discarded, circular manufacturing aims to close, slow, and narrow material loops so that resources circulate continuously through cascading cycles of use, reuse, and regeneration [2]. The three widely cited pillars of the circular economy — designing out waste and pollution, keeping products and materials in use, and regenerating natural systems — provide a conceptual scaffold that maps naturally onto the capabilities of additive manufacturing [3].</w:t>
      </w:r>
    </w:p>
    <w:p>
      <w:pPr>
        <w:pStyle w:val="Normal"/>
      </w:pPr>
      <w:r>
        <w:t xml:space="preserve">Additive manufacturing is uniquely positioned to advance circular objectives because it builds objects layer by layer directly from digital models, adding material only where it is structurally required. This near-net-shape fabrication contrasts sharply with subtractive machining, where a substantial fraction of the starting billet is removed as swarf. Consequently, additive processes can dramatically reduce the buy-to-fly ratio, the mass of raw material purchased relative to the mass of the finished part, especially for geometrically complex components [4]. Resource efficiency is therefore embedded in the process itself rather than being an afterthought.</w:t>
      </w:r>
    </w:p>
    <w:p>
      <w:pPr>
        <w:pStyle w:val="Normal"/>
      </w:pPr>
      <w:r>
        <w:t xml:space="preserve">Beyond raw efficiency, additive manufacturing enables three additional circular levers. First, it supports material recovery by allowing failed prints, support structures, and end-of-life parts to be reground and reprocessed into new feedstock. Second, it facilitates localized and on-demand production, which shortens supply chains and reduces the inventory and transport emissions associated with mass production and warehousing [5]. Third, it enables design freedom that permits lightweighting, part consolidation, and functional integration, all of which lower lifetime material and energy demand. The transition from linear to closed-loop production thus depends not only on recycling technologies but on rethinking the entire product architecture around reuse and recovery [6].</w:t>
      </w:r>
    </w:p>
    <w:p>
      <w:pPr>
        <w:pStyle w:val="Normal"/>
      </w:pPr>
      <w:r>
        <w:t xml:space="preserve">It is important to distinguish between the three complementary strategies that give the circular economy its structure. Narrowing loops reduces the quantity of material and energy required to deliver a given function, and additive manufacturing contributes through topology optimization and lattice structures that place material only where mechanical analysis shows it is needed. Slowing loops extends the duration of the use phase through durability, repair, and reuse, deferring the moment at which a product becomes waste. Closing loops returns end-of-life material to production through recycling, thereby displacing the extraction of virgin resources. Additive manufacturing is unusual among production technologies in that it can act on all three strategies simultaneously, and the most compelling circular applications exploit this versatility rather than focusing narrowly on recycling alone. A mature circular strategy therefore treats recycling as the last resort within a hierarchy that prioritizes prevention, reuse, and remanufacturing, reserving material recovery for cases where higher-value retention options have been exhausted. Embedding this hierarchy into engineering decisions requires designers to think not merely about how a part will be made, but about how it will be maintained, recovered, and ultimately regenerated.</w:t>
      </w:r>
    </w:p>
    <w:p>
      <w:pPr>
        <w:pStyle w:val="Heading2"/>
      </w:pPr>
      <w:r>
        <w:t xml:space="preserve">1.2 Sustainability Challenges in 3D Printing</w:t>
      </w:r>
    </w:p>
    <w:p>
      <w:pPr>
        <w:pStyle w:val="Normal"/>
      </w:pPr>
      <w:r>
        <w:t xml:space="preserve">Despite its circular potential, 3D printing carries its own sustainability liabilities that must be acknowledged and managed. Material consumption in fused filament fabrication, for example, is inflated by the routine generation of support structures, rafts, brims, and purge material during nozzle priming and color changes. Failed prints, which can consume hours of material and energy before a defect becomes apparent, represent a further source of avoidable waste [7]. Studies of desktop and industrial printer fleets have reported that support and waste material can constitute a significant share of total polymer throughput, undermining the resource-efficiency narrative if left unaddressed [8].</w:t>
      </w:r>
    </w:p>
    <w:p>
      <w:pPr>
        <w:pStyle w:val="Normal"/>
      </w:pPr>
      <w:r>
        <w:t xml:space="preserve">Energy consumption is a second concern. Powder-bed fusion and other high-temperature processes maintain elevated chamber temperatures for extended build times, consuming substantial electricity per kilogram of finished part. Even relatively low-power extrusion processes can exhibit poor energy efficiency when normalized to the small mass of deposited material, because heated beds, motors, and control electronics draw power throughout long builds [9]. The environmental impact of this energy depends heavily on the carbon intensity of the local electricity grid, meaning that identical machines can have markedly different footprints depending on where they operate [10].</w:t>
      </w:r>
    </w:p>
    <w:p>
      <w:pPr>
        <w:pStyle w:val="Normal"/>
      </w:pPr>
      <w:r>
        <w:t xml:space="preserve">End-of-life management poses a third challenge. Many printed thermoplastics are technically recyclable, yet in practice they enter mixed municipal waste streams where they are difficult to identify, sort, and recover. Composite and multi-material prints are especially problematic because the intimate combination of polymer matrix and reinforcing phase resists clean separation [11]. Volatile organic compound emissions and ultrafine particle release during printing add occupational and indoor-air-quality dimensions to the sustainability picture. A holistic assessment must therefore weigh these burdens against the efficiency gains rather than assuming that additive manufacturing is inherently green.</w:t>
      </w:r>
    </w:p>
    <w:p>
      <w:pPr>
        <w:pStyle w:val="Normal"/>
      </w:pPr>
      <w:r>
        <w:t xml:space="preserve">A further subtlety concerns the scale and context of production. Desktop and distributed printing, often celebrated for democratizing manufacturing, can suffer from low utilization and inconsistent process control, which inflate the per-part energy and waste burden. Industrial systems, by contrast, achieve better economies of scale but embody greater capital and maintenance impacts. The environmental balance is therefore not fixed but shifts with utilization rate, part complexity, batch size, and the maturity of the surrounding recycling infrastructure. Rebound effects also merit attention: the very ease of printing can encourage the fabrication of unnecessary objects, trinkets, and short-lived items whose cumulative impact erodes the efficiency gains achieved elsewhere. Recognizing these countervailing forces is essential to an honest appraisal, because the sustainability of additive manufacturing is ultimately determined by how the technology is deployed rather than by any intrinsic property of the process. Practitioners who internalize this lesson design their workflows to minimize failed prints, consolidate builds, recover support material, and favor durable, functional applications over disposable novelties.</w:t>
      </w:r>
    </w:p>
    <w:p>
      <w:pPr>
        <w:pStyle w:val="Heading2"/>
      </w:pPr>
      <w:r>
        <w:t xml:space="preserve">1.3 Recyclable and Bio-Based Printing Materials</w:t>
      </w:r>
    </w:p>
    <w:p>
      <w:pPr>
        <w:pStyle w:val="Normal"/>
      </w:pPr>
      <w:r>
        <w:t xml:space="preserve">The material palette available to additive manufacturing has expanded rapidly, and material selection is now one of the most consequential circularity decisions a designer can make. Recyclable thermoplastics form the backbone of sustainable extrusion-based printing. Acrylonitrile butadiene styrene (ABS), polyethylene terephthalate glycol (PETG), and polypropylene are amenable to mechanical recycling because they soften and reflow on heating without irreversible chemical breakdown, allowing multiple reprocessing cycles [12]. Polymer composites that combine these matrices with recyclable or renewable reinforcements extend the property envelope while preserving recoverability.</w:t>
      </w:r>
    </w:p>
    <w:p>
      <w:pPr>
        <w:pStyle w:val="Normal"/>
      </w:pPr>
      <w:r>
        <w:t xml:space="preserve">Bio-based and biodegradable feedstocks constitute a complementary strategy. Polylactic acid (PLA), derived from fermented plant sugars, is the most widely used bio-derived filament and offers low printing temperatures and good dimensional stability [13]. Under industrial composting conditions, PLA can biodegrade, although home-composting performance is limited and unmanaged environmental degradation is slow. Other bio-derived and biodegradable polymers, including polyhydroxyalkanoates and starch blends, are emerging as candidates for applications where end-of-life biodegradation is genuinely achievable [14].</w:t>
      </w:r>
    </w:p>
    <w:p>
      <w:pPr>
        <w:pStyle w:val="Normal"/>
      </w:pPr>
      <w:r>
        <w:t xml:space="preserve">Material selection for circularity must balance printability, mechanical performance, recyclability, and environmental profile. A recyclable polymer that requires energy-intensive processing or degrades sharply after a single cycle may be less circular than a bio-based alternative with a favorable end-of-life pathway. As summarized in Table 1, no single material dominates across all criteria, and rational selection requires weighing the trade-offs against the intended service life and disposal route of the product [15]. This multi-criteria perspective discourages the simplistic assumption that any bio-based or recyclable label automatically confers superior sustainability.</w:t>
      </w:r>
    </w:p>
    <w:p>
      <w:pPr>
        <w:pStyle w:val="Normal"/>
      </w:pPr>
      <w:r>
        <w:t xml:space="preserve">The comparison in Table 1 reinforces this point, since the highest-performing options on one axis, such as mechanical robustness, are rarely the strongest on another, such as biodegradability. The distinction between bio-based origin and biodegradability is a common source of confusion that deserves clarification. A material can be bio-based yet non-biodegradable, as in the case of bio-derived polyethylene, or petroleum-derived yet compostable under specific conditions. PLA occupies an intermediate position: it is both bio-based and biodegradable, but only under the elevated temperatures and controlled humidity of industrial composting facilities, which are not universally available. This means that a PLA part discarded into a landfill or the natural environment may persist for a very long time, undermining the intuitive assumption that a plant-derived plastic is automatically benign. Similarly, the recyclability of a material in principle does not guarantee its recycling in practice, which depends on the existence of collection systems, sorting infrastructure, and end markets for the recyclate. These caveats reinforce the central message that material selection for circularity is a systems decision, contingent on the infrastructure and end-of-life pathways actually accessible to the product, rather than a property that can be read off a datasheet in isolation.</w:t>
      </w:r>
    </w:p>
    <w:p>
      <w:pPr>
        <w:pStyle w:val="TableCaption"/>
      </w:pPr>
      <w:r>
        <w:t xml:space="preserve">Table 1: Comparative properties and circularity attributes of common 3D printing polymers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vAlign w:val="center"/>
          </w:tcPr>
          <w:p>
            <w:pPr>
              <w:jc w:val="center"/>
              <w:spacing w:after="20" w:line="240" w:lineRule="auto"/>
            </w:pPr>
            <w:r>
              <w:rPr>
                <w:b/>
              </w:rPr>
              <w:t xml:space="preserve">Material</w:t>
            </w:r>
          </w:p>
        </w:tc>
        <w:tc>
          <w:tcPr>
            <w:tcW w:w="1872" w:type="dxa"/>
            <w:shd w:val="clear" w:color="auto" w:fill="D9E2F3"/>
            <w:vAlign w:val="center"/>
          </w:tcPr>
          <w:p>
            <w:pPr>
              <w:jc w:val="center"/>
              <w:spacing w:after="20" w:line="240" w:lineRule="auto"/>
            </w:pPr>
            <w:r>
              <w:rPr>
                <w:b/>
              </w:rPr>
              <w:t xml:space="preserve">Origin</w:t>
            </w:r>
          </w:p>
        </w:tc>
        <w:tc>
          <w:tcPr>
            <w:tcW w:w="1872" w:type="dxa"/>
            <w:shd w:val="clear" w:color="auto" w:fill="D9E2F3"/>
            <w:vAlign w:val="center"/>
          </w:tcPr>
          <w:p>
            <w:pPr>
              <w:jc w:val="center"/>
              <w:spacing w:after="20" w:line="240" w:lineRule="auto"/>
            </w:pPr>
            <w:r>
              <w:rPr>
                <w:b/>
              </w:rPr>
              <w:t xml:space="preserve">Recyclability</w:t>
            </w:r>
          </w:p>
        </w:tc>
        <w:tc>
          <w:tcPr>
            <w:tcW w:w="1872" w:type="dxa"/>
            <w:shd w:val="clear" w:color="auto" w:fill="D9E2F3"/>
            <w:vAlign w:val="center"/>
          </w:tcPr>
          <w:p>
            <w:pPr>
              <w:jc w:val="center"/>
              <w:spacing w:after="20" w:line="240" w:lineRule="auto"/>
            </w:pPr>
            <w:r>
              <w:rPr>
                <w:b/>
              </w:rPr>
              <w:t xml:space="preserve">End-of-Life Route</w:t>
            </w:r>
          </w:p>
        </w:tc>
        <w:tc>
          <w:tcPr>
            <w:tcW w:w="1872" w:type="dxa"/>
            <w:shd w:val="clear" w:color="auto" w:fill="D9E2F3"/>
            <w:vAlign w:val="center"/>
          </w:tcPr>
          <w:p>
            <w:pPr>
              <w:jc w:val="center"/>
              <w:spacing w:after="20" w:line="240" w:lineRule="auto"/>
            </w:pPr>
            <w:r>
              <w:rPr>
                <w:b/>
              </w:rPr>
              <w:t xml:space="preserve">Typical Application</w:t>
            </w:r>
          </w:p>
        </w:tc>
      </w:tr>
      <w:tr>
        <w:tc>
          <w:tcPr>
            <w:tcW w:w="1872" w:type="dxa"/>
            <w:vAlign w:val="center"/>
          </w:tcPr>
          <w:p>
            <w:pPr>
              <w:spacing w:after="20" w:line="240" w:lineRule="auto"/>
            </w:pPr>
            <w:r>
              <w:t xml:space="preserve">PLA</w:t>
            </w:r>
          </w:p>
        </w:tc>
        <w:tc>
          <w:tcPr>
            <w:tcW w:w="1872" w:type="dxa"/>
            <w:vAlign w:val="center"/>
          </w:tcPr>
          <w:p>
            <w:pPr>
              <w:spacing w:after="20" w:line="240" w:lineRule="auto"/>
            </w:pPr>
            <w:r>
              <w:t xml:space="preserve">Bio-based</w:t>
            </w:r>
          </w:p>
        </w:tc>
        <w:tc>
          <w:tcPr>
            <w:tcW w:w="1872" w:type="dxa"/>
            <w:vAlign w:val="center"/>
          </w:tcPr>
          <w:p>
            <w:pPr>
              <w:spacing w:after="20" w:line="240" w:lineRule="auto"/>
            </w:pPr>
            <w:r>
              <w:t xml:space="preserve">Moderate</w:t>
            </w:r>
          </w:p>
        </w:tc>
        <w:tc>
          <w:tcPr>
            <w:tcW w:w="1872" w:type="dxa"/>
            <w:vAlign w:val="center"/>
          </w:tcPr>
          <w:p>
            <w:pPr>
              <w:spacing w:after="20" w:line="240" w:lineRule="auto"/>
            </w:pPr>
            <w:r>
              <w:t xml:space="preserve">Industrial compost / mechanical</w:t>
            </w:r>
          </w:p>
        </w:tc>
        <w:tc>
          <w:tcPr>
            <w:tcW w:w="1872" w:type="dxa"/>
            <w:vAlign w:val="center"/>
          </w:tcPr>
          <w:p>
            <w:pPr>
              <w:spacing w:after="20" w:line="240" w:lineRule="auto"/>
            </w:pPr>
            <w:r>
              <w:t xml:space="preserve">Prototypes, consumer goods</w:t>
            </w:r>
          </w:p>
        </w:tc>
      </w:tr>
      <w:tr>
        <w:tc>
          <w:tcPr>
            <w:tcW w:w="1872" w:type="dxa"/>
            <w:vAlign w:val="center"/>
          </w:tcPr>
          <w:p>
            <w:pPr>
              <w:spacing w:after="20" w:line="240" w:lineRule="auto"/>
            </w:pPr>
            <w:r>
              <w:t xml:space="preserve">ABS</w:t>
            </w:r>
          </w:p>
        </w:tc>
        <w:tc>
          <w:tcPr>
            <w:tcW w:w="1872" w:type="dxa"/>
            <w:vAlign w:val="center"/>
          </w:tcPr>
          <w:p>
            <w:pPr>
              <w:spacing w:after="20" w:line="240" w:lineRule="auto"/>
            </w:pPr>
            <w:r>
              <w:t xml:space="preserve">Petroleum</w:t>
            </w:r>
          </w:p>
        </w:tc>
        <w:tc>
          <w:tcPr>
            <w:tcW w:w="1872" w:type="dxa"/>
            <w:vAlign w:val="center"/>
          </w:tcPr>
          <w:p>
            <w:pPr>
              <w:spacing w:after="20" w:line="240" w:lineRule="auto"/>
            </w:pPr>
            <w:r>
              <w:t xml:space="preserve">Good</w:t>
            </w:r>
          </w:p>
        </w:tc>
        <w:tc>
          <w:tcPr>
            <w:tcW w:w="1872" w:type="dxa"/>
            <w:vAlign w:val="center"/>
          </w:tcPr>
          <w:p>
            <w:pPr>
              <w:spacing w:after="20" w:line="240" w:lineRule="auto"/>
            </w:pPr>
            <w:r>
              <w:t xml:space="preserve">Mechanical recycling</w:t>
            </w:r>
          </w:p>
        </w:tc>
        <w:tc>
          <w:tcPr>
            <w:tcW w:w="1872" w:type="dxa"/>
            <w:vAlign w:val="center"/>
          </w:tcPr>
          <w:p>
            <w:pPr>
              <w:spacing w:after="20" w:line="240" w:lineRule="auto"/>
            </w:pPr>
            <w:r>
              <w:t xml:space="preserve">Functional parts, housings</w:t>
            </w:r>
          </w:p>
        </w:tc>
      </w:tr>
      <w:tr>
        <w:tc>
          <w:tcPr>
            <w:tcW w:w="1872" w:type="dxa"/>
            <w:vAlign w:val="center"/>
          </w:tcPr>
          <w:p>
            <w:pPr>
              <w:spacing w:after="20" w:line="240" w:lineRule="auto"/>
            </w:pPr>
            <w:r>
              <w:t xml:space="preserve">PETG</w:t>
            </w:r>
          </w:p>
        </w:tc>
        <w:tc>
          <w:tcPr>
            <w:tcW w:w="1872" w:type="dxa"/>
            <w:vAlign w:val="center"/>
          </w:tcPr>
          <w:p>
            <w:pPr>
              <w:spacing w:after="20" w:line="240" w:lineRule="auto"/>
            </w:pPr>
            <w:r>
              <w:t xml:space="preserve">Petroleum</w:t>
            </w:r>
          </w:p>
        </w:tc>
        <w:tc>
          <w:tcPr>
            <w:tcW w:w="1872" w:type="dxa"/>
            <w:vAlign w:val="center"/>
          </w:tcPr>
          <w:p>
            <w:pPr>
              <w:spacing w:after="20" w:line="240" w:lineRule="auto"/>
            </w:pPr>
            <w:r>
              <w:t xml:space="preserve">Good</w:t>
            </w:r>
          </w:p>
        </w:tc>
        <w:tc>
          <w:tcPr>
            <w:tcW w:w="1872" w:type="dxa"/>
            <w:vAlign w:val="center"/>
          </w:tcPr>
          <w:p>
            <w:pPr>
              <w:spacing w:after="20" w:line="240" w:lineRule="auto"/>
            </w:pPr>
            <w:r>
              <w:t xml:space="preserve">Mechanical recycling</w:t>
            </w:r>
          </w:p>
        </w:tc>
        <w:tc>
          <w:tcPr>
            <w:tcW w:w="1872" w:type="dxa"/>
            <w:vAlign w:val="center"/>
          </w:tcPr>
          <w:p>
            <w:pPr>
              <w:spacing w:after="20" w:line="240" w:lineRule="auto"/>
            </w:pPr>
            <w:r>
              <w:t xml:space="preserve">Containers, mechanical parts</w:t>
            </w:r>
          </w:p>
        </w:tc>
      </w:tr>
      <w:tr>
        <w:tc>
          <w:tcPr>
            <w:tcW w:w="1872" w:type="dxa"/>
            <w:vAlign w:val="center"/>
          </w:tcPr>
          <w:p>
            <w:pPr>
              <w:spacing w:after="20" w:line="240" w:lineRule="auto"/>
            </w:pPr>
            <w:r>
              <w:t xml:space="preserve">Polypropylene</w:t>
            </w:r>
          </w:p>
        </w:tc>
        <w:tc>
          <w:tcPr>
            <w:tcW w:w="1872" w:type="dxa"/>
            <w:vAlign w:val="center"/>
          </w:tcPr>
          <w:p>
            <w:pPr>
              <w:spacing w:after="20" w:line="240" w:lineRule="auto"/>
            </w:pPr>
            <w:r>
              <w:t xml:space="preserve">Petroleum</w:t>
            </w:r>
          </w:p>
        </w:tc>
        <w:tc>
          <w:tcPr>
            <w:tcW w:w="1872" w:type="dxa"/>
            <w:vAlign w:val="center"/>
          </w:tcPr>
          <w:p>
            <w:pPr>
              <w:spacing w:after="20" w:line="240" w:lineRule="auto"/>
            </w:pPr>
            <w:r>
              <w:t xml:space="preserve">Good</w:t>
            </w:r>
          </w:p>
        </w:tc>
        <w:tc>
          <w:tcPr>
            <w:tcW w:w="1872" w:type="dxa"/>
            <w:vAlign w:val="center"/>
          </w:tcPr>
          <w:p>
            <w:pPr>
              <w:spacing w:after="20" w:line="240" w:lineRule="auto"/>
            </w:pPr>
            <w:r>
              <w:t xml:space="preserve">Mechanical recycling</w:t>
            </w:r>
          </w:p>
        </w:tc>
        <w:tc>
          <w:tcPr>
            <w:tcW w:w="1872" w:type="dxa"/>
            <w:vAlign w:val="center"/>
          </w:tcPr>
          <w:p>
            <w:pPr>
              <w:spacing w:after="20" w:line="240" w:lineRule="auto"/>
            </w:pPr>
            <w:r>
              <w:t xml:space="preserve">Living hinges, chemical-resistant parts</w:t>
            </w:r>
          </w:p>
        </w:tc>
      </w:tr>
      <w:tr>
        <w:tc>
          <w:tcPr>
            <w:tcW w:w="1872" w:type="dxa"/>
            <w:vAlign w:val="center"/>
          </w:tcPr>
          <w:p>
            <w:pPr>
              <w:spacing w:after="20" w:line="240" w:lineRule="auto"/>
            </w:pPr>
            <w:r>
              <w:t xml:space="preserve">PHA</w:t>
            </w:r>
          </w:p>
        </w:tc>
        <w:tc>
          <w:tcPr>
            <w:tcW w:w="1872" w:type="dxa"/>
            <w:vAlign w:val="center"/>
          </w:tcPr>
          <w:p>
            <w:pPr>
              <w:spacing w:after="20" w:line="240" w:lineRule="auto"/>
            </w:pPr>
            <w:r>
              <w:t xml:space="preserve">Bio-based</w:t>
            </w:r>
          </w:p>
        </w:tc>
        <w:tc>
          <w:tcPr>
            <w:tcW w:w="1872" w:type="dxa"/>
            <w:vAlign w:val="center"/>
          </w:tcPr>
          <w:p>
            <w:pPr>
              <w:spacing w:after="20" w:line="240" w:lineRule="auto"/>
            </w:pPr>
            <w:r>
              <w:t xml:space="preserve">Moderate</w:t>
            </w:r>
          </w:p>
        </w:tc>
        <w:tc>
          <w:tcPr>
            <w:tcW w:w="1872" w:type="dxa"/>
            <w:vAlign w:val="center"/>
          </w:tcPr>
          <w:p>
            <w:pPr>
              <w:spacing w:after="20" w:line="240" w:lineRule="auto"/>
            </w:pPr>
            <w:r>
              <w:t xml:space="preserve">Biodegradation</w:t>
            </w:r>
          </w:p>
        </w:tc>
        <w:tc>
          <w:tcPr>
            <w:tcW w:w="1872" w:type="dxa"/>
            <w:vAlign w:val="center"/>
          </w:tcPr>
          <w:p>
            <w:pPr>
              <w:spacing w:after="20" w:line="240" w:lineRule="auto"/>
            </w:pPr>
            <w:r>
              <w:t xml:space="preserve">Medical, single-use items</w:t>
            </w:r>
          </w:p>
        </w:tc>
      </w:tr>
      <w:tr>
        <w:tc>
          <w:tcPr>
            <w:tcW w:w="1872" w:type="dxa"/>
            <w:vAlign w:val="center"/>
          </w:tcPr>
          <w:p>
            <w:pPr>
              <w:spacing w:after="20" w:line="240" w:lineRule="auto"/>
            </w:pPr>
            <w:r>
              <w:t xml:space="preserve">Recycled PET</w:t>
            </w:r>
          </w:p>
        </w:tc>
        <w:tc>
          <w:tcPr>
            <w:tcW w:w="1872" w:type="dxa"/>
            <w:vAlign w:val="center"/>
          </w:tcPr>
          <w:p>
            <w:pPr>
              <w:spacing w:after="20" w:line="240" w:lineRule="auto"/>
            </w:pPr>
            <w:r>
              <w:t xml:space="preserve">Recycled</w:t>
            </w:r>
          </w:p>
        </w:tc>
        <w:tc>
          <w:tcPr>
            <w:tcW w:w="1872" w:type="dxa"/>
            <w:vAlign w:val="center"/>
          </w:tcPr>
          <w:p>
            <w:pPr>
              <w:spacing w:after="20" w:line="240" w:lineRule="auto"/>
            </w:pPr>
            <w:r>
              <w:t xml:space="preserve">Good</w:t>
            </w:r>
          </w:p>
        </w:tc>
        <w:tc>
          <w:tcPr>
            <w:tcW w:w="1872" w:type="dxa"/>
            <w:vAlign w:val="center"/>
          </w:tcPr>
          <w:p>
            <w:pPr>
              <w:spacing w:after="20" w:line="240" w:lineRule="auto"/>
            </w:pPr>
            <w:r>
              <w:t xml:space="preserve">Closed-loop mechanical</w:t>
            </w:r>
          </w:p>
        </w:tc>
        <w:tc>
          <w:tcPr>
            <w:tcW w:w="1872" w:type="dxa"/>
            <w:vAlign w:val="center"/>
          </w:tcPr>
          <w:p>
            <w:pPr>
              <w:spacing w:after="20" w:line="240" w:lineRule="auto"/>
            </w:pPr>
            <w:r>
              <w:t xml:space="preserve">Structural, packaging</w:t>
            </w:r>
          </w:p>
        </w:tc>
      </w:tr>
    </w:tbl>
    <w:p>
      <w:pPr>
        <w:spacing w:after="120"/>
      </w:pPr>
    </w:p>
    <w:p>
      <w:pPr>
        <w:pStyle w:val="Heading2"/>
      </w:pPr>
      <w:r>
        <w:t xml:space="preserve">1.4 Life-Cycle Thinking for Additive Manufacturing</w:t>
      </w:r>
    </w:p>
    <w:p>
      <w:pPr>
        <w:pStyle w:val="Normal"/>
      </w:pPr>
      <w:r>
        <w:t xml:space="preserve">Credible sustainability claims require quantification, and life-cycle assessment (LCA) provides the standardized methodology for evaluating environmental impact from feedstock extraction through manufacturing, use, and end-of-life [16]. Applied to additive manufacturing, LCA reveals that environmental hotspots are highly context dependent. For some parts, feedstock production dominates the footprint; for others, the electricity consumed during printing is decisive; and for still others, transport and end-of-life handling govern the outcome [17].</w:t>
      </w:r>
    </w:p>
    <w:p>
      <w:pPr>
        <w:pStyle w:val="Normal"/>
      </w:pPr>
      <w:r>
        <w:t xml:space="preserve">A robust LCA of a 3D-printed product accounts for the carbon footprint of feedstock synthesis, the energy consumed during printing and post-processing, the emissions embodied in machine manufacture amortized over its output, and the fate of the part after use. Comparative studies that pit additive manufacturing against conventional processes frequently find that the additive route wins for low-volume, complex, or lightweight parts but loses for simple high-volume components better suited to injection molding [18]. Life-cycle thinking thus discourages blanket claims and encourages case-by-case evaluation.</w:t>
      </w:r>
    </w:p>
    <w:p>
      <w:pPr>
        <w:pStyle w:val="Normal"/>
      </w:pPr>
      <w:r>
        <w:t xml:space="preserve">The value of LCA extends beyond retrospective accounting. When integrated early in design, it becomes a decision-support tool that guides material selection, process choice, and geometry optimization toward lower-impact outcomes [19]. Recycled feedstocks generally reduce the feedstock-related burden, but this benefit can be offset if reprocessing consumes significant energy or if property degradation forces oversizing of parts. Environmental evaluation from feedstock to end-of-life therefore reveals that circularity and sustainability, though closely related, are not synonymous, and that careful analysis is needed to ensure that circular strategies deliver genuine environmental benefit [20].</w:t>
      </w:r>
    </w:p>
    <w:p>
      <w:pPr>
        <w:pStyle w:val="Normal"/>
      </w:pPr>
      <w:r>
        <w:t xml:space="preserve">Methodological rigor is critical when LCA results are used to support decisions or marketing claims. The choice of functional unit, the definition of system boundaries, the allocation of impacts between co-products, and the selection of impact-assessment categories all influence the conclusions, and comparisons that neglect these choices can mislead. A study that reports only global-warming potential, for example, may overlook trade-offs in water use, eutrophication, or human toxicity that a broader assessment would reveal. Sensitivity and uncertainty analyses are therefore indispensable, particularly for recycled materials whose properties and processing energy vary widely. Furthermore, the counterfactual against which a circular scenario is compared matters enormously: recycling a material only delivers benefit if it genuinely displaces virgin production rather than adding to total consumption. When these methodological safeguards are observed, life-cycle thinking becomes a powerful instrument for steering additive manufacturing toward outcomes that are demonstrably, rather than merely rhetorically, sustainable, and it provides the evidentiary basis required for credible environmental product declarations.</w:t>
      </w:r>
    </w:p>
    <w:p>
      <w:pPr>
        <w:pStyle w:val="Heading1"/>
      </w:pPr>
      <w:r>
        <w:t xml:space="preserve">Section 2: Materials, Processing, and Recycling Technologies</w:t>
      </w:r>
    </w:p>
    <w:p>
      <w:pPr>
        <w:pStyle w:val="Heading2"/>
      </w:pPr>
      <w:r>
        <w:t xml:space="preserve">2.1 Recycling of Polymer-Based 3D Printing Materials</w:t>
      </w:r>
    </w:p>
    <w:p>
      <w:pPr>
        <w:pStyle w:val="Normal"/>
      </w:pPr>
      <w:r>
        <w:t xml:space="preserve">The recovery of common printing thermoplastics is the technical foundation of circular additive manufacturing. Mechanical recycling, in which waste polymer is shredded, washed, dried, and re-extruded into filament or pellets, is the most mature and energy-efficient route [21]. PLA, ABS, and PETG have all been successfully mechanically recycled into printable filament, and community initiatives have demonstrated that distributed recycling can convert local plastic waste into usable feedstock at modest scale [22]. Mechanical recycling preserves the polymer backbone, making it attractive from an energy standpoint, but it is sensitive to contamination and to the thermal history imposed by repeated melting.</w:t>
      </w:r>
    </w:p>
    <w:p>
      <w:pPr>
        <w:pStyle w:val="Normal"/>
      </w:pPr>
      <w:r>
        <w:t xml:space="preserve">Chemical recycling offers a complementary pathway that addresses some limitations of mechanical routes. Through depolymerization, solvolysis, or pyrolysis, chemical recycling breaks polymers down into monomers or oligomers that can be repurified and repolymerized into virgin-quality material [23]. PLA is particularly amenable to chemical recycling because it can be hydrolyzed or alcoholyzed back to lactic acid or lactide, enabling a true closed loop. However, chemical recycling is generally more energy- and capital-intensive than mechanical recycling and is therefore justified primarily where mechanical routes fail to deliver adequate quality [24].</w:t>
      </w:r>
    </w:p>
    <w:p>
      <w:pPr>
        <w:pStyle w:val="Normal"/>
      </w:pPr>
      <w:r>
        <w:t xml:space="preserve">A central concern in polymer recycling is the effect of repeated reprocessing on material properties. Each melt cycle subjects the polymer to thermal and mechanical stress that can cause chain scission, cross-linking, or oxidation, progressively lowering molecular weight and altering rheology [25]. As illustrated in Figure 1, tensile strength and elongation typically decline as the number of recycling cycles increases, though the rate of degradation varies by polymer and can be mitigated by chain extenders, stabilizers, or blending with virgin material. Understanding these degradation trajectories is essential for setting realistic limits on the number of times a given feedstock can be safely cycled [26].</w:t>
      </w:r>
    </w:p>
    <w:p>
      <w:pPr>
        <w:pStyle w:val="Normal"/>
      </w:pPr>
      <w:r>
        <w:t xml:space="preserve">The degradation mechanisms differ among the common printing polymers, and appreciating these differences guides recycling strategy. PLA is especially susceptible to hydrolytic degradation, so residual moisture during reprocessing accelerates chain scission and can markedly reduce mechanical performance; thorough drying before extrusion is therefore essential. ABS, a styrenic terpolymer, is more robust to repeated melting but is prone to thermo-oxidative yellowing and to loss of impact toughness as the butadiene phase degrades. PETG tolerates several cycles well provided it is adequately dried, since it too is sensitive to hydrolysis at extrusion temperatures. The data trend in Figure 1 captures the general pattern of gradual property erosion, but the practical implication is that recycling protocols must be tailored to the specific polymer chemistry, with appropriate drying, stabilization, and quality checks at each stage. Blending recyclate with a controlled fraction of virgin material is a widely used strategy to maintain properties within specification while still achieving meaningful recycled content, and the optimal blend ratio can be established empirically for each polymer and application.</w:t>
      </w:r>
    </w:p>
    <w:p>
      <w:pPr>
        <w:pStyle w:val="FigureImg"/>
      </w:pPr>
      <w:r>
        <w:drawing>
          <wp:inline xmlns:wp="http://schemas.openxmlformats.org/drawingml/2006/wordprocessingDrawing" distT="0" distB="0" distL="0" distR="0">
            <wp:extent cx="5486400" cy="3465094"/>
            <wp:effectExtent l="0" t="0" r="0" b="0"/>
            <wp:docPr id="100"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 1"/>
                    <pic:cNvPicPr/>
                  </pic:nvPicPr>
                  <pic:blipFill>
                    <a:blip xmlns:r="http://schemas.openxmlformats.org/officeDocument/2006/relationships" r:embed="rId100"/>
                    <a:stretch>
                      <a:fillRect/>
                    </a:stretch>
                  </pic:blipFill>
                  <pic:spPr>
                    <a:xfrm>
                      <a:off x="0" y="0"/>
                      <a:ext cx="5486400" cy="3465094"/>
                    </a:xfrm>
                    <a:prstGeom prst="rect">
                      <a:avLst/>
                    </a:prstGeom>
                  </pic:spPr>
                </pic:pic>
              </a:graphicData>
            </a:graphic>
          </wp:inline>
        </w:drawing>
      </w:r>
    </w:p>
    <w:p>
      <w:pPr>
        <w:pStyle w:val="FigureCaption"/>
      </w:pPr>
      <w:r>
        <w:t xml:space="preserve">Figure 1: Evolution of tensile strength and elongation at break for a representative thermoplastic across successive mechanical recycling cycles.</w:t>
      </w:r>
    </w:p>
    <w:p>
      <w:pPr>
        <w:pStyle w:val="Heading2"/>
      </w:pPr>
      <w:r>
        <w:t xml:space="preserve">2.2 Recycled and Reinforced Composite Filaments</w:t>
      </w:r>
    </w:p>
    <w:p>
      <w:pPr>
        <w:pStyle w:val="Normal"/>
      </w:pPr>
      <w:r>
        <w:t xml:space="preserve">Reinforced filaments extend the mechanical performance of printed parts, and incorporating recycled or renewable reinforcements aligns this performance gain with circular objectives. Recycled carbon and glass fibers recovered from end-of-life composites can be chopped and compounded into thermoplastic matrices, producing filaments with substantially higher stiffness and strength than the neat polymer [27]. Industrial waste streams such as recovered fibers, mineral fillers, and post-consumer polymer flakes can likewise be valorized into engineered feedstocks, diverting material from landfill while enhancing part performance [28].</w:t>
      </w:r>
    </w:p>
    <w:p>
      <w:pPr>
        <w:pStyle w:val="Normal"/>
      </w:pPr>
      <w:r>
        <w:t xml:space="preserve">Natural-fiber-reinforced composites represent a particularly compelling circular option because the reinforcement is renewable and biodegradable. Fibers derived from wood, hemp, flax, and agricultural residues have been compounded with PLA and other biopolymers to create fully bio-based printing materials with attractive stiffness-to-weight ratios [29]. These natural-fiber composites can lower cost and embodied carbon simultaneously, though they introduce challenges related to moisture absorption, fiber-matrix adhesion, and thermal sensitivity during processing.</w:t>
      </w:r>
    </w:p>
    <w:p>
      <w:pPr>
        <w:pStyle w:val="Normal"/>
      </w:pPr>
      <w:r>
        <w:t xml:space="preserve">Characterizing these composites is essential to their adoption. Mechanical testing quantifies tensile, flexural, and impact behavior; thermal analysis via differential scanning calorimetry and thermogravimetric analysis reveals crystallization and degradation behavior; and morphological examination using scanning electron microscopy exposes fiber dispersion, void content, and interfacial bonding quality [30]. The comparative data assembled in Table 2 show that reinforcement type and loading strongly influence the balance of stiffness, strength, and printability, underscoring the need for systematic characterization when developing recycled composite feedstocks [31].</w:t>
      </w:r>
    </w:p>
    <w:p>
      <w:pPr>
        <w:pStyle w:val="Normal"/>
      </w:pPr>
      <w:r>
        <w:t xml:space="preserve">The stiffness gains recorded in Table 2 for fiber-reinforced systems come with processing caveats that are easy to overlook. A recurring challenge in fiber-reinforced additive manufacturing is the anisotropy introduced by the layer-by-layer deposition process. Fibers tend to align along the print path, producing parts that are strong in the deposition direction but weak between layers, where adhesion depends on the thermal bonding of adjacent beads. Recycled fibers, which are typically shorter than virgin fibers because chopping and reprocessing reduce their length, further complicate this picture by lowering the achievable reinforcement efficiency. Void formation is another persistent issue, as trapped air and incomplete bead coalescence create defects that act as crack-initiation sites under load. Careful control of nozzle temperature, deposition speed, and layer height can mitigate these effects, and post-processing treatments such as annealing can improve interlayer bonding. The practical lesson is that the mechanical performance of a recycled composite part is governed as much by process parameters and print orientation as by the intrinsic properties of the feedstock, so characterization must span both material and process domains to yield reliable design data.</w:t>
      </w:r>
    </w:p>
    <w:p>
      <w:pPr>
        <w:pStyle w:val="TableCaption"/>
      </w:pPr>
      <w:r>
        <w:t xml:space="preserve">Table 2: Representative mechanical and thermal characteristics of reinforced and recycled composite filaments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vAlign w:val="center"/>
          </w:tcPr>
          <w:p>
            <w:pPr>
              <w:jc w:val="center"/>
              <w:spacing w:after="20" w:line="240" w:lineRule="auto"/>
            </w:pPr>
            <w:r>
              <w:rPr>
                <w:b/>
              </w:rPr>
              <w:t xml:space="preserve">Filament System</w:t>
            </w:r>
          </w:p>
        </w:tc>
        <w:tc>
          <w:tcPr>
            <w:tcW w:w="1872" w:type="dxa"/>
            <w:shd w:val="clear" w:color="auto" w:fill="D9E2F3"/>
            <w:vAlign w:val="center"/>
          </w:tcPr>
          <w:p>
            <w:pPr>
              <w:jc w:val="center"/>
              <w:spacing w:after="20" w:line="240" w:lineRule="auto"/>
            </w:pPr>
            <w:r>
              <w:rPr>
                <w:b/>
              </w:rPr>
              <w:t xml:space="preserve">Tensile Modulus</w:t>
            </w:r>
          </w:p>
        </w:tc>
        <w:tc>
          <w:tcPr>
            <w:tcW w:w="1872" w:type="dxa"/>
            <w:shd w:val="clear" w:color="auto" w:fill="D9E2F3"/>
            <w:vAlign w:val="center"/>
          </w:tcPr>
          <w:p>
            <w:pPr>
              <w:jc w:val="center"/>
              <w:spacing w:after="20" w:line="240" w:lineRule="auto"/>
            </w:pPr>
            <w:r>
              <w:rPr>
                <w:b/>
              </w:rPr>
              <w:t xml:space="preserve">Tensile Strength</w:t>
            </w:r>
          </w:p>
        </w:tc>
        <w:tc>
          <w:tcPr>
            <w:tcW w:w="1872" w:type="dxa"/>
            <w:shd w:val="clear" w:color="auto" w:fill="D9E2F3"/>
            <w:vAlign w:val="center"/>
          </w:tcPr>
          <w:p>
            <w:pPr>
              <w:jc w:val="center"/>
              <w:spacing w:after="20" w:line="240" w:lineRule="auto"/>
            </w:pPr>
            <w:r>
              <w:rPr>
                <w:b/>
              </w:rPr>
              <w:t xml:space="preserve">Notable Feature</w:t>
            </w:r>
          </w:p>
        </w:tc>
        <w:tc>
          <w:tcPr>
            <w:tcW w:w="1872" w:type="dxa"/>
            <w:shd w:val="clear" w:color="auto" w:fill="D9E2F3"/>
            <w:vAlign w:val="center"/>
          </w:tcPr>
          <w:p>
            <w:pPr>
              <w:jc w:val="center"/>
              <w:spacing w:after="20" w:line="240" w:lineRule="auto"/>
            </w:pPr>
            <w:r>
              <w:rPr>
                <w:b/>
              </w:rPr>
              <w:t xml:space="preserve">Circularity Benefit</w:t>
            </w:r>
          </w:p>
        </w:tc>
      </w:tr>
      <w:tr>
        <w:tc>
          <w:tcPr>
            <w:tcW w:w="1872" w:type="dxa"/>
            <w:vAlign w:val="center"/>
          </w:tcPr>
          <w:p>
            <w:pPr>
              <w:spacing w:after="20" w:line="240" w:lineRule="auto"/>
            </w:pPr>
            <w:r>
              <w:t xml:space="preserve">Neat PLA</w:t>
            </w:r>
          </w:p>
        </w:tc>
        <w:tc>
          <w:tcPr>
            <w:tcW w:w="1872" w:type="dxa"/>
            <w:vAlign w:val="center"/>
          </w:tcPr>
          <w:p>
            <w:pPr>
              <w:spacing w:after="20" w:line="240" w:lineRule="auto"/>
            </w:pPr>
            <w:r>
              <w:t xml:space="preserve">Baseline</w:t>
            </w:r>
          </w:p>
        </w:tc>
        <w:tc>
          <w:tcPr>
            <w:tcW w:w="1872" w:type="dxa"/>
            <w:vAlign w:val="center"/>
          </w:tcPr>
          <w:p>
            <w:pPr>
              <w:spacing w:after="20" w:line="240" w:lineRule="auto"/>
            </w:pPr>
            <w:r>
              <w:t xml:space="preserve">Baseline</w:t>
            </w:r>
          </w:p>
        </w:tc>
        <w:tc>
          <w:tcPr>
            <w:tcW w:w="1872" w:type="dxa"/>
            <w:vAlign w:val="center"/>
          </w:tcPr>
          <w:p>
            <w:pPr>
              <w:spacing w:after="20" w:line="240" w:lineRule="auto"/>
            </w:pPr>
            <w:r>
              <w:t xml:space="preserve">Easy to print</w:t>
            </w:r>
          </w:p>
        </w:tc>
        <w:tc>
          <w:tcPr>
            <w:tcW w:w="1872" w:type="dxa"/>
            <w:vAlign w:val="center"/>
          </w:tcPr>
          <w:p>
            <w:pPr>
              <w:spacing w:after="20" w:line="240" w:lineRule="auto"/>
            </w:pPr>
            <w:r>
              <w:t xml:space="preserve">Bio-based</w:t>
            </w:r>
          </w:p>
        </w:tc>
      </w:tr>
      <w:tr>
        <w:tc>
          <w:tcPr>
            <w:tcW w:w="1872" w:type="dxa"/>
            <w:vAlign w:val="center"/>
          </w:tcPr>
          <w:p>
            <w:pPr>
              <w:spacing w:after="20" w:line="240" w:lineRule="auto"/>
            </w:pPr>
            <w:r>
              <w:t xml:space="preserve">PLA + wood fiber</w:t>
            </w:r>
          </w:p>
        </w:tc>
        <w:tc>
          <w:tcPr>
            <w:tcW w:w="1872" w:type="dxa"/>
            <w:vAlign w:val="center"/>
          </w:tcPr>
          <w:p>
            <w:pPr>
              <w:spacing w:after="20" w:line="240" w:lineRule="auto"/>
            </w:pPr>
            <w:r>
              <w:t xml:space="preserve">Higher</w:t>
            </w:r>
          </w:p>
        </w:tc>
        <w:tc>
          <w:tcPr>
            <w:tcW w:w="1872" w:type="dxa"/>
            <w:vAlign w:val="center"/>
          </w:tcPr>
          <w:p>
            <w:pPr>
              <w:spacing w:after="20" w:line="240" w:lineRule="auto"/>
            </w:pPr>
            <w:r>
              <w:t xml:space="preserve">Comparable</w:t>
            </w:r>
          </w:p>
        </w:tc>
        <w:tc>
          <w:tcPr>
            <w:tcW w:w="1872" w:type="dxa"/>
            <w:vAlign w:val="center"/>
          </w:tcPr>
          <w:p>
            <w:pPr>
              <w:spacing w:after="20" w:line="240" w:lineRule="auto"/>
            </w:pPr>
            <w:r>
              <w:t xml:space="preserve">Aesthetic, renewable</w:t>
            </w:r>
          </w:p>
        </w:tc>
        <w:tc>
          <w:tcPr>
            <w:tcW w:w="1872" w:type="dxa"/>
            <w:vAlign w:val="center"/>
          </w:tcPr>
          <w:p>
            <w:pPr>
              <w:spacing w:after="20" w:line="240" w:lineRule="auto"/>
            </w:pPr>
            <w:r>
              <w:t xml:space="preserve">Fully bio-based</w:t>
            </w:r>
          </w:p>
        </w:tc>
      </w:tr>
      <w:tr>
        <w:tc>
          <w:tcPr>
            <w:tcW w:w="1872" w:type="dxa"/>
            <w:vAlign w:val="center"/>
          </w:tcPr>
          <w:p>
            <w:pPr>
              <w:spacing w:after="20" w:line="240" w:lineRule="auto"/>
            </w:pPr>
            <w:r>
              <w:t xml:space="preserve">PLA + recycled carbon fiber</w:t>
            </w:r>
          </w:p>
        </w:tc>
        <w:tc>
          <w:tcPr>
            <w:tcW w:w="1872" w:type="dxa"/>
            <w:vAlign w:val="center"/>
          </w:tcPr>
          <w:p>
            <w:pPr>
              <w:spacing w:after="20" w:line="240" w:lineRule="auto"/>
            </w:pPr>
            <w:r>
              <w:t xml:space="preserve">Much higher</w:t>
            </w:r>
          </w:p>
        </w:tc>
        <w:tc>
          <w:tcPr>
            <w:tcW w:w="1872" w:type="dxa"/>
            <w:vAlign w:val="center"/>
          </w:tcPr>
          <w:p>
            <w:pPr>
              <w:spacing w:after="20" w:line="240" w:lineRule="auto"/>
            </w:pPr>
            <w:r>
              <w:t xml:space="preserve">Higher</w:t>
            </w:r>
          </w:p>
        </w:tc>
        <w:tc>
          <w:tcPr>
            <w:tcW w:w="1872" w:type="dxa"/>
            <w:vAlign w:val="center"/>
          </w:tcPr>
          <w:p>
            <w:pPr>
              <w:spacing w:after="20" w:line="240" w:lineRule="auto"/>
            </w:pPr>
            <w:r>
              <w:t xml:space="preserve">Lightweight, stiff</w:t>
            </w:r>
          </w:p>
        </w:tc>
        <w:tc>
          <w:tcPr>
            <w:tcW w:w="1872" w:type="dxa"/>
            <w:vAlign w:val="center"/>
          </w:tcPr>
          <w:p>
            <w:pPr>
              <w:spacing w:after="20" w:line="240" w:lineRule="auto"/>
            </w:pPr>
            <w:r>
              <w:t xml:space="preserve">Fiber diversion</w:t>
            </w:r>
          </w:p>
        </w:tc>
      </w:tr>
      <w:tr>
        <w:tc>
          <w:tcPr>
            <w:tcW w:w="1872" w:type="dxa"/>
            <w:vAlign w:val="center"/>
          </w:tcPr>
          <w:p>
            <w:pPr>
              <w:spacing w:after="20" w:line="240" w:lineRule="auto"/>
            </w:pPr>
            <w:r>
              <w:t xml:space="preserve">ABS + glass fiber</w:t>
            </w:r>
          </w:p>
        </w:tc>
        <w:tc>
          <w:tcPr>
            <w:tcW w:w="1872" w:type="dxa"/>
            <w:vAlign w:val="center"/>
          </w:tcPr>
          <w:p>
            <w:pPr>
              <w:spacing w:after="20" w:line="240" w:lineRule="auto"/>
            </w:pPr>
            <w:r>
              <w:t xml:space="preserve">Higher</w:t>
            </w:r>
          </w:p>
        </w:tc>
        <w:tc>
          <w:tcPr>
            <w:tcW w:w="1872" w:type="dxa"/>
            <w:vAlign w:val="center"/>
          </w:tcPr>
          <w:p>
            <w:pPr>
              <w:spacing w:after="20" w:line="240" w:lineRule="auto"/>
            </w:pPr>
            <w:r>
              <w:t xml:space="preserve">Higher</w:t>
            </w:r>
          </w:p>
        </w:tc>
        <w:tc>
          <w:tcPr>
            <w:tcW w:w="1872" w:type="dxa"/>
            <w:vAlign w:val="center"/>
          </w:tcPr>
          <w:p>
            <w:pPr>
              <w:spacing w:after="20" w:line="240" w:lineRule="auto"/>
            </w:pPr>
            <w:r>
              <w:t xml:space="preserve">Dimensional stability</w:t>
            </w:r>
          </w:p>
        </w:tc>
        <w:tc>
          <w:tcPr>
            <w:tcW w:w="1872" w:type="dxa"/>
            <w:vAlign w:val="center"/>
          </w:tcPr>
          <w:p>
            <w:pPr>
              <w:spacing w:after="20" w:line="240" w:lineRule="auto"/>
            </w:pPr>
            <w:r>
              <w:t xml:space="preserve">Recyclable matrix</w:t>
            </w:r>
          </w:p>
        </w:tc>
      </w:tr>
      <w:tr>
        <w:tc>
          <w:tcPr>
            <w:tcW w:w="1872" w:type="dxa"/>
            <w:vAlign w:val="center"/>
          </w:tcPr>
          <w:p>
            <w:pPr>
              <w:spacing w:after="20" w:line="240" w:lineRule="auto"/>
            </w:pPr>
            <w:r>
              <w:t xml:space="preserve">Recycled PET + flax</w:t>
            </w:r>
          </w:p>
        </w:tc>
        <w:tc>
          <w:tcPr>
            <w:tcW w:w="1872" w:type="dxa"/>
            <w:vAlign w:val="center"/>
          </w:tcPr>
          <w:p>
            <w:pPr>
              <w:spacing w:after="20" w:line="240" w:lineRule="auto"/>
            </w:pPr>
            <w:r>
              <w:t xml:space="preserve">Higher</w:t>
            </w:r>
          </w:p>
        </w:tc>
        <w:tc>
          <w:tcPr>
            <w:tcW w:w="1872" w:type="dxa"/>
            <w:vAlign w:val="center"/>
          </w:tcPr>
          <w:p>
            <w:pPr>
              <w:spacing w:after="20" w:line="240" w:lineRule="auto"/>
            </w:pPr>
            <w:r>
              <w:t xml:space="preserve">Higher</w:t>
            </w:r>
          </w:p>
        </w:tc>
        <w:tc>
          <w:tcPr>
            <w:tcW w:w="1872" w:type="dxa"/>
            <w:vAlign w:val="center"/>
          </w:tcPr>
          <w:p>
            <w:pPr>
              <w:spacing w:after="20" w:line="240" w:lineRule="auto"/>
            </w:pPr>
            <w:r>
              <w:t xml:space="preserve">Low embodied carbon</w:t>
            </w:r>
          </w:p>
        </w:tc>
        <w:tc>
          <w:tcPr>
            <w:tcW w:w="1872" w:type="dxa"/>
            <w:vAlign w:val="center"/>
          </w:tcPr>
          <w:p>
            <w:pPr>
              <w:spacing w:after="20" w:line="240" w:lineRule="auto"/>
            </w:pPr>
            <w:r>
              <w:t xml:space="preserve">Dual recycled/renewable</w:t>
            </w:r>
          </w:p>
        </w:tc>
      </w:tr>
    </w:tbl>
    <w:p>
      <w:pPr>
        <w:spacing w:after="120"/>
      </w:pPr>
    </w:p>
    <w:p>
      <w:pPr>
        <w:pStyle w:val="Heading2"/>
      </w:pPr>
      <w:r>
        <w:t xml:space="preserve">2.3 Closed-Loop Material Processing</w:t>
      </w:r>
    </w:p>
    <w:p>
      <w:pPr>
        <w:pStyle w:val="Normal"/>
      </w:pPr>
      <w:r>
        <w:t xml:space="preserve">Closed-loop processing operationalizes circularity by physically connecting the disposal of printed waste to the creation of new feedstock. The canonical loop begins with collection of failed prints, supports, and end-of-life parts, followed by sorting to segregate polymer types, since cross-contamination severely degrades recyclate quality [32]. Sorting can rely on manual identification, resin-code labeling, or automated spectroscopic techniques, and its accuracy is a decisive determinant of the final material's performance.</w:t>
      </w:r>
    </w:p>
    <w:p>
      <w:pPr>
        <w:pStyle w:val="Normal"/>
      </w:pPr>
      <w:r>
        <w:t xml:space="preserve">After sorting, waste is shredded into flakes or granules and reprocessed. Two dominant reprocessing pathways exist. In the filament-extrusion route, recyclate is compounded and drawn into standard-diameter filament for use in conventional printers. In the pellet-based route, shredded material is fed directly into a pellet-extrusion print head, eliminating the energy and cost of the intermediate filament-making step and tolerating a wider range of input quality [33]. Pellet-based additive manufacturing is especially well suited to large-format printing and to distributed recycling scenarios where filament production would be impractical.</w:t>
      </w:r>
    </w:p>
    <w:p>
      <w:pPr>
        <w:pStyle w:val="Normal"/>
      </w:pPr>
      <w:r>
        <w:t xml:space="preserve">Quality control and material traceability are the connective tissue that makes closed loops reliable. Because recyclate quality varies with source and history, in-line monitoring of melt viscosity, moisture content, and dimensional tolerance is needed to keep feedstock within printable specifications [34]. Figure 2 depicts the closed-loop workflow, showing how collection, sorting, shredding, reprocessing, and printing connect into a continuous cycle governed by quality gates. Digital traceability systems that record the provenance and processing history of each batch enable operators to predict performance and to certify recycled content, which is increasingly demanded by regulators and customers alike [35].</w:t>
      </w:r>
    </w:p>
    <w:p>
      <w:pPr>
        <w:pStyle w:val="Normal"/>
      </w:pPr>
      <w:r>
        <w:t xml:space="preserve">As the cyclical arrangement in Figure 2 emphasizes, the omission of any single stage breaks the loop, so collection, sorting, and quality control deserve as much engineering attention as the printing step itself. The economics and energy balance of the two reprocessing routes differ in instructive ways. Filament extrusion imposes an additional melt cycle and demands tight control of filament diameter and roundness, since deviations disrupt the metering of material through the print head and produce inconsistent parts. This extra step consumes energy and introduces a further opportunity for thermal degradation, but it yields a standardized feedstock compatible with the vast installed base of filament printers. Pellet-based printing sidesteps these penalties by feeding shredded or pelletized recyclate directly into the extruder, saving energy and cost while accommodating more variable input. Its trade-off is a larger minimum feature size and the need for specialized hardware, which makes it best suited to large-format and industrial contexts. For distributed recycling initiatives operating with limited resources, the choice between these routes hinges on the available equipment, the required part precision, and the tolerance of the application for property variability. In many community and workshop settings, a hybrid approach that shreds locally and either extrudes filament for precision work or prints pellets for bulky items offers the most pragmatic path to closing the loop.</w:t>
      </w:r>
    </w:p>
    <w:p>
      <w:pPr>
        <w:pStyle w:val="FigureImg"/>
      </w:pPr>
      <w:r>
        <w:drawing>
          <wp:inline xmlns:wp="http://schemas.openxmlformats.org/drawingml/2006/wordprocessingDrawing" distT="0" distB="0" distL="0" distR="0">
            <wp:extent cx="5486400" cy="3516923"/>
            <wp:effectExtent l="0" t="0" r="0" b="0"/>
            <wp:docPr id="1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2"/>
                    <pic:cNvPicPr/>
                  </pic:nvPicPr>
                  <pic:blipFill>
                    <a:blip xmlns:r="http://schemas.openxmlformats.org/officeDocument/2006/relationships" r:embed="rId101"/>
                    <a:stretch>
                      <a:fillRect/>
                    </a:stretch>
                  </pic:blipFill>
                  <pic:spPr>
                    <a:xfrm>
                      <a:off x="0" y="0"/>
                      <a:ext cx="5486400" cy="3516923"/>
                    </a:xfrm>
                    <a:prstGeom prst="rect">
                      <a:avLst/>
                    </a:prstGeom>
                  </pic:spPr>
                </pic:pic>
              </a:graphicData>
            </a:graphic>
          </wp:inline>
        </w:drawing>
      </w:r>
    </w:p>
    <w:p>
      <w:pPr>
        <w:pStyle w:val="FigureCaption"/>
      </w:pPr>
      <w:r>
        <w:t xml:space="preserve">Figure 2: Closed-loop material processing workflow linking waste collection, sorting, shredding, reprocessing, and printing through quality-control gates.</w:t>
      </w:r>
    </w:p>
    <w:p>
      <w:pPr>
        <w:pStyle w:val="Heading2"/>
      </w:pPr>
      <w:r>
        <w:t xml:space="preserve">2.4 Advanced Materials for Sustainable 3D Printing</w:t>
      </w:r>
    </w:p>
    <w:p>
      <w:pPr>
        <w:pStyle w:val="Normal"/>
      </w:pPr>
      <w:r>
        <w:t xml:space="preserve">Beyond conventional recyclates, a frontier of advanced materials promises to deepen the circularity of additive manufacturing. Recycled nanocomposites incorporate nanoscale reinforcements such as cellulose nanocrystals, graphene derivatives, or nanoclays into recycled matrices, restoring or enhancing properties that degrade during recycling and imparting multifunctionality such as electrical conductivity or barrier performance [36]. These materials can extend the useful life of recyclate by compensating for property loss, effectively increasing the number of viable recycling cycles.</w:t>
      </w:r>
    </w:p>
    <w:p>
      <w:pPr>
        <w:pStyle w:val="Normal"/>
      </w:pPr>
      <w:r>
        <w:t xml:space="preserve">Bio-composites and biodegradable printing systems push circularity toward regeneration rather than mere recovery. By combining biopolymer matrices with natural reinforcements and designing for controlled end-of-life biodegradation, these systems can return nutrients to biological cycles rather than persisting as waste [37]. Their development requires careful matching of degradation kinetics to application lifetime so that parts remain durable in service yet break down predictably at end of life.</w:t>
      </w:r>
    </w:p>
    <w:p>
      <w:pPr>
        <w:pStyle w:val="Normal"/>
      </w:pPr>
      <w:r>
        <w:t xml:space="preserve">Perhaps the most transformative frontier is the emergence of smart materials designed explicitly for repair, reuse, and remanufacturing. Vitrimers and other dynamically cross-linked polymers combine the mechanical robustness of thermosets with the reprocessability of thermoplastics, allowing printed parts to be reshaped, healed, or fully recycled through reversible bond exchange [38]. Shape-memory and self-healing polymers extend service life by autonomously recovering from damage. These material innovations blur the line between product and feedstock, suggesting a future in which printed objects are inherently designed to become the raw material for their own successors [39].</w:t>
      </w:r>
    </w:p>
    <w:p>
      <w:pPr>
        <w:pStyle w:val="Normal"/>
      </w:pPr>
      <w:r>
        <w:t xml:space="preserve">Vitrimers merit particular attention because they resolve a long-standing tension in polymer design. Conventional thermosets offer excellent thermal and chemical resistance and dimensional stability, but their permanent covalent networks render them unrecyclable by melting, consigning them to landfill or incineration at end of life. Thermoplastics are reprocessable but often lack the performance of thermosets. Vitrimers occupy a middle ground: their networks contain covalent bonds that can exchange partners at elevated temperature through associative mechanisms, allowing the material to flow and be reshaped while retaining network integrity and solvent resistance in service. Printed vitrimer parts can thus be welded, repaired, reshaped, or reprocessed into new objects, effectively granting thermoset-grade performance with thermoplastic-grade circularity. Realizing this promise in additive manufacturing requires formulations whose bond-exchange kinetics are compatible with the temperatures and timescales of printing, and research is actively refining these chemistries. Alongside vitrimers, the incorporation of reversible supramolecular interactions and dynamic covalent chemistry into printable resins is expanding the toolkit for materials that are designed, from the molecular level upward, to participate in multiple life cycles rather than to be discarded after one.</w:t>
      </w:r>
    </w:p>
    <w:p>
      <w:pPr>
        <w:pStyle w:val="Heading1"/>
      </w:pPr>
      <w:r>
        <w:t xml:space="preserve">Section 3: Circular Applications and Performance Assessment</w:t>
      </w:r>
    </w:p>
    <w:p>
      <w:pPr>
        <w:pStyle w:val="Heading2"/>
      </w:pPr>
      <w:r>
        <w:t xml:space="preserve">3.1 Design for Recycling and Disassembly</w:t>
      </w:r>
    </w:p>
    <w:p>
      <w:pPr>
        <w:pStyle w:val="Normal"/>
      </w:pPr>
      <w:r>
        <w:t xml:space="preserve">The circularity of a printed product is determined largely at the design stage, long before any recycling technology is invoked. Design for recycling prioritizes material choices and geometries that facilitate recovery, favoring mono-material construction over multi-material assemblies that resist separation [40]. When multiple materials are unavoidable, design for disassembly ensures that components can be readily separated at end of life through reversible joints, snap fits, or clearly marked interfaces rather than permanent bonds.</w:t>
      </w:r>
    </w:p>
    <w:p>
      <w:pPr>
        <w:pStyle w:val="Normal"/>
      </w:pPr>
      <w:r>
        <w:t xml:space="preserve">Modular and repairable product architectures amplify these benefits. By decomposing a product into standardized, replaceable modules, designers enable targeted repair and upgrade without discarding the whole assembly, extending service life and preserving embodied value [41]. Additive manufacturing supports modularity naturally because it can produce bespoke connectors and interfaces economically, and because replacement modules can be printed on demand rather than stocked.</w:t>
      </w:r>
    </w:p>
    <w:p>
      <w:pPr>
        <w:pStyle w:val="Normal"/>
      </w:pPr>
      <w:r>
        <w:t xml:space="preserve">Designing components for multiple life cycles is the most ambitious expression of this philosophy. It requires anticipating how a part will be recovered, reprocessed, and redeployed, and specifying materials and tolerances that survive repeated cycling. This anticipatory design demands close collaboration between designers, materials scientists, and recyclers so that decisions made at the drawing board align with the realities of downstream recovery. When executed well, design for recycling and disassembly transforms end-of-life from a disposal problem into a resource opportunity [42].</w:t>
      </w:r>
    </w:p>
    <w:p>
      <w:pPr>
        <w:pStyle w:val="Normal"/>
      </w:pPr>
      <w:r>
        <w:t xml:space="preserve">Practical design guidelines translate these principles into actionable rules. Designers are encouraged to minimize the number of distinct materials in an assembly, to avoid painting or coating recyclable polymers with incompatible finishes, to label components with their material identity, and to specify fasteners and joints that can be reversed without destroying the parts they connect. Additive manufacturing enables several of these guidelines to be met more readily than conventional processes: integrated snap-fit features can replace adhesives, living hinges can be printed directly, and part consolidation can reduce the number of interfaces that must later be separated. At the same time, designers must guard against features that impede recovery, such as embedded metal inserts in polymer parts or multi-material prints that fuse dissimilar polymers inseparably. The emerging discipline of design for a circular economy provides typologies and decision frameworks that help engineers navigate these trade-offs systematically, ensuring that the recoverability of a product is engineered in deliberately rather than left to chance. When recoverability is treated as a first-class design requirement alongside cost, weight, and performance, the resulting products retain far more of their embodied value at end of life.</w:t>
      </w:r>
    </w:p>
    <w:p>
      <w:pPr>
        <w:pStyle w:val="Heading2"/>
      </w:pPr>
      <w:r>
        <w:t xml:space="preserve">3.2 Reuse, Remanufacturing, and Repair through 3D Printing</w:t>
      </w:r>
    </w:p>
    <w:p>
      <w:pPr>
        <w:pStyle w:val="Normal"/>
      </w:pPr>
      <w:r>
        <w:t xml:space="preserve">Additive manufacturing is a powerful enabler of reuse, remanufacturing, and repair, activities that sit high on the circular economy value hierarchy because they preserve far more embodied value than material recycling. In component restoration, directed-energy-deposition and other additive processes can rebuild worn or damaged surfaces on high-value metal parts such as turbine blades and molds, returning them to service at a fraction of the cost and environmental impact of replacement [43]. This capability is transformative for capital-intensive industries where components are expensive and lead times are long.</w:t>
      </w:r>
    </w:p>
    <w:p>
      <w:pPr>
        <w:pStyle w:val="Normal"/>
      </w:pPr>
      <w:r>
        <w:t xml:space="preserve">On-demand production of replacement parts addresses one of the most wasteful features of conventional manufacturing: the obsolescence of products whose spare parts are no longer stocked. With a digital model and a printer, a discontinued or hard-to-source component can be fabricated locally, keeping the parent product in service and averting premature disposal [1]. This digital-inventory model reduces the need for physical warehousing and the associated overproduction, while empowering repair over replacement.</w:t>
      </w:r>
    </w:p>
    <w:p>
      <w:pPr>
        <w:pStyle w:val="Normal"/>
      </w:pPr>
      <w:r>
        <w:t xml:space="preserve">Extending product service life through digital manufacturing embodies the slowing of material loops. Rather than accelerating consumption, additive repair and remanufacturing prolong the useful life of existing assets, deferring the demand for new material and the emissions embodied in it [5]. Realizing this potential at scale requires reverse-logistics networks to return worn parts, digital libraries of validated repair models, and quality-assurance protocols to certify that restored components meet original specifications. Where these enablers are in place, additive manufacturing shifts the economic logic decisively toward keeping products in use [6].</w:t>
      </w:r>
    </w:p>
    <w:p>
      <w:pPr>
        <w:pStyle w:val="Heading2"/>
      </w:pPr>
      <w:r>
        <w:t xml:space="preserve">3.3 Industrial Applications of Recyclable 3D Printed Materials</w:t>
      </w:r>
    </w:p>
    <w:p>
      <w:pPr>
        <w:pStyle w:val="Normal"/>
      </w:pPr>
      <w:r>
        <w:t xml:space="preserve">Recyclable 3D printed materials have moved from laboratory curiosity to industrial practice across a widening range of sectors. In the automotive industry, recycled and bio-based composites are used for interior trim, brackets, and prototyping, where lightweighting reduces fuel consumption and recycled content supports corporate sustainability targets [10]. The aerospace sector, driven by stringent weight and performance demands, employs additive manufacturing for lightweight structures and for remanufacturing high-value components, capturing both fuel savings and material recovery [4].</w:t>
      </w:r>
    </w:p>
    <w:p>
      <w:pPr>
        <w:pStyle w:val="Normal"/>
      </w:pPr>
      <w:r>
        <w:t xml:space="preserve">Construction is emerging as a high-impact application domain. Large-format additive manufacturing with recycled polymer and mineral-based feedstocks enables the fabrication of formwork, architectural elements, and even structural components, with the potential to incorporate construction and demolition waste into printable materials [7]. Consumer applications, meanwhile, span furniture, fashion accessories, and electronics housings, where distributed recycling turns local plastic waste into customized products with compelling sustainability narratives.</w:t>
      </w:r>
    </w:p>
    <w:p>
      <w:pPr>
        <w:pStyle w:val="Normal"/>
      </w:pPr>
      <w:r>
        <w:t xml:space="preserve">Medical and customized product applications illustrate the value of combining circularity with personalization. Patient-specific prosthetics, orthotic devices, and surgical guides can be printed from biocompatible and, increasingly, recyclable or bio-based materials, delivering tailored performance while reducing waste [13]. Localized and distributed circular manufacturing ties these sectors together, enabling production close to the point of use and closing material loops within communities. Table 3 maps representative sectors to their circular value propositions, illustrating the breadth of adoption and the diversity of drivers propelling it [8].</w:t>
      </w:r>
    </w:p>
    <w:p>
      <w:pPr>
        <w:pStyle w:val="Normal"/>
      </w:pPr>
      <w:r>
        <w:t xml:space="preserve">Although Table 3 presents these sectors side by side, the maturity of adoption varies considerably across them, reflecting differences in regulatory burden, performance demands, and value density. Consumer and educational applications sit at the leading edge because their tolerance for property variability is high and their regulatory requirements are light, making them ideal proving grounds for recycled feedstocks. Automotive and construction applications are advancing steadily as manufacturers pursue lightweighting and waste-valorization targets, though structural and safety-critical components still demand extensive qualification. Aerospace and medical applications, by contrast, face the steepest barriers because failure carries severe consequences and certification pathways for variable recycled materials remain immature. In these high-stakes domains, additive manufacturing's circular contribution currently flows more through remanufacturing of high-value parts and through waste reduction in prototyping than through the direct use of recycled feedstocks in flight-critical or implantable components. Understanding this gradient of maturity helps stakeholders set realistic expectations and target investment where the combination of technical readiness and circular benefit is greatest, while continuing to build the evidence base needed to extend recycled materials into more demanding applications over time.</w:t>
      </w:r>
    </w:p>
    <w:p>
      <w:pPr>
        <w:pStyle w:val="TableCaption"/>
      </w:pPr>
      <w:r>
        <w:t xml:space="preserve">Table 3: Industrial sectors adopting recyclable 3D printed materials and their circular value propositions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vAlign w:val="center"/>
          </w:tcPr>
          <w:p>
            <w:pPr>
              <w:jc w:val="center"/>
              <w:spacing w:after="20" w:line="240" w:lineRule="auto"/>
            </w:pPr>
            <w:r>
              <w:rPr>
                <w:b/>
              </w:rPr>
              <w:t xml:space="preserve">Sector</w:t>
            </w:r>
          </w:p>
        </w:tc>
        <w:tc>
          <w:tcPr>
            <w:tcW w:w="3120" w:type="dxa"/>
            <w:shd w:val="clear" w:color="auto" w:fill="D9E2F3"/>
            <w:vAlign w:val="center"/>
          </w:tcPr>
          <w:p>
            <w:pPr>
              <w:jc w:val="center"/>
              <w:spacing w:after="20" w:line="240" w:lineRule="auto"/>
            </w:pPr>
            <w:r>
              <w:rPr>
                <w:b/>
              </w:rPr>
              <w:t xml:space="preserve">Representative Applications</w:t>
            </w:r>
          </w:p>
        </w:tc>
        <w:tc>
          <w:tcPr>
            <w:tcW w:w="3120" w:type="dxa"/>
            <w:shd w:val="clear" w:color="auto" w:fill="D9E2F3"/>
            <w:vAlign w:val="center"/>
          </w:tcPr>
          <w:p>
            <w:pPr>
              <w:jc w:val="center"/>
              <w:spacing w:after="20" w:line="240" w:lineRule="auto"/>
            </w:pPr>
            <w:r>
              <w:rPr>
                <w:b/>
              </w:rPr>
              <w:t xml:space="preserve">Primary Circular Driver</w:t>
            </w:r>
          </w:p>
        </w:tc>
      </w:tr>
      <w:tr>
        <w:tc>
          <w:tcPr>
            <w:tcW w:w="3120" w:type="dxa"/>
            <w:vAlign w:val="center"/>
          </w:tcPr>
          <w:p>
            <w:pPr>
              <w:spacing w:after="20" w:line="240" w:lineRule="auto"/>
            </w:pPr>
            <w:r>
              <w:t xml:space="preserve">Automotive</w:t>
            </w:r>
          </w:p>
        </w:tc>
        <w:tc>
          <w:tcPr>
            <w:tcW w:w="3120" w:type="dxa"/>
            <w:vAlign w:val="center"/>
          </w:tcPr>
          <w:p>
            <w:pPr>
              <w:spacing w:after="20" w:line="240" w:lineRule="auto"/>
            </w:pPr>
            <w:r>
              <w:t xml:space="preserve">Interior trim, brackets, prototypes</w:t>
            </w:r>
          </w:p>
        </w:tc>
        <w:tc>
          <w:tcPr>
            <w:tcW w:w="3120" w:type="dxa"/>
            <w:vAlign w:val="center"/>
          </w:tcPr>
          <w:p>
            <w:pPr>
              <w:spacing w:after="20" w:line="240" w:lineRule="auto"/>
            </w:pPr>
            <w:r>
              <w:t xml:space="preserve">Lightweighting, recycled content</w:t>
            </w:r>
          </w:p>
        </w:tc>
      </w:tr>
      <w:tr>
        <w:tc>
          <w:tcPr>
            <w:tcW w:w="3120" w:type="dxa"/>
            <w:vAlign w:val="center"/>
          </w:tcPr>
          <w:p>
            <w:pPr>
              <w:spacing w:after="20" w:line="240" w:lineRule="auto"/>
            </w:pPr>
            <w:r>
              <w:t xml:space="preserve">Aerospace</w:t>
            </w:r>
          </w:p>
        </w:tc>
        <w:tc>
          <w:tcPr>
            <w:tcW w:w="3120" w:type="dxa"/>
            <w:vAlign w:val="center"/>
          </w:tcPr>
          <w:p>
            <w:pPr>
              <w:spacing w:after="20" w:line="240" w:lineRule="auto"/>
            </w:pPr>
            <w:r>
              <w:t xml:space="preserve">Lightweight structures, part restoration</w:t>
            </w:r>
          </w:p>
        </w:tc>
        <w:tc>
          <w:tcPr>
            <w:tcW w:w="3120" w:type="dxa"/>
            <w:vAlign w:val="center"/>
          </w:tcPr>
          <w:p>
            <w:pPr>
              <w:spacing w:after="20" w:line="240" w:lineRule="auto"/>
            </w:pPr>
            <w:r>
              <w:t xml:space="preserve">Fuel savings, remanufacturing</w:t>
            </w:r>
          </w:p>
        </w:tc>
      </w:tr>
      <w:tr>
        <w:tc>
          <w:tcPr>
            <w:tcW w:w="3120" w:type="dxa"/>
            <w:vAlign w:val="center"/>
          </w:tcPr>
          <w:p>
            <w:pPr>
              <w:spacing w:after="20" w:line="240" w:lineRule="auto"/>
            </w:pPr>
            <w:r>
              <w:t xml:space="preserve">Construction</w:t>
            </w:r>
          </w:p>
        </w:tc>
        <w:tc>
          <w:tcPr>
            <w:tcW w:w="3120" w:type="dxa"/>
            <w:vAlign w:val="center"/>
          </w:tcPr>
          <w:p>
            <w:pPr>
              <w:spacing w:after="20" w:line="240" w:lineRule="auto"/>
            </w:pPr>
            <w:r>
              <w:t xml:space="preserve">Formwork, architectural elements</w:t>
            </w:r>
          </w:p>
        </w:tc>
        <w:tc>
          <w:tcPr>
            <w:tcW w:w="3120" w:type="dxa"/>
            <w:vAlign w:val="center"/>
          </w:tcPr>
          <w:p>
            <w:pPr>
              <w:spacing w:after="20" w:line="240" w:lineRule="auto"/>
            </w:pPr>
            <w:r>
              <w:t xml:space="preserve">Waste valorization, local sourcing</w:t>
            </w:r>
          </w:p>
        </w:tc>
      </w:tr>
      <w:tr>
        <w:tc>
          <w:tcPr>
            <w:tcW w:w="3120" w:type="dxa"/>
            <w:vAlign w:val="center"/>
          </w:tcPr>
          <w:p>
            <w:pPr>
              <w:spacing w:after="20" w:line="240" w:lineRule="auto"/>
            </w:pPr>
            <w:r>
              <w:t xml:space="preserve">Consumer goods</w:t>
            </w:r>
          </w:p>
        </w:tc>
        <w:tc>
          <w:tcPr>
            <w:tcW w:w="3120" w:type="dxa"/>
            <w:vAlign w:val="center"/>
          </w:tcPr>
          <w:p>
            <w:pPr>
              <w:spacing w:after="20" w:line="240" w:lineRule="auto"/>
            </w:pPr>
            <w:r>
              <w:t xml:space="preserve">Furniture, housings, accessories</w:t>
            </w:r>
          </w:p>
        </w:tc>
        <w:tc>
          <w:tcPr>
            <w:tcW w:w="3120" w:type="dxa"/>
            <w:vAlign w:val="center"/>
          </w:tcPr>
          <w:p>
            <w:pPr>
              <w:spacing w:after="20" w:line="240" w:lineRule="auto"/>
            </w:pPr>
            <w:r>
              <w:t xml:space="preserve">Distributed recycling, customization</w:t>
            </w:r>
          </w:p>
        </w:tc>
      </w:tr>
      <w:tr>
        <w:tc>
          <w:tcPr>
            <w:tcW w:w="3120" w:type="dxa"/>
            <w:vAlign w:val="center"/>
          </w:tcPr>
          <w:p>
            <w:pPr>
              <w:spacing w:after="20" w:line="240" w:lineRule="auto"/>
            </w:pPr>
            <w:r>
              <w:t xml:space="preserve">Medical</w:t>
            </w:r>
          </w:p>
        </w:tc>
        <w:tc>
          <w:tcPr>
            <w:tcW w:w="3120" w:type="dxa"/>
            <w:vAlign w:val="center"/>
          </w:tcPr>
          <w:p>
            <w:pPr>
              <w:spacing w:after="20" w:line="240" w:lineRule="auto"/>
            </w:pPr>
            <w:r>
              <w:t xml:space="preserve">Prosthetics, orthoses, surgical guides</w:t>
            </w:r>
          </w:p>
        </w:tc>
        <w:tc>
          <w:tcPr>
            <w:tcW w:w="3120" w:type="dxa"/>
            <w:vAlign w:val="center"/>
          </w:tcPr>
          <w:p>
            <w:pPr>
              <w:spacing w:after="20" w:line="240" w:lineRule="auto"/>
            </w:pPr>
            <w:r>
              <w:t xml:space="preserve">Personalization, low waste</w:t>
            </w:r>
          </w:p>
        </w:tc>
      </w:tr>
    </w:tbl>
    <w:p>
      <w:pPr>
        <w:spacing w:after="120"/>
      </w:pPr>
    </w:p>
    <w:p>
      <w:pPr>
        <w:pStyle w:val="Heading2"/>
      </w:pPr>
      <w:r>
        <w:t xml:space="preserve">3.4 Performance and Sustainability Evaluation</w:t>
      </w:r>
    </w:p>
    <w:p>
      <w:pPr>
        <w:pStyle w:val="Normal"/>
      </w:pPr>
      <w:r>
        <w:t xml:space="preserve">The credibility of circular additive manufacturing rests on rigorous, multi-dimensional evaluation of performance. Mechanical and functional assessment of recycled materials must confirm that parts meet the strength, stiffness, fatigue, and durability requirements of their intended application despite the property variability that recycling can introduce [26]. Because recyclate performance depends on source, contamination, and processing history, statistical characterization and conservative design allowances are often necessary to ensure reliability.</w:t>
      </w:r>
    </w:p>
    <w:p>
      <w:pPr>
        <w:pStyle w:val="Normal"/>
      </w:pPr>
      <w:r>
        <w:t xml:space="preserve">The comparison in Figure 3 also cautions against overstating the benefit, since chemical recycling, while capable of restoring virgin-grade quality, carries a higher carbon burden than mechanical recycling and narrows the advantage over virgin production. Economic assessment determines whether recycling-based production is commercially viable. The economics hinge on the cost of collection and sorting, the energy and capital of reprocessing, the yield and quality of recyclate, and the market value of the resulting parts relative to virgin-material alternatives [24]. In favorable cases, distributed recycling of local waste into high-value printed products offers attractive margins; in unfavorable cases, the labor and energy of recovery outweigh the savings, and the loop is not self-sustaining without policy support or premium pricing for sustainability.</w:t>
      </w:r>
    </w:p>
    <w:p>
      <w:pPr>
        <w:pStyle w:val="Normal"/>
      </w:pPr>
      <w:r>
        <w:t xml:space="preserve">Environmental impact and circularity indicators complete the evaluation triad. Life-cycle assessment quantifies carbon, energy, and resource impacts, while circularity metrics such as recycled-content fraction, material-recovery rate, and product-lifetime extension gauge how effectively loops are closed [17]. As Figure 3 illustrates, recycled feedstocks generally reduce embodied carbon relative to virgin materials, but the magnitude of benefit depends on the recycling route and the number of cycles achieved. Integrating mechanical, economic, and environmental evaluation ensures that circular strategies are not merely aspirational but demonstrably superior across the dimensions that matter [20].</w:t>
      </w:r>
    </w:p>
    <w:p>
      <w:pPr>
        <w:pStyle w:val="FigureImg"/>
      </w:pPr>
      <w:r>
        <w:drawing>
          <wp:inline xmlns:wp="http://schemas.openxmlformats.org/drawingml/2006/wordprocessingDrawing" distT="0" distB="0" distL="0" distR="0">
            <wp:extent cx="5486400" cy="3465094"/>
            <wp:effectExtent l="0" t="0" r="0" b="0"/>
            <wp:docPr id="1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3"/>
                    <pic:cNvPicPr/>
                  </pic:nvPicPr>
                  <pic:blipFill>
                    <a:blip xmlns:r="http://schemas.openxmlformats.org/officeDocument/2006/relationships" r:embed="rId102"/>
                    <a:stretch>
                      <a:fillRect/>
                    </a:stretch>
                  </pic:blipFill>
                  <pic:spPr>
                    <a:xfrm>
                      <a:off x="0" y="0"/>
                      <a:ext cx="5486400" cy="3465094"/>
                    </a:xfrm>
                    <a:prstGeom prst="rect">
                      <a:avLst/>
                    </a:prstGeom>
                  </pic:spPr>
                </pic:pic>
              </a:graphicData>
            </a:graphic>
          </wp:inline>
        </w:drawing>
      </w:r>
    </w:p>
    <w:p>
      <w:pPr>
        <w:pStyle w:val="FigureCaption"/>
      </w:pPr>
      <w:r>
        <w:t xml:space="preserve">Figure 3: Comparative embodied carbon of virgin versus recycled feedstocks across mechanical and chemical recycling routes.</w:t>
      </w:r>
    </w:p>
    <w:p>
      <w:pPr>
        <w:pStyle w:val="Heading1"/>
      </w:pPr>
      <w:r>
        <w:t xml:space="preserve">Section 4: Future Perspectives and Circular 3D Printing Ecosystems</w:t>
      </w:r>
    </w:p>
    <w:p>
      <w:pPr>
        <w:pStyle w:val="Heading2"/>
      </w:pPr>
      <w:r>
        <w:t xml:space="preserve">4.1 Digital Technologies for Circular Additive Manufacturing</w:t>
      </w:r>
    </w:p>
    <w:p>
      <w:pPr>
        <w:pStyle w:val="Normal"/>
      </w:pPr>
      <w:r>
        <w:t xml:space="preserve">Digital technologies are poised to become the central nervous system of circular additive manufacturing, transforming fragmented recycling efforts into intelligent, coordinated ecosystems. Artificial intelligence and machine learning offer powerful tools for material optimization and waste reduction, learning the complex relationships between feedstock composition, processing parameters, and part performance to predict optimal settings for variable recyclate inputs [36]. By adapting print parameters in real time to compensate for batch-to-batch variability, AI can raise the yield and reliability of recycled-material printing, one of the principal barriers to broader adoption [39].</w:t>
      </w:r>
    </w:p>
    <w:p>
      <w:pPr>
        <w:pStyle w:val="Normal"/>
      </w:pPr>
      <w:r>
        <w:t xml:space="preserve">Digital twins extend this intelligence across the product and material life cycle. A digital twin is a continuously updated virtual replica of a physical asset or process that mirrors its state and behavior, enabling simulation, monitoring, and optimization [19]. Applied to circular manufacturing, digital twins can track the condition of printed parts in service, predict when repair or remanufacturing is warranted, and simulate the outcome of different end-of-life pathways before any physical action is taken. This foresight supports decisions that maximize value retention across multiple life cycles.</w:t>
      </w:r>
    </w:p>
    <w:p>
      <w:pPr>
        <w:pStyle w:val="Normal"/>
      </w:pPr>
      <w:r>
        <w:t xml:space="preserve">Digital material passports and traceability systems close the information loop that physical recycling requires. A material passport is a digital record documenting the composition, provenance, and processing history of a material or product, enabling informed recovery and reuse at end of life [35]. Combined with the traceability infrastructure discussed earlier, material passports allow recyclers to identify and segregate feedstocks accurately, certify recycled content, and comply with emerging regulatory requirements. Together, AI, digital twins, and material passports form a digital backbone that makes large-scale circularity technically and administratively feasible.</w:t>
      </w:r>
    </w:p>
    <w:p>
      <w:pPr>
        <w:pStyle w:val="Normal"/>
      </w:pPr>
      <w:r>
        <w:t xml:space="preserve">The convergence of these digital enablers is best understood as a layered ecosystem, illustrated in Figure 4, in which data captured at each stage of the material and product life cycle feeds the intelligence that governs the next. At the foundation, sensors and process monitors generate real-time data on feedstock quality, machine state, and part geometry. This data populates digital twins that mirror physical assets and simulate their behavior, while material passports accumulate the provenance record that follows each object through its life. Artificial intelligence sits atop these layers, mining the accumulated data to optimize processes, predict maintenance and end-of-life decisions, and continuously improve recovery pathways. No single technology delivers circularity in isolation; rather, the value emerges from their integration into a coherent information architecture that connects design, production, use, and recovery. Building this architecture demands interoperable data standards and a willingness among supply-chain partners to share information, which is itself a significant organizational and governance challenge. Where such integration is achieved, the digital ecosystem transforms circularity from a series of disconnected manual interventions into a continuously optimized, data-driven system capable of operating at industrial scale.</w:t>
      </w:r>
    </w:p>
    <w:p>
      <w:pPr>
        <w:pStyle w:val="FigureImg"/>
      </w:pPr>
      <w:r>
        <w:drawing>
          <wp:inline xmlns:wp="http://schemas.openxmlformats.org/drawingml/2006/wordprocessingDrawing" distT="0" distB="0" distL="0" distR="0">
            <wp:extent cx="5486400" cy="3516923"/>
            <wp:effectExtent l="0" t="0" r="0" b="0"/>
            <wp:docPr id="103"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4"/>
                    <pic:cNvPicPr/>
                  </pic:nvPicPr>
                  <pic:blipFill>
                    <a:blip xmlns:r="http://schemas.openxmlformats.org/officeDocument/2006/relationships" r:embed="rId103"/>
                    <a:stretch>
                      <a:fillRect/>
                    </a:stretch>
                  </pic:blipFill>
                  <pic:spPr>
                    <a:xfrm>
                      <a:off x="0" y="0"/>
                      <a:ext cx="5486400" cy="3516923"/>
                    </a:xfrm>
                    <a:prstGeom prst="rect">
                      <a:avLst/>
                    </a:prstGeom>
                  </pic:spPr>
                </pic:pic>
              </a:graphicData>
            </a:graphic>
          </wp:inline>
        </w:drawing>
      </w:r>
    </w:p>
    <w:p>
      <w:pPr>
        <w:pStyle w:val="FigureCaption"/>
      </w:pPr>
      <w:r>
        <w:t xml:space="preserve">Figure 4: Layered digital ecosystem for circular additive manufacturing, integrating sensing, digital twins, material passports, and artificial intelligence across the material life cycle.</w:t>
      </w:r>
    </w:p>
    <w:p>
      <w:pPr>
        <w:pStyle w:val="Heading2"/>
      </w:pPr>
      <w:r>
        <w:t xml:space="preserve">4.2 Business Models and Circular Supply Chains</w:t>
      </w:r>
    </w:p>
    <w:p>
      <w:pPr>
        <w:pStyle w:val="Normal"/>
      </w:pPr>
      <w:r>
        <w:t xml:space="preserve">Technology alone cannot deliver circularity; it must be embedded in business models that reward keeping materials in use. Product-as-a-service models, in which customers pay for the function a product delivers rather than owning the product outright, realign incentives so that manufacturers benefit from durability, repairability, and material recovery rather than from accelerated replacement [2]. In such models, the manufacturer retains ownership and responsibility for the physical asset, creating a direct financial stake in its longevity and eventual recycling. Distributed manufacturing models complement this shift by locating production close to demand, reducing transport and enabling local material loops.</w:t>
      </w:r>
    </w:p>
    <w:p>
      <w:pPr>
        <w:pStyle w:val="Normal"/>
      </w:pPr>
      <w:r>
        <w:t xml:space="preserve">Reverse logistics and material recovery networks are the physical infrastructure that circular business models require. Whereas conventional supply chains move products in one direction from factory to consumer, circular supply chains must also move worn products, waste, and recyclate back toward reprocessing [32]. Building efficient reverse-logistics networks, through take-back schemes, collection points, and consolidation hubs, is a significant undertaking, but it is indispensable for closing loops at scale. Additive manufacturing's compatibility with distributed, small-scale production makes it a natural partner for localized recovery networks.</w:t>
      </w:r>
    </w:p>
    <w:p>
      <w:pPr>
        <w:pStyle w:val="Normal"/>
      </w:pPr>
      <w:r>
        <w:t xml:space="preserve">The economic opportunities associated with recycled 3D printing are substantial and growing. Valorizing waste plastic into printable feedstock creates value from what was previously a disposal cost, while distributed production of customized, repairable products opens new markets and revenue streams [22]. Enterprises that master recycled-material printing can differentiate themselves on sustainability while insulating themselves from the price volatility of virgin polymers. As illustrated in Table 4, circular business models span a spectrum from simple recycled-content offerings to fully integrated product-as-a-service systems, each with distinct requirements and rewards [42].</w:t>
      </w:r>
    </w:p>
    <w:p>
      <w:pPr>
        <w:pStyle w:val="Normal"/>
      </w:pPr>
      <w:r>
        <w:t xml:space="preserve">The models listed in Table 4 are not mutually exclusive, and the most resilient enterprises often combine several, pairing recycled-feedstock supply with take-back schemes or layering repair services onto a product-as-a-service offering. Transitioning to these models is not without friction. Product-as-a-service arrangements shift capital and risk onto the manufacturer, who must finance the physical asset base and manage its recovery, and they require robust systems for tracking assets in the field. Reverse logistics adds cost and complexity that can only be justified when the recovered material or component retains sufficient value. Consumer behavior presents a further obstacle, since take-back and return schemes depend on participation that cannot be taken for granted. Nevertheless, the alignment of incentives that circular models create is powerful: when a manufacturer profits from longevity rather than throughput, the entire product-development process reorients toward durability, repairability, and recoverability. The digital infrastructure described earlier is what makes these models practical at scale, providing the visibility into asset location, condition, and material composition that reverse logistics and value recovery require. Early movers who combine circular business models with recycled-material additive manufacturing are demonstrating that environmental responsibility and commercial success can reinforce rather than oppose one another, and their experience is gradually building the templates that later adopters can follow.</w:t>
      </w:r>
    </w:p>
    <w:p>
      <w:pPr>
        <w:pStyle w:val="TableCaption"/>
      </w:pPr>
      <w:r>
        <w:t xml:space="preserve">Table 4: Circular business models for additive manufacturing and their key enablers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vAlign w:val="center"/>
          </w:tcPr>
          <w:p>
            <w:pPr>
              <w:jc w:val="center"/>
              <w:spacing w:after="20" w:line="240" w:lineRule="auto"/>
            </w:pPr>
            <w:r>
              <w:rPr>
                <w:b/>
              </w:rPr>
              <w:t xml:space="preserve">Business Model</w:t>
            </w:r>
          </w:p>
        </w:tc>
        <w:tc>
          <w:tcPr>
            <w:tcW w:w="2340" w:type="dxa"/>
            <w:shd w:val="clear" w:color="auto" w:fill="D9E2F3"/>
            <w:vAlign w:val="center"/>
          </w:tcPr>
          <w:p>
            <w:pPr>
              <w:jc w:val="center"/>
              <w:spacing w:after="20" w:line="240" w:lineRule="auto"/>
            </w:pPr>
            <w:r>
              <w:rPr>
                <w:b/>
              </w:rPr>
              <w:t xml:space="preserve">Core Principle</w:t>
            </w:r>
          </w:p>
        </w:tc>
        <w:tc>
          <w:tcPr>
            <w:tcW w:w="2340" w:type="dxa"/>
            <w:shd w:val="clear" w:color="auto" w:fill="D9E2F3"/>
            <w:vAlign w:val="center"/>
          </w:tcPr>
          <w:p>
            <w:pPr>
              <w:jc w:val="center"/>
              <w:spacing w:after="20" w:line="240" w:lineRule="auto"/>
            </w:pPr>
            <w:r>
              <w:rPr>
                <w:b/>
              </w:rPr>
              <w:t xml:space="preserve">Key Enabler</w:t>
            </w:r>
          </w:p>
        </w:tc>
        <w:tc>
          <w:tcPr>
            <w:tcW w:w="2340" w:type="dxa"/>
            <w:shd w:val="clear" w:color="auto" w:fill="D9E2F3"/>
            <w:vAlign w:val="center"/>
          </w:tcPr>
          <w:p>
            <w:pPr>
              <w:jc w:val="center"/>
              <w:spacing w:after="20" w:line="240" w:lineRule="auto"/>
            </w:pPr>
            <w:r>
              <w:rPr>
                <w:b/>
              </w:rPr>
              <w:t xml:space="preserve">Primary Benefit</w:t>
            </w:r>
          </w:p>
        </w:tc>
      </w:tr>
      <w:tr>
        <w:tc>
          <w:tcPr>
            <w:tcW w:w="2340" w:type="dxa"/>
            <w:vAlign w:val="center"/>
          </w:tcPr>
          <w:p>
            <w:pPr>
              <w:spacing w:after="20" w:line="240" w:lineRule="auto"/>
            </w:pPr>
            <w:r>
              <w:t xml:space="preserve">Recycled feedstock supply</w:t>
            </w:r>
          </w:p>
        </w:tc>
        <w:tc>
          <w:tcPr>
            <w:tcW w:w="2340" w:type="dxa"/>
            <w:vAlign w:val="center"/>
          </w:tcPr>
          <w:p>
            <w:pPr>
              <w:spacing w:after="20" w:line="240" w:lineRule="auto"/>
            </w:pPr>
            <w:r>
              <w:t xml:space="preserve">Sell recyclate filament/pellets</w:t>
            </w:r>
          </w:p>
        </w:tc>
        <w:tc>
          <w:tcPr>
            <w:tcW w:w="2340" w:type="dxa"/>
            <w:vAlign w:val="center"/>
          </w:tcPr>
          <w:p>
            <w:pPr>
              <w:spacing w:after="20" w:line="240" w:lineRule="auto"/>
            </w:pPr>
            <w:r>
              <w:t xml:space="preserve">Sorting, quality control</w:t>
            </w:r>
          </w:p>
        </w:tc>
        <w:tc>
          <w:tcPr>
            <w:tcW w:w="2340" w:type="dxa"/>
            <w:vAlign w:val="center"/>
          </w:tcPr>
          <w:p>
            <w:pPr>
              <w:spacing w:after="20" w:line="240" w:lineRule="auto"/>
            </w:pPr>
            <w:r>
              <w:t xml:space="preserve">Waste valorization</w:t>
            </w:r>
          </w:p>
        </w:tc>
      </w:tr>
      <w:tr>
        <w:tc>
          <w:tcPr>
            <w:tcW w:w="2340" w:type="dxa"/>
            <w:vAlign w:val="center"/>
          </w:tcPr>
          <w:p>
            <w:pPr>
              <w:spacing w:after="20" w:line="240" w:lineRule="auto"/>
            </w:pPr>
            <w:r>
              <w:t xml:space="preserve">Distributed manufacturing</w:t>
            </w:r>
          </w:p>
        </w:tc>
        <w:tc>
          <w:tcPr>
            <w:tcW w:w="2340" w:type="dxa"/>
            <w:vAlign w:val="center"/>
          </w:tcPr>
          <w:p>
            <w:pPr>
              <w:spacing w:after="20" w:line="240" w:lineRule="auto"/>
            </w:pPr>
            <w:r>
              <w:t xml:space="preserve">Print near point of use</w:t>
            </w:r>
          </w:p>
        </w:tc>
        <w:tc>
          <w:tcPr>
            <w:tcW w:w="2340" w:type="dxa"/>
            <w:vAlign w:val="center"/>
          </w:tcPr>
          <w:p>
            <w:pPr>
              <w:spacing w:after="20" w:line="240" w:lineRule="auto"/>
            </w:pPr>
            <w:r>
              <w:t xml:space="preserve">Digital files, local machines</w:t>
            </w:r>
          </w:p>
        </w:tc>
        <w:tc>
          <w:tcPr>
            <w:tcW w:w="2340" w:type="dxa"/>
            <w:vAlign w:val="center"/>
          </w:tcPr>
          <w:p>
            <w:pPr>
              <w:spacing w:after="20" w:line="240" w:lineRule="auto"/>
            </w:pPr>
            <w:r>
              <w:t xml:space="preserve">Reduced logistics</w:t>
            </w:r>
          </w:p>
        </w:tc>
      </w:tr>
      <w:tr>
        <w:tc>
          <w:tcPr>
            <w:tcW w:w="2340" w:type="dxa"/>
            <w:vAlign w:val="center"/>
          </w:tcPr>
          <w:p>
            <w:pPr>
              <w:spacing w:after="20" w:line="240" w:lineRule="auto"/>
            </w:pPr>
            <w:r>
              <w:t xml:space="preserve">Product-as-a-service</w:t>
            </w:r>
          </w:p>
        </w:tc>
        <w:tc>
          <w:tcPr>
            <w:tcW w:w="2340" w:type="dxa"/>
            <w:vAlign w:val="center"/>
          </w:tcPr>
          <w:p>
            <w:pPr>
              <w:spacing w:after="20" w:line="240" w:lineRule="auto"/>
            </w:pPr>
            <w:r>
              <w:t xml:space="preserve">Sell function, retain ownership</w:t>
            </w:r>
          </w:p>
        </w:tc>
        <w:tc>
          <w:tcPr>
            <w:tcW w:w="2340" w:type="dxa"/>
            <w:vAlign w:val="center"/>
          </w:tcPr>
          <w:p>
            <w:pPr>
              <w:spacing w:after="20" w:line="240" w:lineRule="auto"/>
            </w:pPr>
            <w:r>
              <w:t xml:space="preserve">Reverse logistics, tracking</w:t>
            </w:r>
          </w:p>
        </w:tc>
        <w:tc>
          <w:tcPr>
            <w:tcW w:w="2340" w:type="dxa"/>
            <w:vAlign w:val="center"/>
          </w:tcPr>
          <w:p>
            <w:pPr>
              <w:spacing w:after="20" w:line="240" w:lineRule="auto"/>
            </w:pPr>
            <w:r>
              <w:t xml:space="preserve">Value retention</w:t>
            </w:r>
          </w:p>
        </w:tc>
      </w:tr>
      <w:tr>
        <w:tc>
          <w:tcPr>
            <w:tcW w:w="2340" w:type="dxa"/>
            <w:vAlign w:val="center"/>
          </w:tcPr>
          <w:p>
            <w:pPr>
              <w:spacing w:after="20" w:line="240" w:lineRule="auto"/>
            </w:pPr>
            <w:r>
              <w:t xml:space="preserve">Repair and remanufacturing</w:t>
            </w:r>
          </w:p>
        </w:tc>
        <w:tc>
          <w:tcPr>
            <w:tcW w:w="2340" w:type="dxa"/>
            <w:vAlign w:val="center"/>
          </w:tcPr>
          <w:p>
            <w:pPr>
              <w:spacing w:after="20" w:line="240" w:lineRule="auto"/>
            </w:pPr>
            <w:r>
              <w:t xml:space="preserve">Restore rather than replace</w:t>
            </w:r>
          </w:p>
        </w:tc>
        <w:tc>
          <w:tcPr>
            <w:tcW w:w="2340" w:type="dxa"/>
            <w:vAlign w:val="center"/>
          </w:tcPr>
          <w:p>
            <w:pPr>
              <w:spacing w:after="20" w:line="240" w:lineRule="auto"/>
            </w:pPr>
            <w:r>
              <w:t xml:space="preserve">Digital part libraries</w:t>
            </w:r>
          </w:p>
        </w:tc>
        <w:tc>
          <w:tcPr>
            <w:tcW w:w="2340" w:type="dxa"/>
            <w:vAlign w:val="center"/>
          </w:tcPr>
          <w:p>
            <w:pPr>
              <w:spacing w:after="20" w:line="240" w:lineRule="auto"/>
            </w:pPr>
            <w:r>
              <w:t xml:space="preserve">Service-life extension</w:t>
            </w:r>
          </w:p>
        </w:tc>
      </w:tr>
      <w:tr>
        <w:tc>
          <w:tcPr>
            <w:tcW w:w="2340" w:type="dxa"/>
            <w:vAlign w:val="center"/>
          </w:tcPr>
          <w:p>
            <w:pPr>
              <w:spacing w:after="20" w:line="240" w:lineRule="auto"/>
            </w:pPr>
            <w:r>
              <w:t xml:space="preserve">Take-back and recovery</w:t>
            </w:r>
          </w:p>
        </w:tc>
        <w:tc>
          <w:tcPr>
            <w:tcW w:w="2340" w:type="dxa"/>
            <w:vAlign w:val="center"/>
          </w:tcPr>
          <w:p>
            <w:pPr>
              <w:spacing w:after="20" w:line="240" w:lineRule="auto"/>
            </w:pPr>
            <w:r>
              <w:t xml:space="preserve">Reclaim end-of-life products</w:t>
            </w:r>
          </w:p>
        </w:tc>
        <w:tc>
          <w:tcPr>
            <w:tcW w:w="2340" w:type="dxa"/>
            <w:vAlign w:val="center"/>
          </w:tcPr>
          <w:p>
            <w:pPr>
              <w:spacing w:after="20" w:line="240" w:lineRule="auto"/>
            </w:pPr>
            <w:r>
              <w:t xml:space="preserve">Collection networks</w:t>
            </w:r>
          </w:p>
        </w:tc>
        <w:tc>
          <w:tcPr>
            <w:tcW w:w="2340" w:type="dxa"/>
            <w:vAlign w:val="center"/>
          </w:tcPr>
          <w:p>
            <w:pPr>
              <w:spacing w:after="20" w:line="240" w:lineRule="auto"/>
            </w:pPr>
            <w:r>
              <w:t xml:space="preserve">Loop closure</w:t>
            </w:r>
          </w:p>
        </w:tc>
      </w:tr>
    </w:tbl>
    <w:p>
      <w:pPr>
        <w:spacing w:after="120"/>
      </w:pPr>
    </w:p>
    <w:p>
      <w:pPr>
        <w:pStyle w:val="Heading2"/>
      </w:pPr>
      <w:r>
        <w:t xml:space="preserve">4.3 Standards, Policy, and Industrial Adoption</w:t>
      </w:r>
    </w:p>
    <w:p>
      <w:pPr>
        <w:pStyle w:val="Normal"/>
      </w:pPr>
      <w:r>
        <w:t xml:space="preserve">The scaling of circular additive manufacturing depends critically on standards, policy, and the institutional frameworks that build trust in recycled materials. Material standards and recycling certification provide the objective benchmarks that customers and regulators need to accept recycled feedstocks with confidence [15]. Standardized test methods for recyclate quality, agreed definitions of recycled content, and certification schemes that verify claims are prerequisites for recycled materials to compete on equal footing with virgin alternatives in regulated and safety-critical applications.</w:t>
      </w:r>
    </w:p>
    <w:p>
      <w:pPr>
        <w:pStyle w:val="Normal"/>
      </w:pPr>
      <w:r>
        <w:t xml:space="preserve">Regulatory challenges for recycled feedstocks are non-trivial. In sectors such as food contact, medical devices, and aerospace, stringent qualification requirements can make it difficult to introduce recycled materials whose composition and history are inherently more variable than virgin feedstocks [31]. Regulators must balance the environmental imperative to embrace circularity against the legitimate need to ensure safety and performance, and this tension is currently resolved unevenly across jurisdictions and industries. Clear, science-based regulatory pathways for qualifying recycled feedstocks would substantially accelerate adoption.</w:t>
      </w:r>
    </w:p>
    <w:p>
      <w:pPr>
        <w:pStyle w:val="Normal"/>
      </w:pPr>
      <w:r>
        <w:t xml:space="preserve">Strategies for scaling circular additive manufacturing must therefore combine technical, economic, and policy levers. Extended producer responsibility schemes that assign end-of-life obligations to manufacturers, public procurement that favors recycled content, and incentives for distributed recycling infrastructure can all tilt the economics toward circularity [3]. Industry consortia and open-material databases that share validated processing parameters for recycled feedstocks lower the barrier to entry for new adopters. Coordinated action across these fronts is needed to move circular additive manufacturing from pioneering demonstrations to mainstream practice [11].</w:t>
      </w:r>
    </w:p>
    <w:p>
      <w:pPr>
        <w:pStyle w:val="Heading2"/>
      </w:pPr>
      <w:r>
        <w:t xml:space="preserve">4.4 Future Research Directions</w:t>
      </w:r>
    </w:p>
    <w:p>
      <w:pPr>
        <w:pStyle w:val="Normal"/>
      </w:pPr>
      <w:r>
        <w:t xml:space="preserve">The research frontier for circular additive manufacturing is broad and rapidly evolving, with several priorities standing out. The development of high-performance recyclable materials that retain their properties across many cycles is perhaps the most fundamental need. Advances in vitrimers, reversible chemistries, and stabilizer packages that arrest degradation could dramatically extend the number of viable recycling cycles, transforming the economics and environmental performance of closed loops [38]. Materials designed from the outset for recyclability, rather than recycled as an afterthought, represent the clearest path to durable circularity.</w:t>
      </w:r>
    </w:p>
    <w:p>
      <w:pPr>
        <w:pStyle w:val="Normal"/>
      </w:pPr>
      <w:r>
        <w:t xml:space="preserve">Autonomous closed-loop recycling and manufacturing systems constitute a second frontier. Integrating robotic sorting, automated reprocessing, AI-driven quality control, and adaptive printing into self-managing cells could enable continuous, low-intervention circular production [39]. Such systems would monitor their own feedstock quality, adjust parameters autonomously, and route material through the optimal recovery pathway, realizing the vision of factories that consume their own waste as raw material with minimal human oversight. The layered digital ecosystem depicted in Figure 4 provides the conceptual blueprint for such autonomy, since it is precisely the integration of sensing, simulation, provenance tracking, and machine intelligence that allows a manufacturing cell to close its own material loop without constant human intervention.</w:t>
      </w:r>
    </w:p>
    <w:p>
      <w:pPr>
        <w:pStyle w:val="Normal"/>
      </w:pPr>
      <w:r>
        <w:t xml:space="preserve">Complementary research priorities include the development of standardized, openly shared datasets that link recyclate composition and processing history to part performance, which would accelerate the training of the predictive models on which autonomous systems depend. Advances in rapid, non-destructive characterization of incoming feedstock would remove another bottleneck, enabling real-time sorting and quality assurance at industrial throughput. On the materials side, designing polymers whose recycling signatures are easy to detect, and whose properties are inherently stable across cycles, would ease the burden on downstream systems. Progress on these fronts is mutually reinforcing, since better materials simplify sorting, better sensing enables better control, and better data improves the intelligence that ties the system together.</w:t>
      </w:r>
    </w:p>
    <w:p>
      <w:pPr>
        <w:pStyle w:val="Normal"/>
      </w:pPr>
      <w:r>
        <w:t xml:space="preserve">The overarching goal that unifies these efforts is the pathway toward zero-waste and climate-neutral 3D printing. Achieving it requires simultaneous progress on renewable feedstocks, renewable energy for printing, complete material recovery, and design practices that eliminate waste at the source [20]. Overall, the transition toward sustainable, circular additive manufacturing requires a balanced approach in which technological capability, material innovation, economic viability, ethical governance, and stakeholder acceptance develop together. A data-driven, systems-level framework can provide manufacturers with a structured mechanism for identifying gaps, prioritizing investments, evaluating progress, and developing responsible circular strategies. The engineering and research community should remain at the center of this transformation so that additive manufacturing becomes an enabler of resource efficiency, resilience, innovation, and environmental regeneration rather than simply another layer of industrial consumption.</w:t>
      </w:r>
    </w:p>
    <w:p>
      <w:pPr>
        <w:pStyle w:val="Heading1"/>
      </w:pPr>
      <w:r>
        <w:t xml:space="preserve">References</w:t>
      </w:r>
    </w:p>
    <w:p>
      <w:pPr>
        <w:pStyle w:val="References"/>
      </w:pPr>
      <w:r>
        <w:t xml:space="preserve">[1] Ellen MacArthur Foundation, "Towards the circular economy: Economic and business rationale for an accelerated transition," Circular Economy Reports, vol. 1, pp. 1–98, 2013.</w:t>
      </w:r>
    </w:p>
    <w:p>
      <w:pPr>
        <w:pStyle w:val="References"/>
      </w:pPr>
      <w:r>
        <w:t xml:space="preserve">[2] Geissdoerfer, M., Savaget, P., Bocken, N. M. P., and Hultink, E. J., "The circular economy – A new sustainability paradigm?," Journal of Cleaner Production, vol. 143, pp. 757–768, 2017.</w:t>
      </w:r>
    </w:p>
    <w:p>
      <w:pPr>
        <w:pStyle w:val="References"/>
      </w:pPr>
      <w:r>
        <w:t xml:space="preserve">[3] Kirchherr, J., Reike, D., and Hekkert, M., "Conceptualizing the circular economy: An analysis of 114 definitions," Resources, Conservation and Recycling, vol. 127, pp. 221–232, 2017.</w:t>
      </w:r>
    </w:p>
    <w:p>
      <w:pPr>
        <w:pStyle w:val="References"/>
      </w:pPr>
      <w:r>
        <w:t xml:space="preserve">[4] Ford, S., and Despeisse, M., "Additive manufacturing and sustainability: An exploratory study of the advantages and challenges," Journal of Cleaner Production, vol. 137, pp. 1573–1587, 2016.</w:t>
      </w:r>
    </w:p>
    <w:p>
      <w:pPr>
        <w:pStyle w:val="References"/>
      </w:pPr>
      <w:r>
        <w:t xml:space="preserve">[5] Despeisse, M., et al., "Unlocking value for a circular economy through 3D printing: A research agenda," Technological Forecasting and Social Change, vol. 115, pp. 75–84, 2017.</w:t>
      </w:r>
    </w:p>
    <w:p>
      <w:pPr>
        <w:pStyle w:val="References"/>
      </w:pPr>
      <w:r>
        <w:t xml:space="preserve">[6] Sauerwein, M., Doubrovski, E., Balkenende, R., and Bakker, C., "Exploring the potential of additive manufacturing for product design in a circular economy," Journal of Cleaner Production, vol. 226, pp. 1138–1149, 2019.</w:t>
      </w:r>
    </w:p>
    <w:p>
      <w:pPr>
        <w:pStyle w:val="References"/>
      </w:pPr>
      <w:r>
        <w:t xml:space="preserve">[7] Peng, T., Kellens, K., Tang, R., Chen, C., and Chen, G., "Sustainability of additive manufacturing: An overview on its energy demand and environmental impact," Additive Manufacturing, vol. 21, pp. 694–704, 2018.</w:t>
      </w:r>
    </w:p>
    <w:p>
      <w:pPr>
        <w:pStyle w:val="References"/>
      </w:pPr>
      <w:r>
        <w:t xml:space="preserve">[8] Faludi, J., Bayley, C., Bhogal, S., and Iribarne, M., "Comparing environmental impacts of additive manufacturing vs traditional machining via life-cycle assessment," Rapid Prototyping Journal, vol. 21, no. 1, pp. 14–33, 2015.</w:t>
      </w:r>
    </w:p>
    <w:p>
      <w:pPr>
        <w:pStyle w:val="References"/>
      </w:pPr>
      <w:r>
        <w:t xml:space="preserve">[9] Baumers, M., Tuck, C., Wildman, R., Ashcroft, I., and Hague, R., "Energy inputs to additive manufacturing: Does capacity utilization matter?," Solid Freeform Fabrication Symposium Proceedings, pp. 30–40, 2011.</w:t>
      </w:r>
    </w:p>
    <w:p>
      <w:pPr>
        <w:pStyle w:val="References"/>
      </w:pPr>
      <w:r>
        <w:t xml:space="preserve">[10] Kellens, K., Baumers, M., Gutowski, T. G., Flanagan, W., Lifset, R., and Duflou, J. R., "Environmental dimensions of additive manufacturing," Journal of Industrial Ecology, vol. 21, no. S1, pp. S49–S68, 2017.</w:t>
      </w:r>
    </w:p>
    <w:p>
      <w:pPr>
        <w:pStyle w:val="References"/>
      </w:pPr>
      <w:r>
        <w:t xml:space="preserve">[11] Shanmugam, V., et al., "The mechanical testing and performance analysis of polymer-fibre composites prepared through the additive manufacturing," Polymer Testing, vol. 93, p. 106925, 2021.</w:t>
      </w:r>
    </w:p>
    <w:p>
      <w:pPr>
        <w:pStyle w:val="References"/>
      </w:pPr>
      <w:r>
        <w:t xml:space="preserve">[12] Cruz Sanchez, F. A., Boudaoud, H., Camargo, M., and Pearce, J. M., "Plastic recycling in additive manufacturing: A systematic literature review and opportunities for the circular economy," Journal of Cleaner Production, vol. 264, p. 121602, 2020.</w:t>
      </w:r>
    </w:p>
    <w:p>
      <w:pPr>
        <w:pStyle w:val="References"/>
      </w:pPr>
      <w:r>
        <w:t xml:space="preserve">[13] Farah, S., Anderson, D. G., and Langer, R., "Physical and mechanical properties of PLA, and their functions in widespread applications," Advanced Drug Delivery Reviews, vol. 107, pp. 367–392, 2016.</w:t>
      </w:r>
    </w:p>
    <w:p>
      <w:pPr>
        <w:pStyle w:val="References"/>
      </w:pPr>
      <w:r>
        <w:t xml:space="preserve">[14] Rasal, R. M., Janorkar, A. V., and Hirt, D. E., "Poly(lactic acid) modifications," Progress in Polymer Science, vol. 35, no. 3, pp. 338–356, 2010.</w:t>
      </w:r>
    </w:p>
    <w:p>
      <w:pPr>
        <w:pStyle w:val="References"/>
      </w:pPr>
      <w:r>
        <w:t xml:space="preserve">[15] Vidakis, N., et al., "Sustainable additive manufacturing: Mechanical response of recycled polymers in multiple recycling cycles," Materials, vol. 14, no. 5, p. 1162, 2021.</w:t>
      </w:r>
    </w:p>
    <w:p>
      <w:pPr>
        <w:pStyle w:val="References"/>
      </w:pPr>
      <w:r>
        <w:t xml:space="preserve">[16] ISO 14040, "Environmental management — Life cycle assessment — Principles and framework," International Organization for Standardization, Geneva, 2006.</w:t>
      </w:r>
    </w:p>
    <w:p>
      <w:pPr>
        <w:pStyle w:val="References"/>
      </w:pPr>
      <w:r>
        <w:t xml:space="preserve">[17] Kreiger, M., and Pearce, J. M., "Environmental life cycle analysis of distributed three-dimensional printing and conventional manufacturing of polymer products," ACS Sustainable Chemistry and Engineering, vol. 1, no. 12, pp. 1511–1519, 2013.</w:t>
      </w:r>
    </w:p>
    <w:p>
      <w:pPr>
        <w:pStyle w:val="References"/>
      </w:pPr>
      <w:r>
        <w:t xml:space="preserve">[18] Gebler, M., Schoot Uiterkamp, A. J. M., and Visser, C., "A global sustainability perspective on 3D printing technologies," Energy Policy, vol. 74, pp. 158–167, 2014.</w:t>
      </w:r>
    </w:p>
    <w:p>
      <w:pPr>
        <w:pStyle w:val="References"/>
      </w:pPr>
      <w:r>
        <w:t xml:space="preserve">[19] Tao, F., Cheng, J., Qi, Q., Zhang, M., Zhang, H., and Sui, F., "Digital twin-driven product design, manufacturing and service with big data," International Journal of Advanced Manufacturing Technology, vol. 94, pp. 3563–3576, 2018.</w:t>
      </w:r>
    </w:p>
    <w:p>
      <w:pPr>
        <w:pStyle w:val="References"/>
      </w:pPr>
      <w:r>
        <w:t xml:space="preserve">[20] Colorado, H. A., Velásquez, E. I. G., and Monteiro, S. N., "Sustainability of additive manufacturing: The circular economy of materials and environmental perspectives," Journal of Materials Research and Technology, vol. 9, no. 4, pp. 8221–8234, 2020.</w:t>
      </w:r>
    </w:p>
    <w:p>
      <w:pPr>
        <w:pStyle w:val="References"/>
      </w:pPr>
      <w:r>
        <w:t xml:space="preserve">[21] Ragaert, K., Delva, L., and Van Geem, K., "Mechanical and chemical recycling of solid plastic waste," Waste Management, vol. 69, pp. 24–58, 2017.</w:t>
      </w:r>
    </w:p>
    <w:p>
      <w:pPr>
        <w:pStyle w:val="References"/>
      </w:pPr>
      <w:r>
        <w:t xml:space="preserve">[22] Pearce, J. M., et al., "Distributed recycling of waste polymer into RepRap feedstock," Rapid Prototyping Journal, vol. 19, no. 2, pp. 118–125, 2013.</w:t>
      </w:r>
    </w:p>
    <w:p>
      <w:pPr>
        <w:pStyle w:val="References"/>
      </w:pPr>
      <w:r>
        <w:t xml:space="preserve">[23] Vollmer, I., et al., "Beyond mechanical recycling: Giving new life to plastic waste," Angewandte Chemie International Edition, vol. 59, no. 36, pp. 15402–15423, 2020.</w:t>
      </w:r>
    </w:p>
    <w:p>
      <w:pPr>
        <w:pStyle w:val="References"/>
      </w:pPr>
      <w:r>
        <w:t xml:space="preserve">[24] Zhao, P., Rao, C., Gu, F., Sharmin, N., and Fu, J., "Close-looped recycling of polylactic acid used in 3D printing: An experimental investigation and life cycle assessment," Journal of Cleaner Production, vol. 197, pp. 1046–1055, 2018.</w:t>
      </w:r>
    </w:p>
    <w:p>
      <w:pPr>
        <w:pStyle w:val="References"/>
      </w:pPr>
      <w:r>
        <w:t xml:space="preserve">[25] Anderson, I., "Mechanical properties of specimens 3D printed with virgin and recycled polylactic acid," 3D Printing and Additive Manufacturing, vol. 4, no. 2, pp. 110–115, 2017.</w:t>
      </w:r>
    </w:p>
    <w:p>
      <w:pPr>
        <w:pStyle w:val="References"/>
      </w:pPr>
      <w:r>
        <w:t xml:space="preserve">[26] Lanzotti, A., Martorelli, M., Maietta, S., Gerbino, S., Penta, F., and Gloria, A., "A comparison between mechanical properties of specimens 3D printed with virgin and recycled PLA," Procedia CIRP, vol. 79, pp. 143–146, 2019.</w:t>
      </w:r>
    </w:p>
    <w:p>
      <w:pPr>
        <w:pStyle w:val="References"/>
      </w:pPr>
      <w:r>
        <w:t xml:space="preserve">[27] Tian, X., Liu, T., Wang, Q., Dilmurat, A., Li, D., and Ziegmann, G., "Recycling and remanufacturing of 3D printed continuous carbon fiber reinforced PLA composites," Journal of Cleaner Production, vol. 142, pp. 1609–1618, 2017.</w:t>
      </w:r>
    </w:p>
    <w:p>
      <w:pPr>
        <w:pStyle w:val="References"/>
      </w:pPr>
      <w:r>
        <w:t xml:space="preserve">[28] Mohammed, M. I., Wilson, D., Gomez-Kervin, E., Vidler, C., Rosson, L., and Long, J., "Investigation of closed-loop manufacturing with acrylonitrile butadiene styrene over multiple generations using additive manufacturing," ACS Sustainable Chemistry and Engineering, vol. 7, no. 16, pp. 13955–13969, 2019.</w:t>
      </w:r>
    </w:p>
    <w:p>
      <w:pPr>
        <w:pStyle w:val="References"/>
      </w:pPr>
      <w:r>
        <w:t xml:space="preserve">[29] Le Duigou, A., Castro, M., Bevan, R., and Martin, N., "3D printing of wood fibre biocomposites: From mechanical to actuation functionality," Materials and Design, vol. 96, pp. 106–114, 2016.</w:t>
      </w:r>
    </w:p>
    <w:p>
      <w:pPr>
        <w:pStyle w:val="References"/>
      </w:pPr>
      <w:r>
        <w:t xml:space="preserve">[30] Stoof, D., and Pickering, K., "Sustainable composite fused deposition modelling filament using recycled pre-consumer polypropylene," Composites Part B: Engineering, vol. 135, pp. 110–118, 2018.</w:t>
      </w:r>
    </w:p>
    <w:p>
      <w:pPr>
        <w:pStyle w:val="References"/>
      </w:pPr>
      <w:r>
        <w:t xml:space="preserve">[31] Mazzanti, V., Malagutti, L., and Mollica, F., "FDM 3D printing of polymers containing natural fillers: A review of their mechanical properties," Polymers, vol. 11, no. 7, p. 1094, 2019.</w:t>
      </w:r>
    </w:p>
    <w:p>
      <w:pPr>
        <w:pStyle w:val="References"/>
      </w:pPr>
      <w:r>
        <w:t xml:space="preserve">[32] Sahajwalla, V., and Gaikwad, V., "The present and future of e-waste plastics recycling," Current Opinion in Green and Sustainable Chemistry, vol. 13, pp. 102–107, 2018.</w:t>
      </w:r>
    </w:p>
    <w:p>
      <w:pPr>
        <w:pStyle w:val="References"/>
      </w:pPr>
      <w:r>
        <w:t xml:space="preserve">[33] Woern, A. L., Byard, D. J., Oakley, R. B., Fiedler, M. J., Snabes, S. L., and Pearce, J. M., "Fused particle fabrication 3-D printing: Recycled materials' optimization and mechanical properties," Materials, vol. 11, no. 8, p. 1413, 2018.</w:t>
      </w:r>
    </w:p>
    <w:p>
      <w:pPr>
        <w:pStyle w:val="References"/>
      </w:pPr>
      <w:r>
        <w:t xml:space="preserve">[34] Little, H. A., et al., "Towards distributed recycling with additive manufacturing of PET flake feedstocks," Materials, vol. 13, no. 19, p. 4273, 2020.</w:t>
      </w:r>
    </w:p>
    <w:p>
      <w:pPr>
        <w:pStyle w:val="References"/>
      </w:pPr>
      <w:r>
        <w:t xml:space="preserve">[35] Luscuere, L. M., "Materials Passports: Optimising value recovery from materials," Proceedings of the Institution of Civil Engineers – Waste and Resource Management, vol. 170, no. 1, pp. 25–28, 2017.</w:t>
      </w:r>
    </w:p>
    <w:p>
      <w:pPr>
        <w:pStyle w:val="References"/>
      </w:pPr>
      <w:r>
        <w:t xml:space="preserve">[36] Wang, X., Jiang, M., Zhou, Z., Gou, J., and Hui, D., "3D printing of polymer matrix composites: A review and prospective," Composites Part B: Engineering, vol. 110, pp. 442–458, 2017.</w:t>
      </w:r>
    </w:p>
    <w:p>
      <w:pPr>
        <w:pStyle w:val="References"/>
      </w:pPr>
      <w:r>
        <w:t xml:space="preserve">[37] Mimini, V., et al., "Compatibility of lignin with bio-based polymers for 3D printing applications," Journal of Applied Polymer Science, vol. 136, no. 46, p. 48147, 2019.</w:t>
      </w:r>
    </w:p>
    <w:p>
      <w:pPr>
        <w:pStyle w:val="References"/>
      </w:pPr>
      <w:r>
        <w:t xml:space="preserve">[38] Denissen, W., Winne, J. M., and Du Prez, F. E., "Vitrimers: Permanent organic networks with glass-like fluidity," Chemical Science, vol. 7, no. 1, pp. 30–38, 2016.</w:t>
      </w:r>
    </w:p>
    <w:p>
      <w:pPr>
        <w:pStyle w:val="References"/>
      </w:pPr>
      <w:r>
        <w:t xml:space="preserve">[39] Zhang, B., et al., "Reprocessable thermosets for sustainable three-dimensional printing," Nature Communications, vol. 9, p. 1831, 2018.</w:t>
      </w:r>
    </w:p>
    <w:p>
      <w:pPr>
        <w:pStyle w:val="References"/>
      </w:pPr>
      <w:r>
        <w:t xml:space="preserve">[40] Bakker, C., Wang, F., Huisman, J., and den Hollander, M., "Products that go round: Exploring product life extension through design," Journal of Cleaner Production, vol. 69, pp. 10–16, 2014.</w:t>
      </w:r>
    </w:p>
    <w:p>
      <w:pPr>
        <w:pStyle w:val="References"/>
      </w:pPr>
      <w:r>
        <w:t xml:space="preserve">[41] den Hollander, M. C., Bakker, C. A., and Hultink, E. J., "Product design in a circular economy: Development of a typology of key concepts and terms," Journal of Industrial Ecology, vol. 21, no. 3, pp. 517–525, 2017.</w:t>
      </w:r>
    </w:p>
    <w:p>
      <w:pPr>
        <w:pStyle w:val="References"/>
      </w:pPr>
      <w:r>
        <w:t xml:space="preserve">[42] Bocken, N. M. P., de Pauw, I., Bakker, C., and van der Grinten, B., "Product design and business model strategies for a circular economy," Journal of Industrial and Production Engineering, vol. 33, no. 5, pp. 308–320, 2016.</w:t>
      </w:r>
    </w:p>
    <w:p>
      <w:pPr>
        <w:pStyle w:val="References"/>
      </w:pPr>
      <w:r>
        <w:t xml:space="preserve">[43] Wilson, J. M., Piya, C., Shin, Y. C., Zhao, F., and Ramani, K., "Remanufacturing of turbine blades by laser direct deposition with its energy and environmental impact analysis," Journal of Cleaner Production, vol. 80, pp. 170–178, 2014.</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jc w:val="left"/>
    </w:pPr>
    <w:rPr>
      <w:sz w:val="22"/>
      <w:szCs w:val="22"/>
    </w:rPr>
  </w:style>
  <w:style w:type="paragraph" w:styleId="FigureImg">
    <w:name w:val="Figure Image"/>
    <w:basedOn w:val="Normal"/>
    <w:pPr>
      <w:jc w:val="center"/>
      <w:spacing w:before="200" w:after="60"/>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160" w:after="60"/>
      <w:jc w:val="left"/>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0" Type="http://schemas.openxmlformats.org/officeDocument/2006/relationships/image" Target="media/Figure_1_Recycling_Degradation.png"/>
<Relationship Id="rId101" Type="http://schemas.openxmlformats.org/officeDocument/2006/relationships/image" Target="media/Figure_2_Closed_Loop_Workflow.png"/>
<Relationship Id="rId102" Type="http://schemas.openxmlformats.org/officeDocument/2006/relationships/image" Target="media/Figure_3_Embodied_Carbon.png"/>
<Relationship Id="rId103" Type="http://schemas.openxmlformats.org/officeDocument/2006/relationships/image" Target="media/Figure_4_Digital_Ecosystem.png"/>
</Relationships>
</file>