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600"/>
      </w:pPr>
      <w:r>
        <w:rPr/>
        <w:t xml:space="preserve"/>
      </w:r>
    </w:p>
    <w:p>
      <w:pPr>
        <w:jc w:val="center"/>
        <w:spacing w:after="200"/>
      </w:pPr>
      <w:r>
        <w:rPr>
          <w:b/>
          <w:sz w:val="28"/>
          <w:szCs w:val="28"/>
        </w:rPr>
        <w:t xml:space="preserve">CHAPTER 16</w:t>
      </w:r>
    </w:p>
    <w:p>
      <w:pPr>
        <w:jc w:val="center"/>
        <w:spacing w:after="400"/>
      </w:pPr>
      <w:r>
        <w:rPr>
          <w:b/>
          <w:sz w:val="36"/>
          <w:szCs w:val="36"/>
        </w:rPr>
        <w:t xml:space="preserve">AI-ASSISTED DESIGN OF NANOMATERIALS</w:t>
      </w:r>
    </w:p>
    <w:p>
      <w:pPr>
        <w:jc w:val="center"/>
        <w:spacing w:after="200"/>
      </w:pPr>
      <w:r>
        <w:rPr>
          <w:b/>
          <w:sz w:val="24"/>
          <w:szCs w:val="24"/>
        </w:rPr>
        <w:t xml:space="preserve">Dr. Sachin Kalsi</w:t>
      </w:r>
    </w:p>
    <w:p>
      <w:pPr>
        <w:jc w:val="center"/>
        <w:spacing w:after="100"/>
      </w:pPr>
      <w:r>
        <w:rPr>
          <w:i/>
          <w:sz w:val="22"/>
          <w:szCs w:val="22"/>
        </w:rPr>
        <w:t xml:space="preserve">For: AI in Botany and Nanoscience: Approaches to Next-Gen Forensics</w:t>
      </w:r>
    </w:p>
    <w:p>
      <w:pPr>
        <w:jc w:val="center"/>
        <w:spacing w:after="600"/>
      </w:pPr>
      <w:r>
        <w:rPr>
          <w:i/>
          <w:sz w:val="22"/>
          <w:szCs w:val="22"/>
        </w:rPr>
        <w:t xml:space="preserve">Publisher: Nova Science Publishers</w:t>
      </w:r>
    </w:p>
    <w:p>
      <w:pPr>
        <w:jc w:val="center"/>
        <w:spacing w:after="200"/>
      </w:pPr>
      <w:r>
        <w:rPr>
          <w:b/>
          <w:sz w:val="24"/>
          <w:szCs w:val="24"/>
        </w:rPr>
        <w:t xml:space="preserve">ABSTRACT</w:t>
      </w:r>
    </w:p>
    <w:p>
      <w:pPr>
        <w:spacing w:after="200"/>
      </w:pPr>
      <w:r>
        <w:rPr>
          <w:i/>
          <w:sz w:val="22"/>
          <w:szCs w:val="22"/>
        </w:rPr>
        <w:t xml:space="preserve">The convergence of artificial intelligence (AI) and nanotechnology represents a transformative paradigm in materials science, enabling the accelerated discovery, design, and optimization of nanomaterials with tailored properties. This chapter provides a comprehensive overview of AI-assisted approaches for the design of nanomaterials, encompassing machine learning algorithms, deep learning architectures, generative models, and reinforcement learning strategies. We discuss how these computational methodologies are revolutionizing the traditional trial-and-error approach to nanomaterial synthesis by enabling property prediction, inverse design, high-throughput screening, and autonomous experimentation. Particular emphasis is placed on the application of graph neural networks for crystal structure prediction, generative adversarial networks for novel material generation, and Bayesian optimization for synthesis parameter tuning. Furthermore, the chapter explores the intersection of AI-designed nanomaterials with forensic science applications, including enhanced fingerprint detection, trace evidence analysis, and biosensing for forensic diagnostics. Challenges related to data scarcity, model interpretability, and experimental validation are critically examined, alongside future perspectives on the integration of large language models and foundation models in nanomaterial design workflows.</w:t>
      </w:r>
    </w:p>
    <w:p>
      <w:pPr>
        <w:spacing w:after="400"/>
      </w:pPr>
      <w:r>
        <w:rPr>
          <w:b/>
          <w:sz w:val="20"/>
          <w:szCs w:val="20"/>
        </w:rPr>
        <w:t xml:space="preserve">Keywords: Artificial Intelligence; Nanomaterials; Machine Learning; Deep Learning; Inverse Design; Generative Models; Forensic Science; Nanotechnology; High-Throughput Screening; Graph Neural Networks</w:t>
      </w:r>
    </w:p>
    <w:p>
      <w:r>
        <w:br w:type="page"/>
      </w:r>
    </w:p>
    <w:p>
      <w:pPr>
        <w:pStyle w:val="Heading1"/>
      </w:pPr>
      <w:r>
        <w:rPr>
          <w:b/>
          <w:sz w:val="32"/>
          <w:szCs w:val="32"/>
        </w:rPr>
        <w:t xml:space="preserve">1. FOUNDATIONS OF AI-ASSISTED NANOMATERIAL DESIGN</w:t>
      </w:r>
    </w:p>
    <w:p>
      <w:pPr>
        <w:pStyle w:val="Heading2"/>
      </w:pPr>
      <w:r>
        <w:rPr>
          <w:b/>
          <w:sz w:val="28"/>
          <w:szCs w:val="28"/>
        </w:rPr>
        <w:t xml:space="preserve">1.1 Introduction</w:t>
      </w:r>
    </w:p>
    <w:p>
      <w:pPr/>
      <w:r>
        <w:rPr>
          <w:sz w:val="24"/>
          <w:szCs w:val="24"/>
          <w:rFonts w:ascii="Times New Roman" w:hAnsi="Times New Roman"/>
        </w:rPr>
        <w:t xml:space="preserve">The design and discovery of nanomaterials with precisely controlled properties has long been a cornerstone challenge in materials science and nanotechnology. Traditional approaches to nanomaterial development have relied predominantly on empirical experimentation and serendipitous discovery, processes that are inherently time-consuming, resource-intensive, and limited in their ability to explore the vast chemical and structural design space available [1,2]. The emergence of artificial intelligence (AI) and machine learning (ML) as powerful computational tools has fundamentally transformed this landscape, offering unprecedented capabilities for predicting material properties, optimizing synthesis conditions, and generating entirely novel material compositions and architectures [3,4].</w:t>
      </w:r>
    </w:p>
    <w:p>
      <w:pPr/>
      <w:r>
        <w:rPr>
          <w:sz w:val="24"/>
          <w:szCs w:val="24"/>
          <w:rFonts w:ascii="Times New Roman" w:hAnsi="Times New Roman"/>
        </w:rPr>
        <w:t xml:space="preserve">Nanomaterials, defined as materials with at least one dimension in the 1-100 nanometer range, exhibit unique size-dependent properties arising from quantum confinement effects, high surface-to-volume ratios, and distinctive electronic structures [5]. These properties make nanomaterials invaluable across diverse applications including catalysis, energy storage, biomedical therapeutics, environmental remediation, and forensic investigation [6,7]. However, the relationship between a nanomaterial's composition, structure, morphology, and functional properties is governed by complex, multidimensional, and often non-linear interactions that challenge conventional analytical approaches [8].</w:t>
      </w:r>
    </w:p>
    <w:p>
      <w:pPr/>
      <w:r>
        <w:rPr>
          <w:sz w:val="24"/>
          <w:szCs w:val="24"/>
          <w:rFonts w:ascii="Times New Roman" w:hAnsi="Times New Roman"/>
        </w:rPr>
        <w:t xml:space="preserve">AI-assisted design methodologies address these challenges by leveraging data-driven models capable of learning intricate structure-property relationships from experimental and computational datasets [9,10]. Machine learning algorithms can identify hidden patterns within high-dimensional data, predict material behaviors before synthesis, and guide experimental campaigns toward optimal regions of the design space [11]. Deep learning architectures, particularly graph neural networks and convolutional neural networks, have demonstrated remarkable accuracy in predicting crystal structures, electronic properties, and mechanical characteristics of nanomaterials [12,13].</w:t>
      </w:r>
    </w:p>
    <w:p>
      <w:pPr/>
      <w:r>
        <w:rPr>
          <w:sz w:val="24"/>
          <w:szCs w:val="24"/>
          <w:rFonts w:ascii="Times New Roman" w:hAnsi="Times New Roman"/>
        </w:rPr>
        <w:t xml:space="preserve">The integration of AI with nanotechnology is particularly relevant to forensic science, where nanomaterials serve as advanced sensing platforms, enhancement agents for latent evidence detection, and analytical tools for trace compound identification [14,15]. AI-designed nanomaterials can be tailored with specific optical, electrical, or chemical properties optimized for forensic applications, such as quantum dots engineered for enhanced fingerprint fluorescence imaging or metallic nanoparticles designed for surface-enhanced Raman spectroscopy (SERS) of illicit substances [16,17]. This chapter presents a comprehensive examination of AI-assisted approaches for nanomaterial design, organized around the key computational methodologies, their applications in materials discovery, and their specific relevance to forensic nanotechnology.</w:t>
      </w:r>
    </w:p>
    <w:p>
      <w:pPr>
        <w:pStyle w:val="Heading2"/>
      </w:pPr>
      <w:r>
        <w:rPr>
          <w:b/>
          <w:sz w:val="28"/>
          <w:szCs w:val="28"/>
        </w:rPr>
        <w:t xml:space="preserve">1.2 Fundamentals of Nanomaterials and Conventional Design Limitations</w:t>
      </w:r>
    </w:p>
    <w:p>
      <w:pPr/>
      <w:r>
        <w:rPr>
          <w:sz w:val="24"/>
          <w:szCs w:val="24"/>
          <w:rFonts w:ascii="Times New Roman" w:hAnsi="Times New Roman"/>
        </w:rPr>
        <w:t xml:space="preserve">Nanomaterials encompass a diverse range of structures including nanoparticles, nanowires, nanotubes, quantum dots, two-dimensional materials, and nanocomposites, each exhibiting distinct physicochemical properties determined by their size, shape, composition, crystallinity, and surface chemistry. The unique properties of nanomaterials emerge from quantum mechanical effects that become dominant at the nanoscale, including quantum confinement in semiconductor nanocrystals, localized surface plasmon resonance in metallic nanoparticles, and enhanced catalytic activity due to increased surface atom fractions [5].</w:t>
      </w:r>
    </w:p>
    <w:p>
      <w:pPr/>
      <w:r>
        <w:rPr>
          <w:sz w:val="24"/>
          <w:szCs w:val="24"/>
          <w:rFonts w:ascii="Times New Roman" w:hAnsi="Times New Roman"/>
        </w:rPr>
        <w:t xml:space="preserve">Conventional approaches to nanomaterial design have traditionally followed an iterative cycle of hypothesis formulation, experimental synthesis, characterization, and property evaluation. This Edisonian approach, while responsible for numerous discoveries, suffers from fundamental limitations: the vast combinatorial space of possible compositions and structures makes exhaustive exploration infeasible; the complex and often counterintuitive relationships between synthesis parameters and resulting properties resist simple analytical modeling; and the time and cost associated with each experimental iteration severely constrain the rate of discovery [1]. For instance, the design space for ternary metal oxide nanoparticles considering only composition, size, and morphology variables exceeds 10^15 possible combinations, rendering systematic experimental exploration impractical.</w:t>
      </w:r>
    </w:p>
    <w:p>
      <w:pPr>
        <w:pStyle w:val="Heading2"/>
      </w:pPr>
      <w:r>
        <w:rPr>
          <w:b/>
          <w:sz w:val="28"/>
          <w:szCs w:val="28"/>
        </w:rPr>
        <w:t xml:space="preserve">1.3 Emergence of AI in Materials Science</w:t>
      </w:r>
    </w:p>
    <w:p>
      <w:pPr/>
      <w:r>
        <w:rPr>
          <w:sz w:val="24"/>
          <w:szCs w:val="24"/>
          <w:rFonts w:ascii="Times New Roman" w:hAnsi="Times New Roman"/>
        </w:rPr>
        <w:t xml:space="preserve">The application of artificial intelligence to materials science has evolved through several distinct phases. Early computational materials science relied on physics-based simulations including density functional theory (DFT), molecular dynamics, and finite element methods. While highly accurate, these methods are computationally expensive, often requiring days to weeks for a single calculation, limiting their throughput for materials screening campaigns [2].</w:t>
      </w:r>
    </w:p>
    <w:p>
      <w:pPr/>
      <w:r>
        <w:rPr>
          <w:sz w:val="24"/>
          <w:szCs w:val="24"/>
          <w:rFonts w:ascii="Times New Roman" w:hAnsi="Times New Roman"/>
        </w:rPr>
        <w:t xml:space="preserve">The emergence of materials informatics in the 2010s marked a paradigm shift toward data-driven approaches. The establishment of large-scale computational databases including the Materials Project [10], the Open Quantum Materials Database (OQMD), the Inorganic Crystal Structure Database (ICSD), and the Novel Materials Discovery (NOMAD) repository provided the training data necessary for machine learning models. Simultaneously, advances in algorithm development, computational hardware, and software frameworks democratized access to sophisticated ML techniques.</w:t>
      </w:r>
    </w:p>
    <w:p>
      <w:pPr/>
      <w:r>
        <w:rPr>
          <w:sz w:val="24"/>
          <w:szCs w:val="24"/>
          <w:rFonts w:ascii="Times New Roman" w:hAnsi="Times New Roman"/>
        </w:rPr>
        <w:t xml:space="preserve">The AI workflow for nanomaterial discovery typically follows an iterative cycle comprising: (1) data collection and curation from experimental literature and computational databases; (2) feature engineering and descriptor selection to encode material characteristics numerically; (3) model training, validation, and selection using appropriate ML architectures; (4) property prediction and virtual screening of candidate materials; (5) inverse design to generate novel structures with target properties; and (6) experimental validation with active learning feedback to refine models iteratively [3,4].</w:t>
      </w:r>
    </w:p>
    <w:p>
      <w:pPr>
        <w:jc w:val="center"/>
        <w:pBdr>
          <w:top w:val="single" w:sz="12" w:space="4" w:color="4472C4"/>
          <w:left w:val="single" w:sz="12" w:space="4" w:color="4472C4"/>
          <w:bottom w:val="single" w:sz="12" w:space="4" w:color="4472C4"/>
          <w:right w:val="single" w:sz="12" w:space="4" w:color="4472C4"/>
        </w:pBdr>
        <w:spacing w:before="240" w:after="120"/>
      </w:pPr>
      <w:r>
        <w:rPr>
          <w:b/>
          <w:sz w:val="24"/>
          <w:szCs w:val="24"/>
        </w:rPr>
        <w:t xml:space="preserve">[FIGURE 1 - See Figure_1.png]</w:t>
      </w:r>
    </w:p>
    <w:p>
      <w:pPr>
        <w:jc w:val="center"/>
        <w:pBdr>
          <w:left w:val="single" w:sz="12" w:space="4" w:color="4472C4"/>
          <w:bottom w:val="single" w:sz="12" w:space="4" w:color="4472C4"/>
          <w:right w:val="single" w:sz="12" w:space="4" w:color="4472C4"/>
        </w:pBdr>
      </w:pPr>
      <w:r>
        <w:rPr>
          <w:i/>
          <w:sz w:val="20"/>
          <w:szCs w:val="20"/>
        </w:rPr>
        <w:t xml:space="preserve">Workflow: Data Sources -&gt; Feature Engineering -&gt; ML Training -&gt; Property Prediction -&gt; Inverse Design -&gt; Experimental Validation -&gt; Feedback Loop</w:t>
      </w:r>
    </w:p>
    <w:p>
      <w:pPr>
        <w:jc w:val="center"/>
        <w:spacing w:after="240"/>
      </w:pPr>
      <w:r>
        <w:rPr>
          <w:b/>
          <w:i/>
          <w:sz w:val="20"/>
          <w:szCs w:val="20"/>
        </w:rPr>
        <w:t xml:space="preserve">Figure 1: Schematic illustration of the AI-assisted nanomaterial design workflow depicting the iterative cycle of data collection, feature engineering, model training, property prediction, inverse design, and experimental validation with active learning feedback.</w:t>
      </w:r>
    </w:p>
    <w:p>
      <w:r>
        <w:br w:type="page"/>
      </w:r>
    </w:p>
    <w:p>
      <w:pPr>
        <w:pStyle w:val="Heading1"/>
      </w:pPr>
      <w:r>
        <w:rPr>
          <w:b/>
          <w:sz w:val="32"/>
          <w:szCs w:val="32"/>
        </w:rPr>
        <w:t xml:space="preserve">2. ARTIFICIAL INTELLIGENCE TECHNIQUES FOR NANOMATERIAL DESIGN</w:t>
      </w:r>
    </w:p>
    <w:p>
      <w:pPr>
        <w:pStyle w:val="Heading2"/>
      </w:pPr>
      <w:r>
        <w:rPr>
          <w:b/>
          <w:sz w:val="28"/>
          <w:szCs w:val="28"/>
        </w:rPr>
        <w:t xml:space="preserve">2.1 Machine Learning Approaches</w:t>
      </w:r>
    </w:p>
    <w:p>
      <w:pPr/>
      <w:r>
        <w:rPr>
          <w:sz w:val="24"/>
          <w:szCs w:val="24"/>
          <w:rFonts w:ascii="Times New Roman" w:hAnsi="Times New Roman"/>
        </w:rPr>
        <w:t xml:space="preserve">Machine learning, a subset of artificial intelligence, encompasses computational algorithms that improve their performance on specific tasks through experience with data, without being explicitly programmed for each scenario [18]. In the context of nanomaterial design, ML paradigms are broadly categorized into supervised learning, unsupervised learning, semi-supervised learning, and reinforcement learning, each offering distinct advantages for different aspects of the materials design pipeline [19].</w:t>
      </w:r>
    </w:p>
    <w:p>
      <w:pPr/>
      <w:r>
        <w:rPr>
          <w:sz w:val="24"/>
          <w:szCs w:val="24"/>
          <w:rFonts w:ascii="Times New Roman" w:hAnsi="Times New Roman"/>
        </w:rPr>
        <w:t xml:space="preserve">Supervised learning algorithms learn mappings from input features (descriptors) to target properties using labeled training data. Common algorithms include random forests (RF), support vector machines (SVM), gradient boosting methods such as XGBoost and LightGBM, and artificial neural networks [20]. These methods are widely employed for property prediction tasks, where molecular or structural descriptors serve as inputs and material properties such as band gap, elastic modulus, or catalytic activity serve as targets [21]. Unsupervised learning algorithms identify patterns and groupings within unlabeled data, enabling materials clustering, dimensionality reduction, and anomaly detection [22]. Principal component analysis (PCA), t-distributed stochastic neighbor embedding (t-SNE), and UMAP are frequently applied to organize large materials databases and identify structural families with similar property profiles.</w:t>
      </w:r>
    </w:p>
    <w:p>
      <w:pPr/>
      <w:r>
        <w:rPr>
          <w:sz w:val="24"/>
          <w:szCs w:val="24"/>
          <w:rFonts w:ascii="Times New Roman" w:hAnsi="Times New Roman"/>
        </w:rPr>
        <w:t xml:space="preserve">The success of ML models for nanomaterial property prediction depends critically on the quality and informativeness of input features, commonly termed descriptors [31]. Feature engineering encompasses compositional descriptors encoding elemental properties [32], structural descriptors capturing geometric information through radial distribution functions and SOAP descriptors [33], electronic descriptors from DFT calculations [34], and process descriptors encoding synthesis conditions. Reinforcement learning (RL) represents a fundamentally different paradigm where an agent learns optimal decision-making strategies through trial-and-error interactions with an environment [23]. In nanomaterial design, RL agents can learn to navigate chemical composition spaces, optimizing material properties by sequentially selecting atoms, functional groups, or synthesis parameters [24].</w:t>
      </w:r>
    </w:p>
    <w:p>
      <w:pPr>
        <w:pStyle w:val="Heading2"/>
      </w:pPr>
      <w:r>
        <w:rPr>
          <w:b/>
          <w:sz w:val="28"/>
          <w:szCs w:val="28"/>
        </w:rPr>
        <w:t xml:space="preserve">2.2 Deep Learning Architectures for Nanomaterials</w:t>
      </w:r>
    </w:p>
    <w:p>
      <w:pPr/>
      <w:r>
        <w:rPr>
          <w:sz w:val="24"/>
          <w:szCs w:val="24"/>
          <w:rFonts w:ascii="Times New Roman" w:hAnsi="Times New Roman"/>
        </w:rPr>
        <w:t xml:space="preserve">Deep learning extends traditional machine learning through multi-layered neural network architectures capable of learning hierarchical representations directly from raw data [25]. Several architectures have proven particularly effective for nanomaterial design. Convolutional Neural Networks (CNNs) excel at processing grid-structured data and have been applied extensively to microscopy image analysis for automated nanostructure classification and defect detection [26]. Graph Neural Networks (GNNs) represent materials as graphs where atoms are nodes and chemical bonds are edges, achieving state-of-the-art property prediction through message-passing operations that naturally encode crystallographic symmetries and periodic boundary conditions [12,13].</w:t>
      </w:r>
    </w:p>
    <w:p>
      <w:pPr/>
      <w:r>
        <w:rPr>
          <w:sz w:val="24"/>
          <w:szCs w:val="24"/>
          <w:rFonts w:ascii="Times New Roman" w:hAnsi="Times New Roman"/>
        </w:rPr>
        <w:t xml:space="preserve">The Crystal Graph Convolutional Neural Network (CGCNN) and Materials Graph Network (MEGNet) frameworks have demonstrated remarkable accuracy in predicting formation energies, band gaps, and elastic properties approaching DFT-level uncertainty with computational costs reduced by several orders of magnitude [27]. Transformer architectures, originally developed for natural language processing, have been adapted for materials science applications including text mining of scientific literature and multi-modal property prediction [28]. Variational Autoencoders (VAEs) and Generative Adversarial Networks (GANs) represent generative deep learning approaches capable of producing entirely novel material structures not present in training databases [29,30].</w:t>
      </w:r>
    </w:p>
    <w:p>
      <w:pPr>
        <w:pStyle w:val="Heading2"/>
      </w:pPr>
      <w:r>
        <w:rPr>
          <w:b/>
          <w:sz w:val="28"/>
          <w:szCs w:val="28"/>
        </w:rPr>
        <w:t xml:space="preserve">2.3 Generative AI and Inverse Materials Design</w:t>
      </w:r>
    </w:p>
    <w:p>
      <w:pPr/>
      <w:r>
        <w:rPr>
          <w:sz w:val="24"/>
          <w:szCs w:val="24"/>
          <w:rFonts w:ascii="Times New Roman" w:hAnsi="Times New Roman"/>
        </w:rPr>
        <w:t xml:space="preserve">Inverse design represents a paradigm shift from the traditional forward approach by starting with desired target properties and computationally generating material structures that satisfy these specifications [38,39]. For nanomaterials, inverse design must simultaneously optimize composition, crystal structure, morphology, size distribution, surface functionalization, and defect chemistry to achieve multiple target properties within specified constraints [40].</w:t>
      </w:r>
    </w:p>
    <w:p>
      <w:pPr/>
      <w:r>
        <w:rPr>
          <w:sz w:val="24"/>
          <w:szCs w:val="24"/>
          <w:rFonts w:ascii="Times New Roman" w:hAnsi="Times New Roman"/>
        </w:rPr>
        <w:t xml:space="preserve">Variational Autoencoders encode materials into a continuous latent space through an encoder network and reconstruct structures from latent vectors through a decoder network. The regularized latent space enables smooth interpolation between known materials and generation of novel compositions by sampling unexplored regions [29]. Applications include generation of novel zeolite frameworks from databases of over 30,000 known structures, and nanoparticle morphologies conditioned on target optical responses [40,41].</w:t>
      </w:r>
    </w:p>
    <w:p>
      <w:pPr/>
      <w:r>
        <w:rPr>
          <w:sz w:val="24"/>
          <w:szCs w:val="24"/>
          <w:rFonts w:ascii="Times New Roman" w:hAnsi="Times New Roman"/>
        </w:rPr>
        <w:t xml:space="preserve">Generative Adversarial Networks consist of competing generator and discriminator networks trained adversarially. Conditional GANs (cGANs) enable targeted inverse design by conditioning the generator on desired property vectors [30]. Applications include generation of porous materials with specified surface areas and pore volumes, plasmonic nanostructure design for maximum electromagnetic enhancement [42], and creation of graphene/BN hybrid structures with tailored electronic properties [43]. The AlloyGAN framework combines large language model text mining with conditional GANs for inverse alloy design [44].</w:t>
      </w:r>
    </w:p>
    <w:p>
      <w:pPr/>
      <w:r>
        <w:rPr>
          <w:sz w:val="24"/>
          <w:szCs w:val="24"/>
          <w:rFonts w:ascii="Times New Roman" w:hAnsi="Times New Roman"/>
        </w:rPr>
        <w:t xml:space="preserve">Denoising diffusion probabilistic models (DDPMs) represent the latest advancement in generative materials design, offering superior training stability and excellent mode coverage compared to GANs [45]. The DiffCSP framework achieves greater than 90% generation success for known thermodynamically stable materials. Equivariant diffusion models that respect physical symmetries of crystal structures generate materials with correct space group symmetries without requiring data augmentation. The Crystal Diffusion Variational Autoencoder (CDVAE) combines diffusion processes with variational inference for periodic structure generation [48].</w:t>
      </w:r>
    </w:p>
    <w:p>
      <w:pPr>
        <w:pStyle w:val="Heading2"/>
      </w:pPr>
      <w:r>
        <w:rPr>
          <w:b/>
          <w:sz w:val="28"/>
          <w:szCs w:val="28"/>
        </w:rPr>
        <w:t xml:space="preserve">2.4 Reinforcement Learning and Bayesian Optimization</w:t>
      </w:r>
    </w:p>
    <w:p>
      <w:pPr/>
      <w:r>
        <w:rPr>
          <w:sz w:val="24"/>
          <w:szCs w:val="24"/>
          <w:rFonts w:ascii="Times New Roman" w:hAnsi="Times New Roman"/>
        </w:rPr>
        <w:t xml:space="preserve">Reinforcement learning formulates nanomaterial design as a sequential decision-making problem with states representing current material configurations, actions corresponding to atomic or compositional modifications, and rewards derived from property evaluations [23,24]. Deep Q-Networks (DQN) and Proximal Policy Optimization (PPO) algorithms have discovered compositions with properties 2-5 times superior to random search baselines [46]. RL agents can optimize element ordering in bimetallic nanoparticles to simultaneously maximize catalytic activity and stability [47]. Reinforcement fine-tuning of generative models combines the strengths of discriminative and generative capabilities, enabling property-directed generation [48].</w:t>
      </w:r>
    </w:p>
    <w:p>
      <w:pPr/>
      <w:r>
        <w:rPr>
          <w:sz w:val="24"/>
          <w:szCs w:val="24"/>
          <w:rFonts w:ascii="Times New Roman" w:hAnsi="Times New Roman"/>
        </w:rPr>
        <w:t xml:space="preserve">Bayesian optimization constructs probabilistic surrogate models, typically Gaussian processes, to approximate expensive objective functions and uses acquisition functions such as expected improvement or upper confidence bound to select the most informative next experiments [49]. This approach is particularly valuable for nanomaterial synthesis optimization where each experiment is costly and time-consuming. Applications include optimization of hydrothermal synthesis temperatures and pressures, chemical vapor deposition (CVD) parameter tuning for graphene growth, electrospinning conditions for nanofiber morphology control, and microfluidic mixing optimization for nanoparticle size uniformity. Multi-objective Bayesian optimization generates Pareto-optimal conditions that balance competing properties.</w:t>
      </w:r>
    </w:p>
    <w:p>
      <w:pPr>
        <w:pStyle w:val="Heading2"/>
      </w:pPr>
      <w:r>
        <w:rPr>
          <w:b/>
          <w:sz w:val="28"/>
          <w:szCs w:val="28"/>
        </w:rPr>
        <w:t xml:space="preserve">2.5 High-Throughput Screening and Autonomous Experimentation</w:t>
      </w:r>
    </w:p>
    <w:p>
      <w:pPr/>
      <w:r>
        <w:rPr>
          <w:sz w:val="24"/>
          <w:szCs w:val="24"/>
          <w:rFonts w:ascii="Times New Roman" w:hAnsi="Times New Roman"/>
        </w:rPr>
        <w:t xml:space="preserve">High-throughput virtual screening leverages ML surrogate models to rapidly assess millions of candidate materials through hierarchical filtering pipelines [2,10]. A typical screening workflow proceeds through stages: combinatorial enumeration of candidate compositions, thermodynamic stability screening using formation energy predictions, target property evaluation using trained ML models, DFT validation of top candidates, and synthesis feasibility assessment. GNN models enable crystal-structure-aware screening that accounts for polymorphism and structural diversity [13,27].</w:t>
      </w:r>
    </w:p>
    <w:p>
      <w:pPr/>
      <w:r>
        <w:rPr>
          <w:sz w:val="24"/>
          <w:szCs w:val="24"/>
          <w:rFonts w:ascii="Times New Roman" w:hAnsi="Times New Roman"/>
        </w:rPr>
        <w:t xml:space="preserve">Active learning represents an intelligent data acquisition strategy that selects the most informative experiments to maximize information gain per sample [52]. By combining uncertainty quantification with acquisition functions, active learning campaigns have demonstrated 3-10 times improvement in discovery efficiency compared to random experimental campaigns. Self-driving laboratories combine AI-driven experimental design with robotic synthesis platforms and automated characterization instruments, enabling closed-loop optimization without human intervention [53]. These autonomous platforms have achieved greater than 95% morphological yield for gold nanostructures in fewer than 100 iterations, while neural network interatomic potentials enable rapid molecular dynamics simulations at near-DFT accuracy for property evaluation [36].</w:t>
      </w:r>
    </w:p>
    <w:p>
      <w:pPr>
        <w:pStyle w:val="Heading2"/>
      </w:pPr>
      <w:r>
        <w:rPr>
          <w:b/>
          <w:sz w:val="28"/>
          <w:szCs w:val="28"/>
        </w:rPr>
        <w:t xml:space="preserve">2.6 Foundation Models and Large Language Models</w:t>
      </w:r>
    </w:p>
    <w:p>
      <w:pPr/>
      <w:r>
        <w:rPr>
          <w:sz w:val="24"/>
          <w:szCs w:val="24"/>
          <w:rFonts w:ascii="Times New Roman" w:hAnsi="Times New Roman"/>
        </w:rPr>
        <w:t xml:space="preserve">Large language models (LLMs) trained on scientific literature represent an emerging frontier in materials informatics, capable of extracting synthesis procedures, property data, and structure-property relationships from unstructured text [28]. Multi-modal foundation models that integrate textual descriptions, crystal structures, spectra, and microscopy images could enable natural language specification of desired nanomaterial properties. Genetic algorithms that simulate biological evolution through selection, crossover, and mutation operations provide complementary optimization capabilities for nanomaterial design [50]. ML surrogate models accelerate fitness evaluation, while GA-RL hybrid approaches enable multi-objective optimization of complex nanoparticle systems [51]. Challenges with LLMs include hallucination of non-existent materials and limited quantitative accuracy for numerical property predictions.</w:t>
      </w:r>
    </w:p>
    <w:p>
      <w:pPr>
        <w:jc w:val="center"/>
        <w:spacing w:after="120" w:before="240"/>
      </w:pPr>
      <w:r>
        <w:rPr>
          <w:b/>
          <w:sz w:val="20"/>
          <w:szCs w:val="20"/>
        </w:rPr>
        <w:t xml:space="preserve">Table 1: Comparison of Deep Learning Architectures for Nanomaterial Design</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4472C4"/>
          </w:tcPr>
          <w:p>
            <w:pPr>
              <w:jc w:val="center"/>
            </w:pPr>
            <w:r>
              <w:rPr>
                <w:b/>
                <w:sz w:val="20"/>
                <w:szCs w:val="20"/>
                <w:color w:val="FFFFFF"/>
              </w:rPr>
              <w:t xml:space="preserve">Architecture</w:t>
            </w:r>
          </w:p>
        </w:tc>
        <w:tc>
          <w:tcPr>
            <w:shd w:val="clear" w:color="auto" w:fill="4472C4"/>
          </w:tcPr>
          <w:p>
            <w:pPr>
              <w:jc w:val="center"/>
            </w:pPr>
            <w:r>
              <w:rPr>
                <w:b/>
                <w:sz w:val="20"/>
                <w:szCs w:val="20"/>
                <w:color w:val="FFFFFF"/>
              </w:rPr>
              <w:t xml:space="preserve">Input Type</w:t>
            </w:r>
          </w:p>
        </w:tc>
        <w:tc>
          <w:tcPr>
            <w:shd w:val="clear" w:color="auto" w:fill="4472C4"/>
          </w:tcPr>
          <w:p>
            <w:pPr>
              <w:jc w:val="center"/>
            </w:pPr>
            <w:r>
              <w:rPr>
                <w:b/>
                <w:sz w:val="20"/>
                <w:szCs w:val="20"/>
                <w:color w:val="FFFFFF"/>
              </w:rPr>
              <w:t xml:space="preserve">Key Applications</w:t>
            </w:r>
          </w:p>
        </w:tc>
        <w:tc>
          <w:tcPr>
            <w:shd w:val="clear" w:color="auto" w:fill="4472C4"/>
          </w:tcPr>
          <w:p>
            <w:pPr>
              <w:jc w:val="center"/>
            </w:pPr>
            <w:r>
              <w:rPr>
                <w:b/>
                <w:sz w:val="20"/>
                <w:szCs w:val="20"/>
                <w:color w:val="FFFFFF"/>
              </w:rPr>
              <w:t xml:space="preserve">Advantages</w:t>
            </w:r>
          </w:p>
        </w:tc>
        <w:tc>
          <w:tcPr>
            <w:shd w:val="clear" w:color="auto" w:fill="4472C4"/>
          </w:tcPr>
          <w:p>
            <w:pPr>
              <w:jc w:val="center"/>
            </w:pPr>
            <w:r>
              <w:rPr>
                <w:b/>
                <w:sz w:val="20"/>
                <w:szCs w:val="20"/>
                <w:color w:val="FFFFFF"/>
              </w:rPr>
              <w:t xml:space="preserve">Limitations</w:t>
            </w:r>
          </w:p>
        </w:tc>
      </w:tr>
      <w:tr>
        <w:tc>
          <w:p>
            <w:pPr/>
            <w:r>
              <w:rPr>
                <w:sz w:val="20"/>
                <w:szCs w:val="20"/>
              </w:rPr>
              <w:t xml:space="preserve">CNN</w:t>
            </w:r>
          </w:p>
        </w:tc>
        <w:tc>
          <w:p>
            <w:pPr/>
            <w:r>
              <w:rPr>
                <w:sz w:val="20"/>
                <w:szCs w:val="20"/>
              </w:rPr>
              <w:t xml:space="preserve">Grid/Image</w:t>
            </w:r>
          </w:p>
        </w:tc>
        <w:tc>
          <w:p>
            <w:pPr/>
            <w:r>
              <w:rPr>
                <w:sz w:val="20"/>
                <w:szCs w:val="20"/>
              </w:rPr>
              <w:t xml:space="preserve">Microscopy analysis, diffraction</w:t>
            </w:r>
          </w:p>
        </w:tc>
        <w:tc>
          <w:p>
            <w:pPr/>
            <w:r>
              <w:rPr>
                <w:sz w:val="20"/>
                <w:szCs w:val="20"/>
              </w:rPr>
              <w:t xml:space="preserve">Spatial features, translation invariance</w:t>
            </w:r>
          </w:p>
        </w:tc>
        <w:tc>
          <w:p>
            <w:pPr/>
            <w:r>
              <w:rPr>
                <w:sz w:val="20"/>
                <w:szCs w:val="20"/>
              </w:rPr>
              <w:t xml:space="preserve">Fixed input size</w:t>
            </w:r>
          </w:p>
        </w:tc>
      </w:tr>
      <w:tr>
        <w:tc>
          <w:p>
            <w:pPr/>
            <w:r>
              <w:rPr>
                <w:sz w:val="20"/>
                <w:szCs w:val="20"/>
              </w:rPr>
              <w:t xml:space="preserve">GNN</w:t>
            </w:r>
          </w:p>
        </w:tc>
        <w:tc>
          <w:p>
            <w:pPr/>
            <w:r>
              <w:rPr>
                <w:sz w:val="20"/>
                <w:szCs w:val="20"/>
              </w:rPr>
              <w:t xml:space="preserve">Graph (atoms/bonds)</w:t>
            </w:r>
          </w:p>
        </w:tc>
        <w:tc>
          <w:p>
            <w:pPr/>
            <w:r>
              <w:rPr>
                <w:sz w:val="20"/>
                <w:szCs w:val="20"/>
              </w:rPr>
              <w:t xml:space="preserve">Property prediction, generation</w:t>
            </w:r>
          </w:p>
        </w:tc>
        <w:tc>
          <w:p>
            <w:pPr/>
            <w:r>
              <w:rPr>
                <w:sz w:val="20"/>
                <w:szCs w:val="20"/>
              </w:rPr>
              <w:t xml:space="preserve">Natural material encoding, size-invariant</w:t>
            </w:r>
          </w:p>
        </w:tc>
        <w:tc>
          <w:p>
            <w:pPr/>
            <w:r>
              <w:rPr>
                <w:sz w:val="20"/>
                <w:szCs w:val="20"/>
              </w:rPr>
              <w:t xml:space="preserve">Expensive for large systems</w:t>
            </w:r>
          </w:p>
        </w:tc>
      </w:tr>
      <w:tr>
        <w:tc>
          <w:p>
            <w:pPr/>
            <w:r>
              <w:rPr>
                <w:sz w:val="20"/>
                <w:szCs w:val="20"/>
              </w:rPr>
              <w:t xml:space="preserve">RNN/LSTM</w:t>
            </w:r>
          </w:p>
        </w:tc>
        <w:tc>
          <w:p>
            <w:pPr/>
            <w:r>
              <w:rPr>
                <w:sz w:val="20"/>
                <w:szCs w:val="20"/>
              </w:rPr>
              <w:t xml:space="preserve">Sequential</w:t>
            </w:r>
          </w:p>
        </w:tc>
        <w:tc>
          <w:p>
            <w:pPr/>
            <w:r>
              <w:rPr>
                <w:sz w:val="20"/>
                <w:szCs w:val="20"/>
              </w:rPr>
              <w:t xml:space="preserve">Synthesis optimization, time-series</w:t>
            </w:r>
          </w:p>
        </w:tc>
        <w:tc>
          <w:p>
            <w:pPr/>
            <w:r>
              <w:rPr>
                <w:sz w:val="20"/>
                <w:szCs w:val="20"/>
              </w:rPr>
              <w:t xml:space="preserve">Sequential modeling</w:t>
            </w:r>
          </w:p>
        </w:tc>
        <w:tc>
          <w:p>
            <w:pPr/>
            <w:r>
              <w:rPr>
                <w:sz w:val="20"/>
                <w:szCs w:val="20"/>
              </w:rPr>
              <w:t xml:space="preserve">Vanishing gradient</w:t>
            </w:r>
          </w:p>
        </w:tc>
      </w:tr>
      <w:tr>
        <w:tc>
          <w:p>
            <w:pPr/>
            <w:r>
              <w:rPr>
                <w:sz w:val="20"/>
                <w:szCs w:val="20"/>
              </w:rPr>
              <w:t xml:space="preserve">Transformer</w:t>
            </w:r>
          </w:p>
        </w:tc>
        <w:tc>
          <w:p>
            <w:pPr/>
            <w:r>
              <w:rPr>
                <w:sz w:val="20"/>
                <w:szCs w:val="20"/>
              </w:rPr>
              <w:t xml:space="preserve">Tokenized sequences</w:t>
            </w:r>
          </w:p>
        </w:tc>
        <w:tc>
          <w:p>
            <w:pPr/>
            <w:r>
              <w:rPr>
                <w:sz w:val="20"/>
                <w:szCs w:val="20"/>
              </w:rPr>
              <w:t xml:space="preserve">Text mining, multi-modal</w:t>
            </w:r>
          </w:p>
        </w:tc>
        <w:tc>
          <w:p>
            <w:pPr/>
            <w:r>
              <w:rPr>
                <w:sz w:val="20"/>
                <w:szCs w:val="20"/>
              </w:rPr>
              <w:t xml:space="preserve">Long-range attention, parallel</w:t>
            </w:r>
          </w:p>
        </w:tc>
        <w:tc>
          <w:p>
            <w:pPr/>
            <w:r>
              <w:rPr>
                <w:sz w:val="20"/>
                <w:szCs w:val="20"/>
              </w:rPr>
              <w:t xml:space="preserve">Large data requirements</w:t>
            </w:r>
          </w:p>
        </w:tc>
      </w:tr>
      <w:tr>
        <w:tc>
          <w:p>
            <w:pPr/>
            <w:r>
              <w:rPr>
                <w:sz w:val="20"/>
                <w:szCs w:val="20"/>
              </w:rPr>
              <w:t xml:space="preserve">VAE</w:t>
            </w:r>
          </w:p>
        </w:tc>
        <w:tc>
          <w:p>
            <w:pPr/>
            <w:r>
              <w:rPr>
                <w:sz w:val="20"/>
                <w:szCs w:val="20"/>
              </w:rPr>
              <w:t xml:space="preserve">Latent vectors</w:t>
            </w:r>
          </w:p>
        </w:tc>
        <w:tc>
          <w:p>
            <w:pPr/>
            <w:r>
              <w:rPr>
                <w:sz w:val="20"/>
                <w:szCs w:val="20"/>
              </w:rPr>
              <w:t xml:space="preserve">Inverse design, interpolation</w:t>
            </w:r>
          </w:p>
        </w:tc>
        <w:tc>
          <w:p>
            <w:pPr/>
            <w:r>
              <w:rPr>
                <w:sz w:val="20"/>
                <w:szCs w:val="20"/>
              </w:rPr>
              <w:t xml:space="preserve">Smooth latent space, probabilistic</w:t>
            </w:r>
          </w:p>
        </w:tc>
        <w:tc>
          <w:p>
            <w:pPr/>
            <w:r>
              <w:rPr>
                <w:sz w:val="20"/>
                <w:szCs w:val="20"/>
              </w:rPr>
              <w:t xml:space="preserve">Blurry outputs</w:t>
            </w:r>
          </w:p>
        </w:tc>
      </w:tr>
      <w:tr>
        <w:tc>
          <w:p>
            <w:pPr/>
            <w:r>
              <w:rPr>
                <w:sz w:val="20"/>
                <w:szCs w:val="20"/>
              </w:rPr>
              <w:t xml:space="preserve">GAN</w:t>
            </w:r>
          </w:p>
        </w:tc>
        <w:tc>
          <w:p>
            <w:pPr/>
            <w:r>
              <w:rPr>
                <w:sz w:val="20"/>
                <w:szCs w:val="20"/>
              </w:rPr>
              <w:t xml:space="preserve">Noise + conditions</w:t>
            </w:r>
          </w:p>
        </w:tc>
        <w:tc>
          <w:p>
            <w:pPr/>
            <w:r>
              <w:rPr>
                <w:sz w:val="20"/>
                <w:szCs w:val="20"/>
              </w:rPr>
              <w:t xml:space="preserve">Novel structure generation</w:t>
            </w:r>
          </w:p>
        </w:tc>
        <w:tc>
          <w:p>
            <w:pPr/>
            <w:r>
              <w:rPr>
                <w:sz w:val="20"/>
                <w:szCs w:val="20"/>
              </w:rPr>
              <w:t xml:space="preserve">Sharp outputs, conditional</w:t>
            </w:r>
          </w:p>
        </w:tc>
        <w:tc>
          <w:p>
            <w:pPr/>
            <w:r>
              <w:rPr>
                <w:sz w:val="20"/>
                <w:szCs w:val="20"/>
              </w:rPr>
              <w:t xml:space="preserve">Training instability</w:t>
            </w:r>
          </w:p>
        </w:tc>
      </w:tr>
      <w:tr>
        <w:tc>
          <w:p>
            <w:pPr/>
            <w:r>
              <w:rPr>
                <w:sz w:val="20"/>
                <w:szCs w:val="20"/>
              </w:rPr>
              <w:t xml:space="preserve">Diffusion</w:t>
            </w:r>
          </w:p>
        </w:tc>
        <w:tc>
          <w:p>
            <w:pPr/>
            <w:r>
              <w:rPr>
                <w:sz w:val="20"/>
                <w:szCs w:val="20"/>
              </w:rPr>
              <w:t xml:space="preserve">Noised structures</w:t>
            </w:r>
          </w:p>
        </w:tc>
        <w:tc>
          <w:p>
            <w:pPr/>
            <w:r>
              <w:rPr>
                <w:sz w:val="20"/>
                <w:szCs w:val="20"/>
              </w:rPr>
              <w:t xml:space="preserve">Crystal structure prediction</w:t>
            </w:r>
          </w:p>
        </w:tc>
        <w:tc>
          <w:p>
            <w:pPr/>
            <w:r>
              <w:rPr>
                <w:sz w:val="20"/>
                <w:szCs w:val="20"/>
              </w:rPr>
              <w:t xml:space="preserve">Stable training, mode coverage</w:t>
            </w:r>
          </w:p>
        </w:tc>
        <w:tc>
          <w:p>
            <w:pPr/>
            <w:r>
              <w:rPr>
                <w:sz w:val="20"/>
                <w:szCs w:val="20"/>
              </w:rPr>
              <w:t xml:space="preserve">Slow sampling</w:t>
            </w:r>
          </w:p>
        </w:tc>
      </w:tr>
    </w:tbl>
    <w:p>
      <w:pPr>
        <w:spacing w:after="240"/>
      </w:pPr>
      <w:r>
        <w:rPr/>
        <w:t xml:space="preserve"/>
      </w:r>
    </w:p>
    <w:p>
      <w:pPr>
        <w:jc w:val="center"/>
        <w:pBdr>
          <w:top w:val="single" w:sz="12" w:space="4" w:color="4472C4"/>
          <w:left w:val="single" w:sz="12" w:space="4" w:color="4472C4"/>
          <w:bottom w:val="single" w:sz="12" w:space="4" w:color="4472C4"/>
          <w:right w:val="single" w:sz="12" w:space="4" w:color="4472C4"/>
        </w:pBdr>
        <w:spacing w:before="240" w:after="120"/>
      </w:pPr>
      <w:r>
        <w:rPr>
          <w:b/>
          <w:sz w:val="24"/>
          <w:szCs w:val="24"/>
        </w:rPr>
        <w:t xml:space="preserve">[FIGURE 2 - See Figure_2.png]</w:t>
      </w:r>
    </w:p>
    <w:p>
      <w:pPr>
        <w:jc w:val="center"/>
        <w:pBdr>
          <w:left w:val="single" w:sz="12" w:space="4" w:color="4472C4"/>
          <w:bottom w:val="single" w:sz="12" w:space="4" w:color="4472C4"/>
          <w:right w:val="single" w:sz="12" w:space="4" w:color="4472C4"/>
        </w:pBdr>
      </w:pPr>
      <w:r>
        <w:rPr>
          <w:i/>
          <w:sz w:val="20"/>
          <w:szCs w:val="20"/>
        </w:rPr>
        <w:t xml:space="preserve">Panel (a): Predicted vs Actual | Panel (b): MAE vs Training Size for RF, GNN, XGBoost | Panel (c): Radar chart</w:t>
      </w:r>
    </w:p>
    <w:p>
      <w:pPr>
        <w:jc w:val="center"/>
        <w:spacing w:after="240"/>
      </w:pPr>
      <w:r>
        <w:rPr>
          <w:b/>
          <w:i/>
          <w:sz w:val="20"/>
          <w:szCs w:val="20"/>
        </w:rPr>
        <w:t xml:space="preserve">Figure 2: Performance comparison of ML models for nanomaterial property prediction: (a) Parity plots for band gap prediction, (b) Learning curves showing MAE vs. training set size, (c) Radar chart of model performance across six properties.</w:t>
      </w:r>
    </w:p>
    <w:p>
      <w:pPr>
        <w:jc w:val="center"/>
        <w:spacing w:after="120" w:before="240"/>
      </w:pPr>
      <w:r>
        <w:rPr>
          <w:b/>
          <w:sz w:val="20"/>
          <w:szCs w:val="20"/>
        </w:rPr>
        <w:t xml:space="preserve">Table 2: ML Models for Nanomaterial Property Prediction - Performance Benchmarks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4472C4"/>
          </w:tcPr>
          <w:p>
            <w:pPr>
              <w:jc w:val="center"/>
            </w:pPr>
            <w:r>
              <w:rPr>
                <w:b/>
                <w:sz w:val="20"/>
                <w:szCs w:val="20"/>
                <w:color w:val="FFFFFF"/>
              </w:rPr>
              <w:t xml:space="preserve">Property</w:t>
            </w:r>
          </w:p>
        </w:tc>
        <w:tc>
          <w:tcPr>
            <w:shd w:val="clear" w:color="auto" w:fill="4472C4"/>
          </w:tcPr>
          <w:p>
            <w:pPr>
              <w:jc w:val="center"/>
            </w:pPr>
            <w:r>
              <w:rPr>
                <w:b/>
                <w:sz w:val="20"/>
                <w:szCs w:val="20"/>
                <w:color w:val="FFFFFF"/>
              </w:rPr>
              <w:t xml:space="preserve">Material Class</w:t>
            </w:r>
          </w:p>
        </w:tc>
        <w:tc>
          <w:tcPr>
            <w:shd w:val="clear" w:color="auto" w:fill="4472C4"/>
          </w:tcPr>
          <w:p>
            <w:pPr>
              <w:jc w:val="center"/>
            </w:pPr>
            <w:r>
              <w:rPr>
                <w:b/>
                <w:sz w:val="20"/>
                <w:szCs w:val="20"/>
                <w:color w:val="FFFFFF"/>
              </w:rPr>
              <w:t xml:space="preserve">ML Algorithm</w:t>
            </w:r>
          </w:p>
        </w:tc>
        <w:tc>
          <w:tcPr>
            <w:shd w:val="clear" w:color="auto" w:fill="4472C4"/>
          </w:tcPr>
          <w:p>
            <w:pPr>
              <w:jc w:val="center"/>
            </w:pPr>
            <w:r>
              <w:rPr>
                <w:b/>
                <w:sz w:val="20"/>
                <w:szCs w:val="20"/>
                <w:color w:val="FFFFFF"/>
              </w:rPr>
              <w:t xml:space="preserve">Data Size</w:t>
            </w:r>
          </w:p>
        </w:tc>
        <w:tc>
          <w:tcPr>
            <w:shd w:val="clear" w:color="auto" w:fill="4472C4"/>
          </w:tcPr>
          <w:p>
            <w:pPr>
              <w:jc w:val="center"/>
            </w:pPr>
            <w:r>
              <w:rPr>
                <w:b/>
                <w:sz w:val="20"/>
                <w:szCs w:val="20"/>
                <w:color w:val="FFFFFF"/>
              </w:rPr>
              <w:t xml:space="preserve">MAE</w:t>
            </w:r>
          </w:p>
        </w:tc>
        <w:tc>
          <w:tcPr>
            <w:shd w:val="clear" w:color="auto" w:fill="4472C4"/>
          </w:tcPr>
          <w:p>
            <w:pPr>
              <w:jc w:val="center"/>
            </w:pPr>
            <w:r>
              <w:rPr>
                <w:b/>
                <w:sz w:val="20"/>
                <w:szCs w:val="20"/>
                <w:color w:val="FFFFFF"/>
              </w:rPr>
              <w:t xml:space="preserve">Source</w:t>
            </w:r>
          </w:p>
        </w:tc>
      </w:tr>
      <w:tr>
        <w:tc>
          <w:p>
            <w:pPr/>
            <w:r>
              <w:rPr>
                <w:sz w:val="20"/>
                <w:szCs w:val="20"/>
              </w:rPr>
              <w:t xml:space="preserve">Band gap</w:t>
            </w:r>
          </w:p>
        </w:tc>
        <w:tc>
          <w:p>
            <w:pPr/>
            <w:r>
              <w:rPr>
                <w:sz w:val="20"/>
                <w:szCs w:val="20"/>
              </w:rPr>
              <w:t xml:space="preserve">Inorganic crystals</w:t>
            </w:r>
          </w:p>
        </w:tc>
        <w:tc>
          <w:p>
            <w:pPr/>
            <w:r>
              <w:rPr>
                <w:sz w:val="20"/>
                <w:szCs w:val="20"/>
              </w:rPr>
              <w:t xml:space="preserve">XGBoost</w:t>
            </w:r>
          </w:p>
        </w:tc>
        <w:tc>
          <w:p>
            <w:pPr/>
            <w:r>
              <w:rPr>
                <w:sz w:val="20"/>
                <w:szCs w:val="20"/>
              </w:rPr>
              <w:t xml:space="preserve">45,000</w:t>
            </w:r>
          </w:p>
        </w:tc>
        <w:tc>
          <w:p>
            <w:pPr/>
            <w:r>
              <w:rPr>
                <w:sz w:val="20"/>
                <w:szCs w:val="20"/>
              </w:rPr>
              <w:t xml:space="preserve">0.28 eV</w:t>
            </w:r>
          </w:p>
        </w:tc>
        <w:tc>
          <w:p>
            <w:pPr/>
            <w:r>
              <w:rPr>
                <w:sz w:val="20"/>
                <w:szCs w:val="20"/>
              </w:rPr>
              <w:t xml:space="preserve">Materials Project</w:t>
            </w:r>
          </w:p>
        </w:tc>
      </w:tr>
      <w:tr>
        <w:tc>
          <w:p>
            <w:pPr/>
            <w:r>
              <w:rPr>
                <w:sz w:val="20"/>
                <w:szCs w:val="20"/>
              </w:rPr>
              <w:t xml:space="preserve">Formation energy</w:t>
            </w:r>
          </w:p>
        </w:tc>
        <w:tc>
          <w:p>
            <w:pPr/>
            <w:r>
              <w:rPr>
                <w:sz w:val="20"/>
                <w:szCs w:val="20"/>
              </w:rPr>
              <w:t xml:space="preserve">Perovskites</w:t>
            </w:r>
          </w:p>
        </w:tc>
        <w:tc>
          <w:p>
            <w:pPr/>
            <w:r>
              <w:rPr>
                <w:sz w:val="20"/>
                <w:szCs w:val="20"/>
              </w:rPr>
              <w:t xml:space="preserve">CGCNN</w:t>
            </w:r>
          </w:p>
        </w:tc>
        <w:tc>
          <w:p>
            <w:pPr/>
            <w:r>
              <w:rPr>
                <w:sz w:val="20"/>
                <w:szCs w:val="20"/>
              </w:rPr>
              <w:t xml:space="preserve">62,000</w:t>
            </w:r>
          </w:p>
        </w:tc>
        <w:tc>
          <w:p>
            <w:pPr/>
            <w:r>
              <w:rPr>
                <w:sz w:val="20"/>
                <w:szCs w:val="20"/>
              </w:rPr>
              <w:t xml:space="preserve">0.033 eV/atom</w:t>
            </w:r>
          </w:p>
        </w:tc>
        <w:tc>
          <w:p>
            <w:pPr/>
            <w:r>
              <w:rPr>
                <w:sz w:val="20"/>
                <w:szCs w:val="20"/>
              </w:rPr>
              <w:t xml:space="preserve">OQMD</w:t>
            </w:r>
          </w:p>
        </w:tc>
      </w:tr>
      <w:tr>
        <w:tc>
          <w:p>
            <w:pPr/>
            <w:r>
              <w:rPr>
                <w:sz w:val="20"/>
                <w:szCs w:val="20"/>
              </w:rPr>
              <w:t xml:space="preserve">Plasmon resonance</w:t>
            </w:r>
          </w:p>
        </w:tc>
        <w:tc>
          <w:p>
            <w:pPr/>
            <w:r>
              <w:rPr>
                <w:sz w:val="20"/>
                <w:szCs w:val="20"/>
              </w:rPr>
              <w:t xml:space="preserve">Au NPs</w:t>
            </w:r>
          </w:p>
        </w:tc>
        <w:tc>
          <w:p>
            <w:pPr/>
            <w:r>
              <w:rPr>
                <w:sz w:val="20"/>
                <w:szCs w:val="20"/>
              </w:rPr>
              <w:t xml:space="preserve">Random Forest</w:t>
            </w:r>
          </w:p>
        </w:tc>
        <w:tc>
          <w:p>
            <w:pPr/>
            <w:r>
              <w:rPr>
                <w:sz w:val="20"/>
                <w:szCs w:val="20"/>
              </w:rPr>
              <w:t xml:space="preserve">2,500</w:t>
            </w:r>
          </w:p>
        </w:tc>
        <w:tc>
          <w:p>
            <w:pPr/>
            <w:r>
              <w:rPr>
                <w:sz w:val="20"/>
                <w:szCs w:val="20"/>
              </w:rPr>
              <w:t xml:space="preserve">4.2 nm</w:t>
            </w:r>
          </w:p>
        </w:tc>
        <w:tc>
          <w:p>
            <w:pPr/>
            <w:r>
              <w:rPr>
                <w:sz w:val="20"/>
                <w:szCs w:val="20"/>
              </w:rPr>
              <w:t xml:space="preserve">Experimental</w:t>
            </w:r>
          </w:p>
        </w:tc>
      </w:tr>
      <w:tr>
        <w:tc>
          <w:p>
            <w:pPr/>
            <w:r>
              <w:rPr>
                <w:sz w:val="20"/>
                <w:szCs w:val="20"/>
              </w:rPr>
              <w:t xml:space="preserve">Particle size</w:t>
            </w:r>
          </w:p>
        </w:tc>
        <w:tc>
          <w:p>
            <w:pPr/>
            <w:r>
              <w:rPr>
                <w:sz w:val="20"/>
                <w:szCs w:val="20"/>
              </w:rPr>
              <w:t xml:space="preserve">Polymeric NPs</w:t>
            </w:r>
          </w:p>
        </w:tc>
        <w:tc>
          <w:p>
            <w:pPr/>
            <w:r>
              <w:rPr>
                <w:sz w:val="20"/>
                <w:szCs w:val="20"/>
              </w:rPr>
              <w:t xml:space="preserve">SVR</w:t>
            </w:r>
          </w:p>
        </w:tc>
        <w:tc>
          <w:p>
            <w:pPr/>
            <w:r>
              <w:rPr>
                <w:sz w:val="20"/>
                <w:szCs w:val="20"/>
              </w:rPr>
              <w:t xml:space="preserve">800</w:t>
            </w:r>
          </w:p>
        </w:tc>
        <w:tc>
          <w:p>
            <w:pPr/>
            <w:r>
              <w:rPr>
                <w:sz w:val="20"/>
                <w:szCs w:val="20"/>
              </w:rPr>
              <w:t xml:space="preserve">12 nm</w:t>
            </w:r>
          </w:p>
        </w:tc>
        <w:tc>
          <w:p>
            <w:pPr/>
            <w:r>
              <w:rPr>
                <w:sz w:val="20"/>
                <w:szCs w:val="20"/>
              </w:rPr>
              <w:t xml:space="preserve">Literature</w:t>
            </w:r>
          </w:p>
        </w:tc>
      </w:tr>
      <w:tr>
        <w:tc>
          <w:p>
            <w:pPr/>
            <w:r>
              <w:rPr>
                <w:sz w:val="20"/>
                <w:szCs w:val="20"/>
              </w:rPr>
              <w:t xml:space="preserve">Catalytic activity</w:t>
            </w:r>
          </w:p>
        </w:tc>
        <w:tc>
          <w:p>
            <w:pPr/>
            <w:r>
              <w:rPr>
                <w:sz w:val="20"/>
                <w:szCs w:val="20"/>
              </w:rPr>
              <w:t xml:space="preserve">Pt-alloy NPs</w:t>
            </w:r>
          </w:p>
        </w:tc>
        <w:tc>
          <w:p>
            <w:pPr/>
            <w:r>
              <w:rPr>
                <w:sz w:val="20"/>
                <w:szCs w:val="20"/>
              </w:rPr>
              <w:t xml:space="preserve">Neural Network</w:t>
            </w:r>
          </w:p>
        </w:tc>
        <w:tc>
          <w:p>
            <w:pPr/>
            <w:r>
              <w:rPr>
                <w:sz w:val="20"/>
                <w:szCs w:val="20"/>
              </w:rPr>
              <w:t xml:space="preserve">3,200</w:t>
            </w:r>
          </w:p>
        </w:tc>
        <w:tc>
          <w:p>
            <w:pPr/>
            <w:r>
              <w:rPr>
                <w:sz w:val="20"/>
                <w:szCs w:val="20"/>
              </w:rPr>
              <w:t xml:space="preserve">0.05 eV</w:t>
            </w:r>
          </w:p>
        </w:tc>
        <w:tc>
          <w:p>
            <w:pPr/>
            <w:r>
              <w:rPr>
                <w:sz w:val="20"/>
                <w:szCs w:val="20"/>
              </w:rPr>
              <w:t xml:space="preserve">DFT</w:t>
            </w:r>
          </w:p>
        </w:tc>
      </w:tr>
      <w:tr>
        <w:tc>
          <w:p>
            <w:pPr/>
            <w:r>
              <w:rPr>
                <w:sz w:val="20"/>
                <w:szCs w:val="20"/>
              </w:rPr>
              <w:t xml:space="preserve">Fluorescence QY</w:t>
            </w:r>
          </w:p>
        </w:tc>
        <w:tc>
          <w:p>
            <w:pPr/>
            <w:r>
              <w:rPr>
                <w:sz w:val="20"/>
                <w:szCs w:val="20"/>
              </w:rPr>
              <w:t xml:space="preserve">Carbon dots</w:t>
            </w:r>
          </w:p>
        </w:tc>
        <w:tc>
          <w:p>
            <w:pPr/>
            <w:r>
              <w:rPr>
                <w:sz w:val="20"/>
                <w:szCs w:val="20"/>
              </w:rPr>
              <w:t xml:space="preserve">Gradient Boosting</w:t>
            </w:r>
          </w:p>
        </w:tc>
        <w:tc>
          <w:p>
            <w:pPr/>
            <w:r>
              <w:rPr>
                <w:sz w:val="20"/>
                <w:szCs w:val="20"/>
              </w:rPr>
              <w:t xml:space="preserve">1,100</w:t>
            </w:r>
          </w:p>
        </w:tc>
        <w:tc>
          <w:p>
            <w:pPr/>
            <w:r>
              <w:rPr>
                <w:sz w:val="20"/>
                <w:szCs w:val="20"/>
              </w:rPr>
              <w:t xml:space="preserve">5.3%</w:t>
            </w:r>
          </w:p>
        </w:tc>
        <w:tc>
          <w:p>
            <w:pPr/>
            <w:r>
              <w:rPr>
                <w:sz w:val="20"/>
                <w:szCs w:val="20"/>
              </w:rPr>
              <w:t xml:space="preserve">Experimental</w:t>
            </w:r>
          </w:p>
        </w:tc>
      </w:tr>
      <w:tr>
        <w:tc>
          <w:p>
            <w:pPr/>
            <w:r>
              <w:rPr>
                <w:sz w:val="20"/>
                <w:szCs w:val="20"/>
              </w:rPr>
              <w:t xml:space="preserve">Elastic modulus</w:t>
            </w:r>
          </w:p>
        </w:tc>
        <w:tc>
          <w:p>
            <w:pPr/>
            <w:r>
              <w:rPr>
                <w:sz w:val="20"/>
                <w:szCs w:val="20"/>
              </w:rPr>
              <w:t xml:space="preserve">2D materials</w:t>
            </w:r>
          </w:p>
        </w:tc>
        <w:tc>
          <w:p>
            <w:pPr/>
            <w:r>
              <w:rPr>
                <w:sz w:val="20"/>
                <w:szCs w:val="20"/>
              </w:rPr>
              <w:t xml:space="preserve">GNN (MEGNet)</w:t>
            </w:r>
          </w:p>
        </w:tc>
        <w:tc>
          <w:p>
            <w:pPr/>
            <w:r>
              <w:rPr>
                <w:sz w:val="20"/>
                <w:szCs w:val="20"/>
              </w:rPr>
              <w:t xml:space="preserve">8,500</w:t>
            </w:r>
          </w:p>
        </w:tc>
        <w:tc>
          <w:p>
            <w:pPr/>
            <w:r>
              <w:rPr>
                <w:sz w:val="20"/>
                <w:szCs w:val="20"/>
              </w:rPr>
              <w:t xml:space="preserve">3.8 GPa</w:t>
            </w:r>
          </w:p>
        </w:tc>
        <w:tc>
          <w:p>
            <w:pPr/>
            <w:r>
              <w:rPr>
                <w:sz w:val="20"/>
                <w:szCs w:val="20"/>
              </w:rPr>
              <w:t xml:space="preserve">DFT</w:t>
            </w:r>
          </w:p>
        </w:tc>
      </w:tr>
      <w:tr>
        <w:tc>
          <w:p>
            <w:pPr/>
            <w:r>
              <w:rPr>
                <w:sz w:val="20"/>
                <w:szCs w:val="20"/>
              </w:rPr>
              <w:t xml:space="preserve">Thermal conductivity</w:t>
            </w:r>
          </w:p>
        </w:tc>
        <w:tc>
          <w:p>
            <w:pPr/>
            <w:r>
              <w:rPr>
                <w:sz w:val="20"/>
                <w:szCs w:val="20"/>
              </w:rPr>
              <w:t xml:space="preserve">Nanocomposites</w:t>
            </w:r>
          </w:p>
        </w:tc>
        <w:tc>
          <w:p>
            <w:pPr/>
            <w:r>
              <w:rPr>
                <w:sz w:val="20"/>
                <w:szCs w:val="20"/>
              </w:rPr>
              <w:t xml:space="preserve">Gaussian Process</w:t>
            </w:r>
          </w:p>
        </w:tc>
        <w:tc>
          <w:p>
            <w:pPr/>
            <w:r>
              <w:rPr>
                <w:sz w:val="20"/>
                <w:szCs w:val="20"/>
              </w:rPr>
              <w:t xml:space="preserve">650</w:t>
            </w:r>
          </w:p>
        </w:tc>
        <w:tc>
          <w:p>
            <w:pPr/>
            <w:r>
              <w:rPr>
                <w:sz w:val="20"/>
                <w:szCs w:val="20"/>
              </w:rPr>
              <w:t xml:space="preserve">0.4 W/mK</w:t>
            </w:r>
          </w:p>
        </w:tc>
        <w:tc>
          <w:p>
            <w:pPr/>
            <w:r>
              <w:rPr>
                <w:sz w:val="20"/>
                <w:szCs w:val="20"/>
              </w:rPr>
              <w:t xml:space="preserve">Experimental</w:t>
            </w:r>
          </w:p>
        </w:tc>
      </w:tr>
    </w:tbl>
    <w:p>
      <w:pPr>
        <w:spacing w:after="240"/>
      </w:pPr>
      <w:r>
        <w:rPr/>
        <w:t xml:space="preserve"/>
      </w:r>
    </w:p>
    <w:p>
      <w:pPr>
        <w:jc w:val="center"/>
        <w:pBdr>
          <w:top w:val="single" w:sz="12" w:space="4" w:color="4472C4"/>
          <w:left w:val="single" w:sz="12" w:space="4" w:color="4472C4"/>
          <w:bottom w:val="single" w:sz="12" w:space="4" w:color="4472C4"/>
          <w:right w:val="single" w:sz="12" w:space="4" w:color="4472C4"/>
        </w:pBdr>
        <w:spacing w:before="240" w:after="120"/>
      </w:pPr>
      <w:r>
        <w:rPr>
          <w:b/>
          <w:sz w:val="24"/>
          <w:szCs w:val="24"/>
        </w:rPr>
        <w:t xml:space="preserve">[FIGURE 3 - See Figure_3.png]</w:t>
      </w:r>
    </w:p>
    <w:p>
      <w:pPr>
        <w:jc w:val="center"/>
        <w:pBdr>
          <w:left w:val="single" w:sz="12" w:space="4" w:color="4472C4"/>
          <w:bottom w:val="single" w:sz="12" w:space="4" w:color="4472C4"/>
          <w:right w:val="single" w:sz="12" w:space="4" w:color="4472C4"/>
        </w:pBdr>
      </w:pPr>
      <w:r>
        <w:rPr>
          <w:i/>
          <w:sz w:val="20"/>
          <w:szCs w:val="20"/>
        </w:rPr>
        <w:t xml:space="preserve">Panel (a): Generator + Discriminator architecture | Panel (b): Generated vs Real morphologies | Panel (c): Property distribution overlap</w:t>
      </w:r>
    </w:p>
    <w:p>
      <w:pPr>
        <w:jc w:val="center"/>
        <w:spacing w:after="240"/>
      </w:pPr>
      <w:r>
        <w:rPr>
          <w:b/>
          <w:i/>
          <w:sz w:val="20"/>
          <w:szCs w:val="20"/>
        </w:rPr>
        <w:t xml:space="preserve">Figure 3: GAN architecture for nanomaterial inverse design: (a) cGAN framework with generator and discriminator, (b) GAN-generated vs. real nanoparticle morphologies, (c) Property distributions of real vs. generated materials.</w:t>
      </w:r>
    </w:p>
    <w:p>
      <w:pPr>
        <w:jc w:val="center"/>
        <w:spacing w:after="120" w:before="240"/>
      </w:pPr>
      <w:r>
        <w:rPr>
          <w:b/>
          <w:sz w:val="20"/>
          <w:szCs w:val="20"/>
        </w:rPr>
        <w:t xml:space="preserve">Table 3: Comparison of Optimization Strategies for Nanomaterial Design</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4472C4"/>
          </w:tcPr>
          <w:p>
            <w:pPr>
              <w:jc w:val="center"/>
            </w:pPr>
            <w:r>
              <w:rPr>
                <w:b/>
                <w:sz w:val="20"/>
                <w:szCs w:val="20"/>
                <w:color w:val="FFFFFF"/>
              </w:rPr>
              <w:t xml:space="preserve">Method</w:t>
            </w:r>
          </w:p>
        </w:tc>
        <w:tc>
          <w:tcPr>
            <w:shd w:val="clear" w:color="auto" w:fill="4472C4"/>
          </w:tcPr>
          <w:p>
            <w:pPr>
              <w:jc w:val="center"/>
            </w:pPr>
            <w:r>
              <w:rPr>
                <w:b/>
                <w:sz w:val="20"/>
                <w:szCs w:val="20"/>
                <w:color w:val="FFFFFF"/>
              </w:rPr>
              <w:t xml:space="preserve">Strategy</w:t>
            </w:r>
          </w:p>
        </w:tc>
        <w:tc>
          <w:tcPr>
            <w:shd w:val="clear" w:color="auto" w:fill="4472C4"/>
          </w:tcPr>
          <w:p>
            <w:pPr>
              <w:jc w:val="center"/>
            </w:pPr>
            <w:r>
              <w:rPr>
                <w:b/>
                <w:sz w:val="20"/>
                <w:szCs w:val="20"/>
                <w:color w:val="FFFFFF"/>
              </w:rPr>
              <w:t xml:space="preserve">Efficiency</w:t>
            </w:r>
          </w:p>
        </w:tc>
        <w:tc>
          <w:tcPr>
            <w:shd w:val="clear" w:color="auto" w:fill="4472C4"/>
          </w:tcPr>
          <w:p>
            <w:pPr>
              <w:jc w:val="center"/>
            </w:pPr>
            <w:r>
              <w:rPr>
                <w:b/>
                <w:sz w:val="20"/>
                <w:szCs w:val="20"/>
                <w:color w:val="FFFFFF"/>
              </w:rPr>
              <w:t xml:space="preserve">Multi-objective</w:t>
            </w:r>
          </w:p>
        </w:tc>
        <w:tc>
          <w:tcPr>
            <w:shd w:val="clear" w:color="auto" w:fill="4472C4"/>
          </w:tcPr>
          <w:p>
            <w:pPr>
              <w:jc w:val="center"/>
            </w:pPr>
            <w:r>
              <w:rPr>
                <w:b/>
                <w:sz w:val="20"/>
                <w:szCs w:val="20"/>
                <w:color w:val="FFFFFF"/>
              </w:rPr>
              <w:t xml:space="preserve">Key Application</w:t>
            </w:r>
          </w:p>
        </w:tc>
      </w:tr>
      <w:tr>
        <w:tc>
          <w:p>
            <w:pPr/>
            <w:r>
              <w:rPr>
                <w:sz w:val="20"/>
                <w:szCs w:val="20"/>
              </w:rPr>
              <w:t xml:space="preserve">Bayesian Optimization</w:t>
            </w:r>
          </w:p>
        </w:tc>
        <w:tc>
          <w:p>
            <w:pPr/>
            <w:r>
              <w:rPr>
                <w:sz w:val="20"/>
                <w:szCs w:val="20"/>
              </w:rPr>
              <w:t xml:space="preserve">Surrogate-guided</w:t>
            </w:r>
          </w:p>
        </w:tc>
        <w:tc>
          <w:p>
            <w:pPr/>
            <w:r>
              <w:rPr>
                <w:sz w:val="20"/>
                <w:szCs w:val="20"/>
              </w:rPr>
              <w:t xml:space="preserve">High</w:t>
            </w:r>
          </w:p>
        </w:tc>
        <w:tc>
          <w:p>
            <w:pPr/>
            <w:r>
              <w:rPr>
                <w:sz w:val="20"/>
                <w:szCs w:val="20"/>
              </w:rPr>
              <w:t xml:space="preserve">Pareto front</w:t>
            </w:r>
          </w:p>
        </w:tc>
        <w:tc>
          <w:p>
            <w:pPr/>
            <w:r>
              <w:rPr>
                <w:sz w:val="20"/>
                <w:szCs w:val="20"/>
              </w:rPr>
              <w:t xml:space="preserve">Synthesis tuning</w:t>
            </w:r>
          </w:p>
        </w:tc>
      </w:tr>
      <w:tr>
        <w:tc>
          <w:p>
            <w:pPr/>
            <w:r>
              <w:rPr>
                <w:sz w:val="20"/>
                <w:szCs w:val="20"/>
              </w:rPr>
              <w:t xml:space="preserve">Genetic Algorithm</w:t>
            </w:r>
          </w:p>
        </w:tc>
        <w:tc>
          <w:p>
            <w:pPr/>
            <w:r>
              <w:rPr>
                <w:sz w:val="20"/>
                <w:szCs w:val="20"/>
              </w:rPr>
              <w:t xml:space="preserve">Evolutionary</w:t>
            </w:r>
          </w:p>
        </w:tc>
        <w:tc>
          <w:p>
            <w:pPr/>
            <w:r>
              <w:rPr>
                <w:sz w:val="20"/>
                <w:szCs w:val="20"/>
              </w:rPr>
              <w:t xml:space="preserve">Medium</w:t>
            </w:r>
          </w:p>
        </w:tc>
        <w:tc>
          <w:p>
            <w:pPr/>
            <w:r>
              <w:rPr>
                <w:sz w:val="20"/>
                <w:szCs w:val="20"/>
              </w:rPr>
              <w:t xml:space="preserve">Natural fitness</w:t>
            </w:r>
          </w:p>
        </w:tc>
        <w:tc>
          <w:p>
            <w:pPr/>
            <w:r>
              <w:rPr>
                <w:sz w:val="20"/>
                <w:szCs w:val="20"/>
              </w:rPr>
              <w:t xml:space="preserve">Composition optimization</w:t>
            </w:r>
          </w:p>
        </w:tc>
      </w:tr>
      <w:tr>
        <w:tc>
          <w:p>
            <w:pPr/>
            <w:r>
              <w:rPr>
                <w:sz w:val="20"/>
                <w:szCs w:val="20"/>
              </w:rPr>
              <w:t xml:space="preserve">Reinforcement Learning</w:t>
            </w:r>
          </w:p>
        </w:tc>
        <w:tc>
          <w:p>
            <w:pPr/>
            <w:r>
              <w:rPr>
                <w:sz w:val="20"/>
                <w:szCs w:val="20"/>
              </w:rPr>
              <w:t xml:space="preserve">Sequential decision</w:t>
            </w:r>
          </w:p>
        </w:tc>
        <w:tc>
          <w:p>
            <w:pPr/>
            <w:r>
              <w:rPr>
                <w:sz w:val="20"/>
                <w:szCs w:val="20"/>
              </w:rPr>
              <w:t xml:space="preserve">Variable</w:t>
            </w:r>
          </w:p>
        </w:tc>
        <w:tc>
          <w:p>
            <w:pPr/>
            <w:r>
              <w:rPr>
                <w:sz w:val="20"/>
                <w:szCs w:val="20"/>
              </w:rPr>
              <w:t xml:space="preserve">Reward shaping</w:t>
            </w:r>
          </w:p>
        </w:tc>
        <w:tc>
          <w:p>
            <w:pPr/>
            <w:r>
              <w:rPr>
                <w:sz w:val="20"/>
                <w:szCs w:val="20"/>
              </w:rPr>
              <w:t xml:space="preserve">Structure generation</w:t>
            </w:r>
          </w:p>
        </w:tc>
      </w:tr>
      <w:tr>
        <w:tc>
          <w:p>
            <w:pPr/>
            <w:r>
              <w:rPr>
                <w:sz w:val="20"/>
                <w:szCs w:val="20"/>
              </w:rPr>
              <w:t xml:space="preserve">Simulated Annealing</w:t>
            </w:r>
          </w:p>
        </w:tc>
        <w:tc>
          <w:p>
            <w:pPr/>
            <w:r>
              <w:rPr>
                <w:sz w:val="20"/>
                <w:szCs w:val="20"/>
              </w:rPr>
              <w:t xml:space="preserve">Temperature schedule</w:t>
            </w:r>
          </w:p>
        </w:tc>
        <w:tc>
          <w:p>
            <w:pPr/>
            <w:r>
              <w:rPr>
                <w:sz w:val="20"/>
                <w:szCs w:val="20"/>
              </w:rPr>
              <w:t xml:space="preserve">Low</w:t>
            </w:r>
          </w:p>
        </w:tc>
        <w:tc>
          <w:p>
            <w:pPr/>
            <w:r>
              <w:rPr>
                <w:sz w:val="20"/>
                <w:szCs w:val="20"/>
              </w:rPr>
              <w:t xml:space="preserve">Scalarization</w:t>
            </w:r>
          </w:p>
        </w:tc>
        <w:tc>
          <w:p>
            <w:pPr/>
            <w:r>
              <w:rPr>
                <w:sz w:val="20"/>
                <w:szCs w:val="20"/>
              </w:rPr>
              <w:t xml:space="preserve">Crystal search</w:t>
            </w:r>
          </w:p>
        </w:tc>
      </w:tr>
      <w:tr>
        <w:tc>
          <w:p>
            <w:pPr/>
            <w:r>
              <w:rPr>
                <w:sz w:val="20"/>
                <w:szCs w:val="20"/>
              </w:rPr>
              <w:t xml:space="preserve">Particle Swarm</w:t>
            </w:r>
          </w:p>
        </w:tc>
        <w:tc>
          <w:p>
            <w:pPr/>
            <w:r>
              <w:rPr>
                <w:sz w:val="20"/>
                <w:szCs w:val="20"/>
              </w:rPr>
              <w:t xml:space="preserve">Swarm intelligence</w:t>
            </w:r>
          </w:p>
        </w:tc>
        <w:tc>
          <w:p>
            <w:pPr/>
            <w:r>
              <w:rPr>
                <w:sz w:val="20"/>
                <w:szCs w:val="20"/>
              </w:rPr>
              <w:t xml:space="preserve">Medium</w:t>
            </w:r>
          </w:p>
        </w:tc>
        <w:tc>
          <w:p>
            <w:pPr/>
            <w:r>
              <w:rPr>
                <w:sz w:val="20"/>
                <w:szCs w:val="20"/>
              </w:rPr>
              <w:t xml:space="preserve">Archive-based</w:t>
            </w:r>
          </w:p>
        </w:tc>
        <w:tc>
          <w:p>
            <w:pPr/>
            <w:r>
              <w:rPr>
                <w:sz w:val="20"/>
                <w:szCs w:val="20"/>
              </w:rPr>
              <w:t xml:space="preserve">Process optimization</w:t>
            </w:r>
          </w:p>
        </w:tc>
      </w:tr>
      <w:tr>
        <w:tc>
          <w:p>
            <w:pPr/>
            <w:r>
              <w:rPr>
                <w:sz w:val="20"/>
                <w:szCs w:val="20"/>
              </w:rPr>
              <w:t xml:space="preserve">Active Learning</w:t>
            </w:r>
          </w:p>
        </w:tc>
        <w:tc>
          <w:p>
            <w:pPr/>
            <w:r>
              <w:rPr>
                <w:sz w:val="20"/>
                <w:szCs w:val="20"/>
              </w:rPr>
              <w:t xml:space="preserve">Uncertainty sampling</w:t>
            </w:r>
          </w:p>
        </w:tc>
        <w:tc>
          <w:p>
            <w:pPr/>
            <w:r>
              <w:rPr>
                <w:sz w:val="20"/>
                <w:szCs w:val="20"/>
              </w:rPr>
              <w:t xml:space="preserve">Very High</w:t>
            </w:r>
          </w:p>
        </w:tc>
        <w:tc>
          <w:p>
            <w:pPr/>
            <w:r>
              <w:rPr>
                <w:sz w:val="20"/>
                <w:szCs w:val="20"/>
              </w:rPr>
              <w:t xml:space="preserve">Multi-acquisition</w:t>
            </w:r>
          </w:p>
        </w:tc>
        <w:tc>
          <w:p>
            <w:pPr/>
            <w:r>
              <w:rPr>
                <w:sz w:val="20"/>
                <w:szCs w:val="20"/>
              </w:rPr>
              <w:t xml:space="preserve">Exploration</w:t>
            </w:r>
          </w:p>
        </w:tc>
      </w:tr>
    </w:tbl>
    <w:p>
      <w:pPr>
        <w:spacing w:after="240"/>
      </w:pPr>
      <w:r>
        <w:rPr/>
        <w:t xml:space="preserve"/>
      </w:r>
    </w:p>
    <w:p>
      <w:pPr>
        <w:jc w:val="center"/>
        <w:pBdr>
          <w:top w:val="single" w:sz="12" w:space="4" w:color="4472C4"/>
          <w:left w:val="single" w:sz="12" w:space="4" w:color="4472C4"/>
          <w:bottom w:val="single" w:sz="12" w:space="4" w:color="4472C4"/>
          <w:right w:val="single" w:sz="12" w:space="4" w:color="4472C4"/>
        </w:pBdr>
        <w:spacing w:before="240" w:after="120"/>
      </w:pPr>
      <w:r>
        <w:rPr>
          <w:b/>
          <w:sz w:val="24"/>
          <w:szCs w:val="24"/>
        </w:rPr>
        <w:t xml:space="preserve">[FIGURE 4 - See Figure_4.png]</w:t>
      </w:r>
    </w:p>
    <w:p>
      <w:pPr>
        <w:jc w:val="center"/>
        <w:pBdr>
          <w:left w:val="single" w:sz="12" w:space="4" w:color="4472C4"/>
          <w:bottom w:val="single" w:sz="12" w:space="4" w:color="4472C4"/>
          <w:right w:val="single" w:sz="12" w:space="4" w:color="4472C4"/>
        </w:pBdr>
      </w:pPr>
      <w:r>
        <w:rPr>
          <w:i/>
          <w:sz w:val="20"/>
          <w:szCs w:val="20"/>
        </w:rPr>
        <w:t xml:space="preserve">Panel (a): RL loop diagram | Panel (b): Convergence over episodes | Panel (c): Pareto front (stability vs band gap)</w:t>
      </w:r>
    </w:p>
    <w:p>
      <w:pPr>
        <w:jc w:val="center"/>
        <w:spacing w:after="240"/>
      </w:pPr>
      <w:r>
        <w:rPr>
          <w:b/>
          <w:i/>
          <w:sz w:val="20"/>
          <w:szCs w:val="20"/>
        </w:rPr>
        <w:t xml:space="preserve">Figure 4: Reinforcement learning framework for nanomaterial design: (a) State-action-reward diagram, (b) Training convergence curves, (c) Pareto front of RL-discovered materials.</w:t>
      </w:r>
    </w:p>
    <w:p>
      <w:r>
        <w:br w:type="page"/>
      </w:r>
    </w:p>
    <w:p>
      <w:pPr>
        <w:pStyle w:val="Heading1"/>
      </w:pPr>
      <w:r>
        <w:rPr>
          <w:b/>
          <w:sz w:val="32"/>
          <w:szCs w:val="32"/>
        </w:rPr>
        <w:t xml:space="preserve">3. APPLICATIONS OF AI-DESIGNED NANOMATERIALS</w:t>
      </w:r>
    </w:p>
    <w:p>
      <w:pPr>
        <w:pStyle w:val="Heading2"/>
      </w:pPr>
      <w:r>
        <w:rPr>
          <w:b/>
          <w:sz w:val="28"/>
          <w:szCs w:val="28"/>
        </w:rPr>
        <w:t xml:space="preserve">3.1 Property Prediction and Materials Optimization</w:t>
      </w:r>
    </w:p>
    <w:p>
      <w:pPr/>
      <w:r>
        <w:rPr>
          <w:sz w:val="24"/>
          <w:szCs w:val="24"/>
          <w:rFonts w:ascii="Times New Roman" w:hAnsi="Times New Roman"/>
        </w:rPr>
        <w:t xml:space="preserve">Machine learning models trained on curated datasets have demonstrated remarkable accuracy in predicting diverse nanomaterial properties across multiple domains. Band gap prediction using gradient boosting methods achieves mean absolute error (MAE) below 0.3 eV on benchmark datasets from the Materials Project [34]. Formation energy prediction using CGCNN and MEGNet approaches DFT-level uncertainty of approximately 25 meV/atom [13,27]. For nanoparticle-specific properties, ML models successfully predict catalytic activity of alloy nanoparticles, localized surface plasmon resonance wavelengths of gold and silver nanostructures, quantum dot emission spectra, and colloidal stability indicators [35,36].</w:t>
      </w:r>
    </w:p>
    <w:p>
      <w:pPr/>
      <w:r>
        <w:rPr>
          <w:sz w:val="24"/>
          <w:szCs w:val="24"/>
          <w:rFonts w:ascii="Times New Roman" w:hAnsi="Times New Roman"/>
        </w:rPr>
        <w:t xml:space="preserve">Transfer learning and multi-task approaches address data scarcity challenges endemic to nanomaterial datasets by leveraging knowledge learned from data-rich tasks to improve predictions on data-scarce targets [37]. Cross-property transfer, where models pre-trained on abundant formation energy data are fine-tuned for scarce band gap or thermal conductivity data, has demonstrated 30-50% improvement in prediction accuracy compared to models trained from scratch on limited data. Multi-fidelity approaches that combine abundant low-accuracy data with scarce high-accuracy measurements provide another avenue for overcoming data limitations.</w:t>
      </w:r>
    </w:p>
    <w:p>
      <w:pPr>
        <w:pStyle w:val="Heading2"/>
      </w:pPr>
      <w:r>
        <w:rPr>
          <w:b/>
          <w:sz w:val="28"/>
          <w:szCs w:val="28"/>
        </w:rPr>
        <w:t xml:space="preserve">3.2 AI-Guided Nanomaterial Synthesis</w:t>
      </w:r>
    </w:p>
    <w:p>
      <w:pPr/>
      <w:r>
        <w:rPr>
          <w:sz w:val="24"/>
          <w:szCs w:val="24"/>
          <w:rFonts w:ascii="Times New Roman" w:hAnsi="Times New Roman"/>
        </w:rPr>
        <w:t xml:space="preserve">AI-guided synthesis optimization represents one of the most impactful applications of machine learning in nanomaterial science, directly addressing the challenge of translating computational designs into experimentally realized materials. Bayesian optimization frameworks have been applied to optimize hydrothermal synthesis of metal oxide nanoparticles, achieving target morphologies with 3-5 times fewer experiments than traditional design-of-experiments approaches [49]. Neural network models trained on synthesis literature predict optimal precursor concentrations, reaction temperatures, times, and surfactant ratios for specified nanoparticle characteristics.</w:t>
      </w:r>
    </w:p>
    <w:p>
      <w:pPr/>
      <w:r>
        <w:rPr>
          <w:sz w:val="24"/>
          <w:szCs w:val="24"/>
          <w:rFonts w:ascii="Times New Roman" w:hAnsi="Times New Roman"/>
        </w:rPr>
        <w:t xml:space="preserve">Self-driving laboratory platforms integrate ML-driven experimental design with robotic liquid handling, automated characterization via electron microscopy and spectroscopy, and closed-loop feedback control [53]. These platforms operate continuously without human intervention, executing hundreds of synthesis-characterization cycles per day. The ADAM (Autonomous Discovery of Advanced Materials) platform demonstrated autonomous optimization of carbon quantum dot synthesis for fluorescence emission targeting, discovering optimal conditions within 50 iterations from a 12-dimensional parameter space.</w:t>
      </w:r>
    </w:p>
    <w:p>
      <w:pPr>
        <w:pStyle w:val="Heading2"/>
      </w:pPr>
      <w:r>
        <w:rPr>
          <w:b/>
          <w:sz w:val="28"/>
          <w:szCs w:val="28"/>
        </w:rPr>
        <w:t xml:space="preserve">3.3 Biomedical and Environmental Applications</w:t>
      </w:r>
    </w:p>
    <w:p>
      <w:pPr/>
      <w:r>
        <w:rPr>
          <w:sz w:val="24"/>
          <w:szCs w:val="24"/>
          <w:rFonts w:ascii="Times New Roman" w:hAnsi="Times New Roman"/>
        </w:rPr>
        <w:t xml:space="preserve">AI-designed nanomaterials have found significant applications in biomedicine and environmental science. In drug delivery, ML models optimize nanoparticle size, surface charge, PEGylation density, and targeting ligand presentation to maximize tumor accumulation and minimize off-target effects. Reinforcement learning agents design lipid nanoparticle formulations for mRNA delivery with improved transfection efficiency [51]. For environmental applications, AI-optimized photocatalytic nanomaterials achieve enhanced degradation of emerging pollutants, while ML-designed nanosorbents maximize heavy metal adsorption capacity through composition and surface functionality optimization.</w:t>
      </w:r>
    </w:p>
    <w:p>
      <w:pPr>
        <w:pStyle w:val="Heading2"/>
      </w:pPr>
      <w:r>
        <w:rPr>
          <w:b/>
          <w:sz w:val="28"/>
          <w:szCs w:val="28"/>
        </w:rPr>
        <w:t xml:space="preserve">3.4 AI-Assisted Nanomaterials for Forensic Science</w:t>
      </w:r>
    </w:p>
    <w:p>
      <w:pPr/>
      <w:r>
        <w:rPr>
          <w:sz w:val="24"/>
          <w:szCs w:val="24"/>
          <w:rFonts w:ascii="Times New Roman" w:hAnsi="Times New Roman"/>
        </w:rPr>
        <w:t xml:space="preserve">The application of AI-designed nanomaterials to forensic science represents a rapidly emerging field with transformative potential for criminal investigation and justice systems [6,7]. AI methodologies enable the rational design of nanomaterials with properties specifically optimized for forensic detection challenges, including sensitivity, selectivity, stability under field conditions, and compatibility with diverse evidence substrates.</w:t>
      </w:r>
    </w:p>
    <w:p>
      <w:pPr>
        <w:pStyle w:val="Heading3"/>
      </w:pPr>
      <w:r>
        <w:rPr>
          <w:b/>
          <w:sz w:val="26"/>
          <w:szCs w:val="26"/>
        </w:rPr>
        <w:t xml:space="preserve">3.4.1 Enhanced Fingerprint Detection</w:t>
      </w:r>
    </w:p>
    <w:p>
      <w:pPr/>
      <w:r>
        <w:rPr>
          <w:sz w:val="24"/>
          <w:szCs w:val="24"/>
          <w:rFonts w:ascii="Times New Roman" w:hAnsi="Times New Roman"/>
        </w:rPr>
        <w:t xml:space="preserve">Latent fingerprint detection remains one of the most critical forensic techniques, and AI-designed fluorescent nanomaterials including quantum dots, carbon dots, and upconversion nanoparticles (UCNPs) enable next-generation fingerprint visualization with 5-20 times higher signal-to-noise ratios compared to conventional powdering methods [14,15]. Machine learning models predict the relationship between quantum dot composition (core material, shell thickness, surface ligands) and fluorescence emission properties, enabling rational design of nanoprobes with emission wavelengths matched to minimize substrate autofluorescence [16].</w:t>
      </w:r>
    </w:p>
    <w:p>
      <w:pPr/>
      <w:r>
        <w:rPr>
          <w:sz w:val="24"/>
          <w:szCs w:val="24"/>
          <w:rFonts w:ascii="Times New Roman" w:hAnsi="Times New Roman"/>
        </w:rPr>
        <w:t xml:space="preserve">AI optimization of surface functionalization enables selective binding to fingerprint residue components (amino acids, fatty acids, proteins) while minimizing non-specific adsorption to substrate surfaces. Multi-objective optimization simultaneously maximizes fluorescence quantum yield, photostability, and fingerprint ridge contrast across diverse substrates including paper, glass, plastic, and metal surfaces. Deep learning image analysis complements nanomaterial-based enhancement by extracting minutiae patterns from enhanced fingerprints with greater accuracy than human examiners.</w:t>
      </w:r>
    </w:p>
    <w:p>
      <w:pPr>
        <w:pStyle w:val="Heading3"/>
      </w:pPr>
      <w:r>
        <w:rPr>
          <w:b/>
          <w:sz w:val="26"/>
          <w:szCs w:val="26"/>
        </w:rPr>
        <w:t xml:space="preserve">3.4.2 SERS Substrates for Trace Evidence Analysis</w:t>
      </w:r>
    </w:p>
    <w:p>
      <w:pPr/>
      <w:r>
        <w:rPr>
          <w:sz w:val="24"/>
          <w:szCs w:val="24"/>
          <w:rFonts w:ascii="Times New Roman" w:hAnsi="Times New Roman"/>
        </w:rPr>
        <w:t xml:space="preserve">Surface-enhanced Raman spectroscopy (SERS) substrates provide electromagnetic enhancement factors of 10^6 to 10^10, enabling detection of trace analytes at femtomolar concentrations relevant to forensic scenarios [17]. AI-driven inverse design optimizes nanostructure geometry including particle size, shape, interparticle gap distance, and array periodicity to maximize electromagnetic enhancement at specific excitation wavelengths [42]. Deep learning models trained on finite-difference time-domain (FDTD) simulation databases predict enhancement factors for arbitrary nanostructure geometries in milliseconds, enabling rapid screening of millions of candidate designs.</w:t>
      </w:r>
    </w:p>
    <w:p>
      <w:pPr/>
      <w:r>
        <w:rPr>
          <w:sz w:val="24"/>
          <w:szCs w:val="24"/>
          <w:rFonts w:ascii="Times New Roman" w:hAnsi="Times New Roman"/>
        </w:rPr>
        <w:t xml:space="preserve">Conditional GANs generate nanostructure geometries optimized for detecting specific analyte classes including controlled substances (cocaine, methamphetamine, fentanyl), explosive residues (TNT, RDX, PETN), and biological fluids (blood, saliva, semen) based on their characteristic Raman signatures. Multi-functional SERS substrates designed using multi-objective optimization simultaneously maximize enhancement for multiple analytes while maintaining reproducibility across the substrate area.</w:t>
      </w:r>
    </w:p>
    <w:p>
      <w:pPr>
        <w:pStyle w:val="Heading3"/>
      </w:pPr>
      <w:r>
        <w:rPr>
          <w:b/>
          <w:sz w:val="26"/>
          <w:szCs w:val="26"/>
        </w:rPr>
        <w:t xml:space="preserve">3.4.3 Nanobiosensors for Forensic Diagnostics</w:t>
      </w:r>
    </w:p>
    <w:p>
      <w:pPr/>
      <w:r>
        <w:rPr>
          <w:sz w:val="24"/>
          <w:szCs w:val="24"/>
          <w:rFonts w:ascii="Times New Roman" w:hAnsi="Times New Roman"/>
        </w:rPr>
        <w:t xml:space="preserve">AI-designed nanobiosensors integrate biological recognition elements (antibodies, aptamers, molecularly imprinted polymers) with signal-transducing nanomaterials to achieve rapid, sensitive, and specific detection of forensically relevant targets [6]. Applications include lateral flow immunoassays incorporating AI-optimized gold nanoparticle conjugates for presumptive body fluid identification at crime scenes, electrochemical nanosensors with ML-designed electrode modifications for quantitative drug detection in biological matrices, and plasmonic biosensors enabling DNA identification from minute samples without PCR amplification through AI-optimized signal transduction.</w:t>
      </w:r>
    </w:p>
    <w:p>
      <w:pPr>
        <w:pStyle w:val="Heading3"/>
      </w:pPr>
      <w:r>
        <w:rPr>
          <w:b/>
          <w:sz w:val="26"/>
          <w:szCs w:val="26"/>
        </w:rPr>
        <w:t xml:space="preserve">3.4.4 Chemical Sensing and Explosive Detection</w:t>
      </w:r>
    </w:p>
    <w:p>
      <w:pPr/>
      <w:r>
        <w:rPr>
          <w:sz w:val="24"/>
          <w:szCs w:val="24"/>
          <w:rFonts w:ascii="Times New Roman" w:hAnsi="Times New Roman"/>
        </w:rPr>
        <w:t xml:space="preserve">Metal-organic framework (MOF) nanoparticles with AI-optimized pore geometries and functionalization achieve parts-per-trillion detection limits for explosive vapors including nitroaromatic compounds, peroxide-based explosives, and inorganic oxidizers [6]. Colorimetric nanoparticle arrays functioning as artificial noses enable forensic chemical signature identification through pattern recognition of multi-analyte responses, identifying accelerants in arson investigation, decomposition products for time-since-death estimation, and clandestine drug laboratory emissions [17]. Machine learning classification algorithms trained on sensor array response patterns achieve greater than 95% accuracy in distinguishing forensically relevant chemical signatures from environmental backgrounds.</w:t>
      </w:r>
    </w:p>
    <w:p>
      <w:pPr>
        <w:pStyle w:val="Heading2"/>
      </w:pPr>
      <w:r>
        <w:rPr>
          <w:b/>
          <w:sz w:val="28"/>
          <w:szCs w:val="28"/>
        </w:rPr>
        <w:t xml:space="preserve">3.5 Case Studies and Recent Advances</w:t>
      </w:r>
    </w:p>
    <w:p>
      <w:pPr/>
      <w:r>
        <w:rPr>
          <w:sz w:val="24"/>
          <w:szCs w:val="24"/>
          <w:rFonts w:ascii="Times New Roman" w:hAnsi="Times New Roman"/>
        </w:rPr>
        <w:t xml:space="preserve">Recent case studies demonstrate the practical impact of AI-designed nanomaterials across forensic applications. Yan and Gu [35] applied deep learning to predict optical properties of metallic nanoparticles, enabling rapid identification of compositions yielding maximum SERS enhancement for forensic analytes. The AlloyGAN framework [44] demonstrated that combining text-mined synthesis knowledge with generative adversarial networks accelerates discovery of novel alloy nanoparticles with properties exceeding those of known materials. Autonomous experimentation platforms have optimized carbon dot fluorescence for fingerprint detection applications, discovering formulations with quantum yields exceeding 80% through fewer than 100 experiments [53].</w:t>
      </w:r>
    </w:p>
    <w:p>
      <w:pPr>
        <w:jc w:val="center"/>
        <w:pBdr>
          <w:top w:val="single" w:sz="12" w:space="4" w:color="4472C4"/>
          <w:left w:val="single" w:sz="12" w:space="4" w:color="4472C4"/>
          <w:bottom w:val="single" w:sz="12" w:space="4" w:color="4472C4"/>
          <w:right w:val="single" w:sz="12" w:space="4" w:color="4472C4"/>
        </w:pBdr>
        <w:spacing w:before="240" w:after="120"/>
      </w:pPr>
      <w:r>
        <w:rPr>
          <w:b/>
          <w:sz w:val="24"/>
          <w:szCs w:val="24"/>
        </w:rPr>
        <w:t xml:space="preserve">[FIGURE 5 - See Figure_5.png]</w:t>
      </w:r>
    </w:p>
    <w:p>
      <w:pPr>
        <w:jc w:val="center"/>
        <w:pBdr>
          <w:left w:val="single" w:sz="12" w:space="4" w:color="4472C4"/>
          <w:bottom w:val="single" w:sz="12" w:space="4" w:color="4472C4"/>
          <w:right w:val="single" w:sz="12" w:space="4" w:color="4472C4"/>
        </w:pBdr>
      </w:pPr>
      <w:r>
        <w:rPr>
          <w:i/>
          <w:sz w:val="20"/>
          <w:szCs w:val="20"/>
        </w:rPr>
        <w:t xml:space="preserve">Panel (a): Screening funnel | Panel (b): Active learning loop | Panel (c): Efficiency comparison</w:t>
      </w:r>
    </w:p>
    <w:p>
      <w:pPr>
        <w:jc w:val="center"/>
        <w:spacing w:after="240"/>
      </w:pPr>
      <w:r>
        <w:rPr>
          <w:b/>
          <w:i/>
          <w:sz w:val="20"/>
          <w:szCs w:val="20"/>
        </w:rPr>
        <w:t xml:space="preserve">Figure 5: High-throughput screening and active learning workflow: (a) Funnel diagram from 10^6 candidates to 10 confirmed, (b) Active learning iterative loop, (c) Random vs. intelligent sampling comparison.</w:t>
      </w:r>
    </w:p>
    <w:p>
      <w:pPr>
        <w:jc w:val="center"/>
        <w:pBdr>
          <w:top w:val="single" w:sz="12" w:space="4" w:color="4472C4"/>
          <w:left w:val="single" w:sz="12" w:space="4" w:color="4472C4"/>
          <w:bottom w:val="single" w:sz="12" w:space="4" w:color="4472C4"/>
          <w:right w:val="single" w:sz="12" w:space="4" w:color="4472C4"/>
        </w:pBdr>
        <w:spacing w:before="240" w:after="120"/>
      </w:pPr>
      <w:r>
        <w:rPr>
          <w:b/>
          <w:sz w:val="24"/>
          <w:szCs w:val="24"/>
        </w:rPr>
        <w:t xml:space="preserve">[FIGURE 6 - See Figure_6.png]</w:t>
      </w:r>
    </w:p>
    <w:p>
      <w:pPr>
        <w:jc w:val="center"/>
        <w:pBdr>
          <w:left w:val="single" w:sz="12" w:space="4" w:color="4472C4"/>
          <w:bottom w:val="single" w:sz="12" w:space="4" w:color="4472C4"/>
          <w:right w:val="single" w:sz="12" w:space="4" w:color="4472C4"/>
        </w:pBdr>
      </w:pPr>
      <w:r>
        <w:rPr>
          <w:i/>
          <w:sz w:val="20"/>
          <w:szCs w:val="20"/>
        </w:rPr>
        <w:t xml:space="preserve">Panel (a): Fingerprint on various substrates | Panel (b): SERS field maps | Panel (c): Body fluid sensor | Panel (d): Explosive sensor responses</w:t>
      </w:r>
    </w:p>
    <w:p>
      <w:pPr>
        <w:jc w:val="center"/>
        <w:spacing w:after="240"/>
      </w:pPr>
      <w:r>
        <w:rPr>
          <w:b/>
          <w:i/>
          <w:sz w:val="20"/>
          <w:szCs w:val="20"/>
        </w:rPr>
        <w:t xml:space="preserve">Figure 6: AI-designed nanomaterials for forensic applications: (a) Fluorescent NPs for fingerprint detection, (b) GAN-designed SERS substrates, (c) Nanobiosensor array, (d) MOF explosive vapor sensor.</w:t>
      </w:r>
    </w:p>
    <w:p>
      <w:r>
        <w:br w:type="page"/>
      </w:r>
    </w:p>
    <w:p>
      <w:pPr>
        <w:pStyle w:val="Heading1"/>
      </w:pPr>
      <w:r>
        <w:rPr>
          <w:b/>
          <w:sz w:val="32"/>
          <w:szCs w:val="32"/>
        </w:rPr>
        <w:t xml:space="preserve">4. CHALLENGES, FUTURE PERSPECTIVES, AND CONCLUSIONS</w:t>
      </w:r>
    </w:p>
    <w:p>
      <w:pPr>
        <w:pStyle w:val="Heading2"/>
      </w:pPr>
      <w:r>
        <w:rPr>
          <w:b/>
          <w:sz w:val="28"/>
          <w:szCs w:val="28"/>
        </w:rPr>
        <w:t xml:space="preserve">4.1 Current Challenges</w:t>
      </w:r>
    </w:p>
    <w:p>
      <w:pPr/>
      <w:r>
        <w:rPr>
          <w:sz w:val="24"/>
          <w:szCs w:val="24"/>
          <w:rFonts w:ascii="Times New Roman" w:hAnsi="Times New Roman"/>
        </w:rPr>
        <w:t xml:space="preserve">Despite remarkable progress, several fundamental challenges impede the full realization of AI-assisted nanomaterial design. Data scarcity remains the most pervasive limitation, as most nanomaterial datasets contain fewer than 1,000 samples, far below the requirements for robust deep learning model training [3,4]. Unlike domains such as computer vision or natural language processing where millions of labeled examples are readily available, materials data requires expensive experimental measurements or computationally intensive simulations to generate. Solutions under active development include transfer learning from data-rich to data-scarce domains, physics-informed data augmentation, few-shot learning architectures, multi-fidelity approaches combining data at different accuracy levels, and federated learning frameworks enabling collaborative model training without sharing proprietary data [37].</w:t>
      </w:r>
    </w:p>
    <w:p>
      <w:pPr/>
      <w:r>
        <w:rPr>
          <w:sz w:val="24"/>
          <w:szCs w:val="24"/>
          <w:rFonts w:ascii="Times New Roman" w:hAnsi="Times New Roman"/>
        </w:rPr>
        <w:t xml:space="preserve">Model interpretability presents another significant challenge, as many high-performing deep learning models operate as black boxes, providing accurate predictions without physically meaningful explanations of the underlying structure-property relationships [4]. This opacity hinders scientific understanding and reduces trust in AI-generated recommendations. Physics-informed machine learning approaches that embed known physical constraints into model architectures, equivariant neural networks that respect crystallographic symmetries, and explainable AI (XAI) techniques including SHAP values, integrated gradients, and attention mechanism visualization offer pathways toward interpretable materials models.</w:t>
      </w:r>
    </w:p>
    <w:p>
      <w:pPr/>
      <w:r>
        <w:rPr>
          <w:sz w:val="24"/>
          <w:szCs w:val="24"/>
          <w:rFonts w:ascii="Times New Roman" w:hAnsi="Times New Roman"/>
        </w:rPr>
        <w:t xml:space="preserve">A persistent gap exists between computationally predicted and experimentally realizable materials, with estimates suggesting that only approximately 30% of AI-generated material candidates can be successfully synthesized under reasonable laboratory conditions [8,38]. Synthesis-aware generative models that incorporate known synthesis constraints and precursor availability into the generation process, combined with autonomous experimental platforms providing rapid synthesis validation and closed-loop feedback, represent promising approaches to bridging this theory-practice gap.</w:t>
      </w:r>
    </w:p>
    <w:p>
      <w:pPr/>
      <w:r>
        <w:rPr>
          <w:sz w:val="24"/>
          <w:szCs w:val="24"/>
          <w:rFonts w:ascii="Times New Roman" w:hAnsi="Times New Roman"/>
        </w:rPr>
        <w:t xml:space="preserve">Scalability and computational cost considerations also present practical barriers to widespread adoption. Training state-of-the-art GNN models on large crystal structure databases requires significant GPU resources, while inference costs for screening millions of candidates can be substantial. Furthermore, multi-scale modeling that connects atomic-level predictions to device-level performance remains an open challenge requiring hierarchical ML approaches that bridge length scales from angstroms to micrometers.</w:t>
      </w:r>
    </w:p>
    <w:p>
      <w:pPr>
        <w:pStyle w:val="Heading2"/>
      </w:pPr>
      <w:r>
        <w:rPr>
          <w:b/>
          <w:sz w:val="28"/>
          <w:szCs w:val="28"/>
        </w:rPr>
        <w:t xml:space="preserve">4.2 Ethical and Regulatory Considerations</w:t>
      </w:r>
    </w:p>
    <w:p>
      <w:pPr/>
      <w:r>
        <w:rPr>
          <w:sz w:val="24"/>
          <w:szCs w:val="24"/>
          <w:rFonts w:ascii="Times New Roman" w:hAnsi="Times New Roman"/>
        </w:rPr>
        <w:t xml:space="preserve">The development of AI-designed nanomaterials raises important ethical and regulatory considerations. Dual-use potential requires careful evaluation, as nanomaterials designed for beneficial applications such as drug delivery or environmental sensing could potentially be repurposed for harmful ends. Nanotoxicology assessment must be integrated into the design optimization process, with ML models for toxicity prediction incorporated as constraints in multi-objective optimization frameworks. Environmental impact of AI-designed nanomaterials throughout their lifecycle, from synthesis to disposal, requires consideration within sustainable and green nanotechnology frameworks. For forensic applications specifically, concerns regarding surveillance capabilities, privacy implications, and potential for misuse of advanced detection technologies necessitate robust ethical oversight and regulatory governance.</w:t>
      </w:r>
    </w:p>
    <w:p>
      <w:pPr>
        <w:pStyle w:val="Heading2"/>
      </w:pPr>
      <w:r>
        <w:rPr>
          <w:b/>
          <w:sz w:val="28"/>
          <w:szCs w:val="28"/>
        </w:rPr>
        <w:t xml:space="preserve">4.3 Future Perspectives</w:t>
      </w:r>
    </w:p>
    <w:p>
      <w:pPr/>
      <w:r>
        <w:rPr>
          <w:sz w:val="24"/>
          <w:szCs w:val="24"/>
          <w:rFonts w:ascii="Times New Roman" w:hAnsi="Times New Roman"/>
        </w:rPr>
        <w:t xml:space="preserve">The future of AI-assisted nanomaterial design is characterized by several converging trends that promise to accelerate discovery rates by orders of magnitude. Self-driving laboratories integrating AI planning, robotic synthesis, and automated characterization will enable continuous closed-loop optimization operating 24 hours per day without human intervention [53]. These autonomous platforms will progressively reduce the time from computational prediction to experimental validation from months to days or even hours.</w:t>
      </w:r>
    </w:p>
    <w:p>
      <w:pPr/>
      <w:r>
        <w:rPr>
          <w:sz w:val="24"/>
          <w:szCs w:val="24"/>
          <w:rFonts w:ascii="Times New Roman" w:hAnsi="Times New Roman"/>
        </w:rPr>
        <w:t xml:space="preserve">AI-robotics integration will extend beyond single-instrument platforms to interconnected laboratory networks where multiple self-driving systems collaborate on distributed experimental campaigns. Digital twins for nanomaterials will create virtual representations of real nanomaterial systems, enabling rapid in silico testing of modifications before physical implementation. Explainable AI will evolve beyond post-hoc interpretation to inherently interpretable architectures that provide physical insights alongside predictions, accelerating scientific understanding of nanoscale phenomena.</w:t>
      </w:r>
    </w:p>
    <w:p>
      <w:pPr/>
      <w:r>
        <w:rPr>
          <w:sz w:val="24"/>
          <w:szCs w:val="24"/>
          <w:rFonts w:ascii="Times New Roman" w:hAnsi="Times New Roman"/>
        </w:rPr>
        <w:t xml:space="preserve">Foundation models for materials discovery, analogous to GPT-4 or DALL-E in language and vision domains, will be pre-trained on vast multi-modal materials datasets encompassing crystal structures, synthesis procedures, characterization data, and scientific literature [28]. These models will enable natural language interaction with materials design systems, where researchers specify desired properties in plain language and receive optimized material candidates with synthesis instructions. Sustainable and green nanotechnology considerations will be embedded directly into AI optimization objectives, ensuring that discovered materials meet environmental safety and lifecycle sustainability criteria from the outset.</w:t>
      </w:r>
    </w:p>
    <w:p>
      <w:pPr/>
      <w:r>
        <w:rPr>
          <w:sz w:val="24"/>
          <w:szCs w:val="24"/>
          <w:rFonts w:ascii="Times New Roman" w:hAnsi="Times New Roman"/>
        </w:rPr>
        <w:t xml:space="preserve">For forensic applications specifically, future developments include integration of AI-designed nanomaterials with portable analytical platforms for field deployment, multi-modal sensor fusion combining SERS, fluorescence, and electrochemical detection in single devices, and AI-powered forensic databases linking nanomaterial sensor responses to comprehensive reference libraries of forensically relevant substances. Standardized validation protocols and inter-laboratory comparison studies will establish the reliability and admissibility standards necessary for courtroom acceptance of AI-nanomaterial-based forensic evidence.</w:t>
      </w:r>
    </w:p>
    <w:p>
      <w:pPr>
        <w:pStyle w:val="Heading2"/>
      </w:pPr>
      <w:r>
        <w:rPr>
          <w:b/>
          <w:sz w:val="28"/>
          <w:szCs w:val="28"/>
        </w:rPr>
        <w:t xml:space="preserve">4.4 Conclusions</w:t>
      </w:r>
    </w:p>
    <w:p>
      <w:pPr/>
      <w:r>
        <w:rPr>
          <w:sz w:val="24"/>
          <w:szCs w:val="24"/>
          <w:rFonts w:ascii="Times New Roman" w:hAnsi="Times New Roman"/>
        </w:rPr>
        <w:t xml:space="preserve">Artificial intelligence is fundamentally transforming the design, discovery, and optimization of nanomaterials through data-driven approaches that complement and accelerate traditional experimental methodologies. This chapter has demonstrated that: (1) Graph neural networks achieve near-DFT accuracy for property prediction at dramatically reduced computational cost [12,13,27]; (2) Generative adversarial networks and diffusion models enable generation of novel material structures with targeted properties [30,45,48]; (3) Reinforcement learning agents learn optimal design strategies through exploration of chemical spaces [24,46]; (4) Bayesian optimization enables sample-efficient synthesis optimization requiring minimal experiments [49]; and (5) Self-driving laboratories provide closed-loop development capabilities that accelerate materials discovery by orders of magnitude [53].</w:t>
      </w:r>
    </w:p>
    <w:p>
      <w:pPr/>
      <w:r>
        <w:rPr>
          <w:sz w:val="24"/>
          <w:szCs w:val="24"/>
          <w:rFonts w:ascii="Times New Roman" w:hAnsi="Times New Roman"/>
        </w:rPr>
        <w:t xml:space="preserve">The application of AI-designed nanomaterials to forensic science enables enhanced fingerprint detection with dramatically improved signal-to-noise ratios [14,15,16], superior SERS substrates for trace evidence analysis at unprecedented sensitivity levels [17,42], intelligent nanobiosensors for rapid and specific forensic diagnostics [6,7], and sensor arrays for complex chemical signature identification. The convergence of foundation models, multi-modal learning, autonomous experimentation, and AI-robotics integration promises the emergence of truly intelligent materials design systems capable of addressing the most challenging problems in forensic science and beyond. Realizing this potential will require sustained efforts to address data scarcity through collaborative data sharing, improve model interpretability for scientific trust, bridge the synthesis gap through autonomous validation, and establish ethical frameworks for responsible nanomaterial innovation.</w:t>
      </w:r>
    </w:p>
    <w:p>
      <w:pPr>
        <w:jc w:val="center"/>
        <w:spacing w:after="120" w:before="240"/>
      </w:pPr>
      <w:r>
        <w:rPr>
          <w:b/>
          <w:sz w:val="20"/>
          <w:szCs w:val="20"/>
        </w:rPr>
        <w:t xml:space="preserve">Table 4: Challenges, Solutions, and Timelines in AI-Assisted Nanomaterial Design</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4472C4"/>
          </w:tcPr>
          <w:p>
            <w:pPr>
              <w:jc w:val="center"/>
            </w:pPr>
            <w:r>
              <w:rPr>
                <w:b/>
                <w:sz w:val="20"/>
                <w:szCs w:val="20"/>
                <w:color w:val="FFFFFF"/>
              </w:rPr>
              <w:t xml:space="preserve">Challenge</w:t>
            </w:r>
          </w:p>
        </w:tc>
        <w:tc>
          <w:tcPr>
            <w:shd w:val="clear" w:color="auto" w:fill="4472C4"/>
          </w:tcPr>
          <w:p>
            <w:pPr>
              <w:jc w:val="center"/>
            </w:pPr>
            <w:r>
              <w:rPr>
                <w:b/>
                <w:sz w:val="20"/>
                <w:szCs w:val="20"/>
                <w:color w:val="FFFFFF"/>
              </w:rPr>
              <w:t xml:space="preserve">Status</w:t>
            </w:r>
          </w:p>
        </w:tc>
        <w:tc>
          <w:tcPr>
            <w:shd w:val="clear" w:color="auto" w:fill="4472C4"/>
          </w:tcPr>
          <w:p>
            <w:pPr>
              <w:jc w:val="center"/>
            </w:pPr>
            <w:r>
              <w:rPr>
                <w:b/>
                <w:sz w:val="20"/>
                <w:szCs w:val="20"/>
                <w:color w:val="FFFFFF"/>
              </w:rPr>
              <w:t xml:space="preserve">Solutions</w:t>
            </w:r>
          </w:p>
        </w:tc>
        <w:tc>
          <w:tcPr>
            <w:shd w:val="clear" w:color="auto" w:fill="4472C4"/>
          </w:tcPr>
          <w:p>
            <w:pPr>
              <w:jc w:val="center"/>
            </w:pPr>
            <w:r>
              <w:rPr>
                <w:b/>
                <w:sz w:val="20"/>
                <w:szCs w:val="20"/>
                <w:color w:val="FFFFFF"/>
              </w:rPr>
              <w:t xml:space="preserve">Timeline</w:t>
            </w:r>
          </w:p>
        </w:tc>
      </w:tr>
      <w:tr>
        <w:tc>
          <w:p>
            <w:pPr/>
            <w:r>
              <w:rPr>
                <w:sz w:val="20"/>
                <w:szCs w:val="20"/>
              </w:rPr>
              <w:t xml:space="preserve">Data scarcity</w:t>
            </w:r>
          </w:p>
        </w:tc>
        <w:tc>
          <w:p>
            <w:pPr/>
            <w:r>
              <w:rPr>
                <w:sz w:val="20"/>
                <w:szCs w:val="20"/>
              </w:rPr>
              <w:t xml:space="preserve">&lt;1000 samples typical</w:t>
            </w:r>
          </w:p>
        </w:tc>
        <w:tc>
          <w:p>
            <w:pPr/>
            <w:r>
              <w:rPr>
                <w:sz w:val="20"/>
                <w:szCs w:val="20"/>
              </w:rPr>
              <w:t xml:space="preserve">Transfer learning, augmentation, federated</w:t>
            </w:r>
          </w:p>
        </w:tc>
        <w:tc>
          <w:p>
            <w:pPr/>
            <w:r>
              <w:rPr>
                <w:sz w:val="20"/>
                <w:szCs w:val="20"/>
              </w:rPr>
              <w:t xml:space="preserve">2-5 years</w:t>
            </w:r>
          </w:p>
        </w:tc>
      </w:tr>
      <w:tr>
        <w:tc>
          <w:p>
            <w:pPr/>
            <w:r>
              <w:rPr>
                <w:sz w:val="20"/>
                <w:szCs w:val="20"/>
              </w:rPr>
              <w:t xml:space="preserve">Interpretability</w:t>
            </w:r>
          </w:p>
        </w:tc>
        <w:tc>
          <w:p>
            <w:pPr/>
            <w:r>
              <w:rPr>
                <w:sz w:val="20"/>
                <w:szCs w:val="20"/>
              </w:rPr>
              <w:t xml:space="preserve">Black-box models</w:t>
            </w:r>
          </w:p>
        </w:tc>
        <w:tc>
          <w:p>
            <w:pPr/>
            <w:r>
              <w:rPr>
                <w:sz w:val="20"/>
                <w:szCs w:val="20"/>
              </w:rPr>
              <w:t xml:space="preserve">Physics-informed ML, XAI, attention</w:t>
            </w:r>
          </w:p>
        </w:tc>
        <w:tc>
          <w:p>
            <w:pPr/>
            <w:r>
              <w:rPr>
                <w:sz w:val="20"/>
                <w:szCs w:val="20"/>
              </w:rPr>
              <w:t xml:space="preserve">3-5 years</w:t>
            </w:r>
          </w:p>
        </w:tc>
      </w:tr>
      <w:tr>
        <w:tc>
          <w:p>
            <w:pPr/>
            <w:r>
              <w:rPr>
                <w:sz w:val="20"/>
                <w:szCs w:val="20"/>
              </w:rPr>
              <w:t xml:space="preserve">Synthesizability</w:t>
            </w:r>
          </w:p>
        </w:tc>
        <w:tc>
          <w:p>
            <w:pPr/>
            <w:r>
              <w:rPr>
                <w:sz w:val="20"/>
                <w:szCs w:val="20"/>
              </w:rPr>
              <w:t xml:space="preserve">~30% realizable</w:t>
            </w:r>
          </w:p>
        </w:tc>
        <w:tc>
          <w:p>
            <w:pPr/>
            <w:r>
              <w:rPr>
                <w:sz w:val="20"/>
                <w:szCs w:val="20"/>
              </w:rPr>
              <w:t xml:space="preserve">Synthesis-aware models, autonomous validation</w:t>
            </w:r>
          </w:p>
        </w:tc>
        <w:tc>
          <w:p>
            <w:pPr/>
            <w:r>
              <w:rPr>
                <w:sz w:val="20"/>
                <w:szCs w:val="20"/>
              </w:rPr>
              <w:t xml:space="preserve">3-7 years</w:t>
            </w:r>
          </w:p>
        </w:tc>
      </w:tr>
      <w:tr>
        <w:tc>
          <w:p>
            <w:pPr/>
            <w:r>
              <w:rPr>
                <w:sz w:val="20"/>
                <w:szCs w:val="20"/>
              </w:rPr>
              <w:t xml:space="preserve">Multi-scale</w:t>
            </w:r>
          </w:p>
        </w:tc>
        <w:tc>
          <w:p>
            <w:pPr/>
            <w:r>
              <w:rPr>
                <w:sz w:val="20"/>
                <w:szCs w:val="20"/>
              </w:rPr>
              <w:t xml:space="preserve">Separate models</w:t>
            </w:r>
          </w:p>
        </w:tc>
        <w:tc>
          <w:p>
            <w:pPr/>
            <w:r>
              <w:rPr>
                <w:sz w:val="20"/>
                <w:szCs w:val="20"/>
              </w:rPr>
              <w:t xml:space="preserve">Hierarchical ML, multi-fidelity</w:t>
            </w:r>
          </w:p>
        </w:tc>
        <w:tc>
          <w:p>
            <w:pPr/>
            <w:r>
              <w:rPr>
                <w:sz w:val="20"/>
                <w:szCs w:val="20"/>
              </w:rPr>
              <w:t xml:space="preserve">5-10 years</w:t>
            </w:r>
          </w:p>
        </w:tc>
      </w:tr>
      <w:tr>
        <w:tc>
          <w:p>
            <w:pPr/>
            <w:r>
              <w:rPr>
                <w:sz w:val="20"/>
                <w:szCs w:val="20"/>
              </w:rPr>
              <w:t xml:space="preserve">Databases</w:t>
            </w:r>
          </w:p>
        </w:tc>
        <w:tc>
          <w:p>
            <w:pPr/>
            <w:r>
              <w:rPr>
                <w:sz w:val="20"/>
                <w:szCs w:val="20"/>
              </w:rPr>
              <w:t xml:space="preserve">Fragmented data</w:t>
            </w:r>
          </w:p>
        </w:tc>
        <w:tc>
          <w:p>
            <w:pPr/>
            <w:r>
              <w:rPr>
                <w:sz w:val="20"/>
                <w:szCs w:val="20"/>
              </w:rPr>
              <w:t xml:space="preserve">FAIR principles, ontologies, repositories</w:t>
            </w:r>
          </w:p>
        </w:tc>
        <w:tc>
          <w:p>
            <w:pPr/>
            <w:r>
              <w:rPr>
                <w:sz w:val="20"/>
                <w:szCs w:val="20"/>
              </w:rPr>
              <w:t xml:space="preserve">2-5 years</w:t>
            </w:r>
          </w:p>
        </w:tc>
      </w:tr>
      <w:tr>
        <w:tc>
          <w:p>
            <w:pPr/>
            <w:r>
              <w:rPr>
                <w:sz w:val="20"/>
                <w:szCs w:val="20"/>
              </w:rPr>
              <w:t xml:space="preserve">Foundation models</w:t>
            </w:r>
          </w:p>
        </w:tc>
        <w:tc>
          <w:p>
            <w:pPr/>
            <w:r>
              <w:rPr>
                <w:sz w:val="20"/>
                <w:szCs w:val="20"/>
              </w:rPr>
              <w:t xml:space="preserve">Early stage</w:t>
            </w:r>
          </w:p>
        </w:tc>
        <w:tc>
          <w:p>
            <w:pPr/>
            <w:r>
              <w:rPr>
                <w:sz w:val="20"/>
                <w:szCs w:val="20"/>
              </w:rPr>
              <w:t xml:space="preserve">Domain pretraining, multi-modal</w:t>
            </w:r>
          </w:p>
        </w:tc>
        <w:tc>
          <w:p>
            <w:pPr/>
            <w:r>
              <w:rPr>
                <w:sz w:val="20"/>
                <w:szCs w:val="20"/>
              </w:rPr>
              <w:t xml:space="preserve">3-5 years</w:t>
            </w:r>
          </w:p>
        </w:tc>
      </w:tr>
      <w:tr>
        <w:tc>
          <w:p>
            <w:pPr/>
            <w:r>
              <w:rPr>
                <w:sz w:val="20"/>
                <w:szCs w:val="20"/>
              </w:rPr>
              <w:t xml:space="preserve">Autonomous labs</w:t>
            </w:r>
          </w:p>
        </w:tc>
        <w:tc>
          <w:p>
            <w:pPr/>
            <w:r>
              <w:rPr>
                <w:sz w:val="20"/>
                <w:szCs w:val="20"/>
              </w:rPr>
              <w:t xml:space="preserve">&lt;20 prototypes</w:t>
            </w:r>
          </w:p>
        </w:tc>
        <w:tc>
          <w:p>
            <w:pPr/>
            <w:r>
              <w:rPr>
                <w:sz w:val="20"/>
                <w:szCs w:val="20"/>
              </w:rPr>
              <w:t xml:space="preserve">Standardized integration, cost reduction</w:t>
            </w:r>
          </w:p>
        </w:tc>
        <w:tc>
          <w:p>
            <w:pPr/>
            <w:r>
              <w:rPr>
                <w:sz w:val="20"/>
                <w:szCs w:val="20"/>
              </w:rPr>
              <w:t xml:space="preserve">5-10 years</w:t>
            </w:r>
          </w:p>
        </w:tc>
      </w:tr>
      <w:tr>
        <w:tc>
          <w:p>
            <w:pPr/>
            <w:r>
              <w:rPr>
                <w:sz w:val="20"/>
                <w:szCs w:val="20"/>
              </w:rPr>
              <w:t xml:space="preserve">Forensic validation</w:t>
            </w:r>
          </w:p>
        </w:tc>
        <w:tc>
          <w:p>
            <w:pPr/>
            <w:r>
              <w:rPr>
                <w:sz w:val="20"/>
                <w:szCs w:val="20"/>
              </w:rPr>
              <w:t xml:space="preserve">Limited testing</w:t>
            </w:r>
          </w:p>
        </w:tc>
        <w:tc>
          <w:p>
            <w:pPr/>
            <w:r>
              <w:rPr>
                <w:sz w:val="20"/>
                <w:szCs w:val="20"/>
              </w:rPr>
              <w:t xml:space="preserve">Protocols, inter-lab validation</w:t>
            </w:r>
          </w:p>
        </w:tc>
        <w:tc>
          <w:p>
            <w:pPr/>
            <w:r>
              <w:rPr>
                <w:sz w:val="20"/>
                <w:szCs w:val="20"/>
              </w:rPr>
              <w:t xml:space="preserve">3-7 years</w:t>
            </w:r>
          </w:p>
        </w:tc>
      </w:tr>
    </w:tbl>
    <w:p>
      <w:pPr>
        <w:spacing w:after="240"/>
      </w:pPr>
      <w:r>
        <w:rPr/>
        <w:t xml:space="preserve"/>
      </w:r>
    </w:p>
    <w:p>
      <w:r>
        <w:br w:type="page"/>
      </w:r>
    </w:p>
    <w:p>
      <w:pPr>
        <w:pStyle w:val="Heading1"/>
      </w:pPr>
      <w:r>
        <w:rPr>
          <w:b/>
          <w:sz w:val="32"/>
          <w:szCs w:val="32"/>
        </w:rPr>
        <w:t xml:space="preserve">REFERENCES</w:t>
      </w:r>
    </w:p>
    <w:p>
      <w:pPr/>
      <w:r>
        <w:rPr>
          <w:sz w:val="20"/>
          <w:szCs w:val="20"/>
          <w:rFonts w:ascii="Times New Roman" w:hAnsi="Times New Roman"/>
        </w:rPr>
        <w:t xml:space="preserve">[1] Butler, K. T., Davies, D. W., Cartwright, H., Isayev, O., &amp; Walsh, A. (2018). Machine learning for molecular and materials science. Nature, 559(7715), 547-555. https://doi.org/10.1038/s41586-018-0337-2</w:t>
      </w:r>
    </w:p>
    <w:p>
      <w:pPr/>
      <w:r>
        <w:rPr>
          <w:sz w:val="20"/>
          <w:szCs w:val="20"/>
          <w:rFonts w:ascii="Times New Roman" w:hAnsi="Times New Roman"/>
        </w:rPr>
        <w:t xml:space="preserve">[2] Curtarolo, S., Hart, G. L. W., Nardelli, M. B., Mingo, N., Sanvito, S., &amp; Levy, O. (2013). The high-throughput highway to computational materials design. Nature Materials, 12(3), 191-201. https://doi.org/10.1038/nmat3568</w:t>
      </w:r>
    </w:p>
    <w:p>
      <w:pPr/>
      <w:r>
        <w:rPr>
          <w:sz w:val="20"/>
          <w:szCs w:val="20"/>
          <w:rFonts w:ascii="Times New Roman" w:hAnsi="Times New Roman"/>
        </w:rPr>
        <w:t xml:space="preserve">[3] Himanen, L., Geurts, A., Foster, A. S., &amp; Rinke, P. (2019). Data-driven materials science: Status, challenges, and perspectives. Advanced Science, 6(21), 1900808. https://doi.org/10.1002/advs.201900808</w:t>
      </w:r>
    </w:p>
    <w:p>
      <w:pPr/>
      <w:r>
        <w:rPr>
          <w:sz w:val="20"/>
          <w:szCs w:val="20"/>
          <w:rFonts w:ascii="Times New Roman" w:hAnsi="Times New Roman"/>
        </w:rPr>
        <w:t xml:space="preserve">[4] Choudhary, K., DeCost, B., Chen, C., Jain, A., Tavazza, F., Cohn, R., Park, C. W., Choudhary, A., Agrawal, A., Billinge, S. J. L., Ling, J., Hattrick-Simpers, J., &amp; Takeuchi, I. (2022). Recent advances and applications of deep learning methods in materials science. npj Computational Materials, 8(1), 59. https://doi.org/10.1038/s41524-022-00734-6</w:t>
      </w:r>
    </w:p>
    <w:p>
      <w:pPr/>
      <w:r>
        <w:rPr>
          <w:sz w:val="20"/>
          <w:szCs w:val="20"/>
          <w:rFonts w:ascii="Times New Roman" w:hAnsi="Times New Roman"/>
        </w:rPr>
        <w:t xml:space="preserve">[5] Roduner, E. (2006). Size matters: Why nanomaterials are different. Chemical Society Reviews, 35(7), 583-592. https://doi.org/10.1039/B502142C</w:t>
      </w:r>
    </w:p>
    <w:p>
      <w:pPr/>
      <w:r>
        <w:rPr>
          <w:sz w:val="20"/>
          <w:szCs w:val="20"/>
          <w:rFonts w:ascii="Times New Roman" w:hAnsi="Times New Roman"/>
        </w:rPr>
        <w:t xml:space="preserve">[6] Kumar, R., Sharma, A., Singh, P., &amp; Malik, V. (2024). Unlocking mysteries: Fusion of nanotechnology and forensic science for advanced detection. BioNanoScience, 14(4), 4187-4202. https://doi.org/10.1007/s12668-024-01516-8</w:t>
      </w:r>
    </w:p>
    <w:p>
      <w:pPr/>
      <w:r>
        <w:rPr>
          <w:sz w:val="20"/>
          <w:szCs w:val="20"/>
          <w:rFonts w:ascii="Times New Roman" w:hAnsi="Times New Roman"/>
        </w:rPr>
        <w:t xml:space="preserve">[7] Yadav, S., &amp; Sharma, V. (2025). Innovative nanotechnology in forensic science investigations: A comprehensive review. Forensic Science, Medicine and Pathology, 21(1), 234-251. https://doi.org/10.1007/s12024-024-00879-6</w:t>
      </w:r>
    </w:p>
    <w:p>
      <w:pPr/>
      <w:r>
        <w:rPr>
          <w:sz w:val="20"/>
          <w:szCs w:val="20"/>
          <w:rFonts w:ascii="Times New Roman" w:hAnsi="Times New Roman"/>
        </w:rPr>
        <w:t xml:space="preserve">[8] Ramprasad, R., Batra, R., Pilania, G., Mannodi-Kanakkithodi, A., &amp; Kim, C. (2017). Machine learning in materials informatics: Recent applications and prospects. npj Computational Materials, 3(1), 54. https://doi.org/10.1038/s41524-017-0056-5</w:t>
      </w:r>
    </w:p>
    <w:p>
      <w:pPr/>
      <w:r>
        <w:rPr>
          <w:sz w:val="20"/>
          <w:szCs w:val="20"/>
          <w:rFonts w:ascii="Times New Roman" w:hAnsi="Times New Roman"/>
        </w:rPr>
        <w:t xml:space="preserve">[9] Schmidt, J., Marques, M. R. G., Botti, S., &amp; Marques, M. A. L. (2019). Recent advances and applications of machine learning in solid-state materials science. npj Computational Materials, 5(1), 83. https://doi.org/10.1038/s41524-019-0221-0</w:t>
      </w:r>
    </w:p>
    <w:p>
      <w:pPr/>
      <w:r>
        <w:rPr>
          <w:sz w:val="20"/>
          <w:szCs w:val="20"/>
          <w:rFonts w:ascii="Times New Roman" w:hAnsi="Times New Roman"/>
        </w:rPr>
        <w:t xml:space="preserve">[10] Jain, A., Ong, S. P., Hautier, G., Chen, W., Richards, W. D., Dacek, S., Cholia, S., Gunter, D., Skinner, D., Ceder, G., &amp; Persson, K. A. (2013). Commentary: The Materials Project: A materials genome approach to accelerating materials innovation. APL Materials, 1(1), 011002. https://doi.org/10.1063/1.4812323</w:t>
      </w:r>
    </w:p>
    <w:p>
      <w:pPr/>
      <w:r>
        <w:rPr>
          <w:sz w:val="20"/>
          <w:szCs w:val="20"/>
          <w:rFonts w:ascii="Times New Roman" w:hAnsi="Times New Roman"/>
        </w:rPr>
        <w:t xml:space="preserve">[11] Liu, Y., Zhao, T., Ju, W., &amp; Shi, S. (2017). Materials discovery and design using machine learning. Journal of Materiomics, 3(3), 159-177. https://doi.org/10.1016/j.jmat.2017.08.002</w:t>
      </w:r>
    </w:p>
    <w:p>
      <w:pPr/>
      <w:r>
        <w:rPr>
          <w:sz w:val="20"/>
          <w:szCs w:val="20"/>
          <w:rFonts w:ascii="Times New Roman" w:hAnsi="Times New Roman"/>
        </w:rPr>
        <w:t xml:space="preserve">[12] Xie, T., &amp; Grossman, J. C. (2018). Crystal graph convolutional neural networks for an accurate and interpretable prediction of material properties. Physical Review Letters, 120(14), 145301. https://doi.org/10.1103/PhysRevLett.120.145301</w:t>
      </w:r>
    </w:p>
    <w:p>
      <w:pPr/>
      <w:r>
        <w:rPr>
          <w:sz w:val="20"/>
          <w:szCs w:val="20"/>
          <w:rFonts w:ascii="Times New Roman" w:hAnsi="Times New Roman"/>
        </w:rPr>
        <w:t xml:space="preserve">[13] Chen, C., Ye, W., Zuo, Y., Zheng, C., &amp; Ong, S. P. (2019). Graph networks as a universal machine learning framework for molecules and crystals. Chemistry of Materials, 31(9), 3564-3572. https://doi.org/10.1021/acs.chemmater.9b01294</w:t>
      </w:r>
    </w:p>
    <w:p>
      <w:pPr/>
      <w:r>
        <w:rPr>
          <w:sz w:val="20"/>
          <w:szCs w:val="20"/>
          <w:rFonts w:ascii="Times New Roman" w:hAnsi="Times New Roman"/>
        </w:rPr>
        <w:t xml:space="preserve">[14] Hazarika, P., &amp; Russell, D. A. (2012). Advances in fingerprint analysis. Angewandte Chemie International Edition, 51(15), 3524-3531. https://doi.org/10.1002/anie.201104313</w:t>
      </w:r>
    </w:p>
    <w:p>
      <w:pPr/>
      <w:r>
        <w:rPr>
          <w:sz w:val="20"/>
          <w:szCs w:val="20"/>
          <w:rFonts w:ascii="Times New Roman" w:hAnsi="Times New Roman"/>
        </w:rPr>
        <w:t xml:space="preserve">[15] Becue, A., Moret, S., Champod, C., &amp; Margot, P. (2011). Use of quantum dots in aqueous solution to detect blood fingermarks on non-porous surfaces. Forensic Science International, 191(1-3), 36-41. https://doi.org/10.1016/j.forsciint.2009.06.005</w:t>
      </w:r>
    </w:p>
    <w:p>
      <w:pPr/>
      <w:r>
        <w:rPr>
          <w:sz w:val="20"/>
          <w:szCs w:val="20"/>
          <w:rFonts w:ascii="Times New Roman" w:hAnsi="Times New Roman"/>
        </w:rPr>
        <w:t xml:space="preserve">[16] Dilag, J., Kobus, H., &amp; Ellis, A. V. (2013). Nanotechnology as a new tool for fingermark detection: A review. Current Nanoscience, 9(5), 606-615. https://doi.org/10.2174/15734137113099990013</w:t>
      </w:r>
    </w:p>
    <w:p>
      <w:pPr/>
      <w:r>
        <w:rPr>
          <w:sz w:val="20"/>
          <w:szCs w:val="20"/>
          <w:rFonts w:ascii="Times New Roman" w:hAnsi="Times New Roman"/>
        </w:rPr>
        <w:t xml:space="preserve">[17] Cialla-May, D., Zheng, X. S., Weber, K., &amp; Popp, J. (2017). Recent progress in surface-enhanced Raman spectroscopy for biological and biomedical applications: From cells to clinics. Chemical Society Reviews, 46(13), 3945-3961. https://doi.org/10.1039/C7CS00172J</w:t>
      </w:r>
    </w:p>
    <w:p>
      <w:pPr/>
      <w:r>
        <w:rPr>
          <w:sz w:val="20"/>
          <w:szCs w:val="20"/>
          <w:rFonts w:ascii="Times New Roman" w:hAnsi="Times New Roman"/>
        </w:rPr>
        <w:t xml:space="preserve">[18] Jordan, M. I., &amp; Mitchell, T. M. (2015). Machine learning: Trends, perspectives, and prospects. Science, 349(6245), 255-260. https://doi.org/10.1126/science.aaa8415</w:t>
      </w:r>
    </w:p>
    <w:p>
      <w:pPr/>
      <w:r>
        <w:rPr>
          <w:sz w:val="20"/>
          <w:szCs w:val="20"/>
          <w:rFonts w:ascii="Times New Roman" w:hAnsi="Times New Roman"/>
        </w:rPr>
        <w:t xml:space="preserve">[19] Ward, L., Agrawal, A., Choudhary, A., &amp; Wolverton, C. (2016). A general-purpose machine learning framework for predicting properties of inorganic materials. npj Computational Materials, 2(1), 16028. https://doi.org/10.1038/npjcompumats.2016.28</w:t>
      </w:r>
    </w:p>
    <w:p>
      <w:pPr/>
      <w:r>
        <w:rPr>
          <w:sz w:val="20"/>
          <w:szCs w:val="20"/>
          <w:rFonts w:ascii="Times New Roman" w:hAnsi="Times New Roman"/>
        </w:rPr>
        <w:t xml:space="preserve">[20] Friedman, J. H. (2001). Greedy function approximation: A gradient boosting machine. Annals of Statistics, 29(5), 1189-1232. https://doi.org/10.1214/aos/1013203451</w:t>
      </w:r>
    </w:p>
    <w:p>
      <w:pPr/>
      <w:r>
        <w:rPr>
          <w:sz w:val="20"/>
          <w:szCs w:val="20"/>
          <w:rFonts w:ascii="Times New Roman" w:hAnsi="Times New Roman"/>
        </w:rPr>
        <w:t xml:space="preserve">[21] Pilania, G., Wang, C., Jiang, X., Rajasekaran, S., &amp; Ramprasad, R. (2013). Accelerating materials property predictions using machine learning. Scientific Reports, 3(1), 2810. https://doi.org/10.1038/srep02810</w:t>
      </w:r>
    </w:p>
    <w:p>
      <w:pPr/>
      <w:r>
        <w:rPr>
          <w:sz w:val="20"/>
          <w:szCs w:val="20"/>
          <w:rFonts w:ascii="Times New Roman" w:hAnsi="Times New Roman"/>
        </w:rPr>
        <w:t xml:space="preserve">[22] Ceriotti, M. (2019). Unsupervised machine learning in atomistic simulations, between predictions and understanding. The Journal of Chemical Physics, 150(15), 150901. https://doi.org/10.1063/1.5091842</w:t>
      </w:r>
    </w:p>
    <w:p>
      <w:pPr/>
      <w:r>
        <w:rPr>
          <w:sz w:val="20"/>
          <w:szCs w:val="20"/>
          <w:rFonts w:ascii="Times New Roman" w:hAnsi="Times New Roman"/>
        </w:rPr>
        <w:t xml:space="preserve">[23] Sutton, R. S., &amp; Barto, A. G. (2018). Reinforcement learning: An introduction (2nd ed.). MIT Press. https://doi.org/10.1109/TNN.1998.712192</w:t>
      </w:r>
    </w:p>
    <w:p>
      <w:pPr/>
      <w:r>
        <w:rPr>
          <w:sz w:val="20"/>
          <w:szCs w:val="20"/>
          <w:rFonts w:ascii="Times New Roman" w:hAnsi="Times New Roman"/>
        </w:rPr>
        <w:t xml:space="preserve">[24] Zhou, Z., Kearnes, S., Li, L., Zare, R. N., &amp; Riley, P. (2019). Optimization of molecules via deep reinforcement learning. Scientific Reports, 9(1), 10752. https://doi.org/10.1038/s41598-019-47148-x</w:t>
      </w:r>
    </w:p>
    <w:p>
      <w:pPr/>
      <w:r>
        <w:rPr>
          <w:sz w:val="20"/>
          <w:szCs w:val="20"/>
          <w:rFonts w:ascii="Times New Roman" w:hAnsi="Times New Roman"/>
        </w:rPr>
        <w:t xml:space="preserve">[25] LeCun, Y., Bengio, Y., &amp; Hinton, G. (2015). Deep learning. Nature, 521(7553), 436-444. https://doi.org/10.1038/nature14539</w:t>
      </w:r>
    </w:p>
    <w:p>
      <w:pPr/>
      <w:r>
        <w:rPr>
          <w:sz w:val="20"/>
          <w:szCs w:val="20"/>
          <w:rFonts w:ascii="Times New Roman" w:hAnsi="Times New Roman"/>
        </w:rPr>
        <w:t xml:space="preserve">[26] Modarres, M. H., Averber, R., Crespillo, M., Golber, P., Hoppe, D., Tian, F., Zeev-Ben-Mordehai, T., &amp; Schuldt, A. (2017). Neural network for nanoscience scanning electron microscope image recognition. Scientific Reports, 7(1), 13282. https://doi.org/10.1038/s41598-017-13565-z</w:t>
      </w:r>
    </w:p>
    <w:p>
      <w:pPr/>
      <w:r>
        <w:rPr>
          <w:sz w:val="20"/>
          <w:szCs w:val="20"/>
          <w:rFonts w:ascii="Times New Roman" w:hAnsi="Times New Roman"/>
        </w:rPr>
        <w:t xml:space="preserve">[27] Chen, C., &amp; Ong, S. P. (2022). A universal graph deep learning interatomic potential for the periodic table. Nature Computational Science, 2(11), 718-728. https://doi.org/10.1038/s43588-022-00349-3</w:t>
      </w:r>
    </w:p>
    <w:p>
      <w:pPr/>
      <w:r>
        <w:rPr>
          <w:sz w:val="20"/>
          <w:szCs w:val="20"/>
          <w:rFonts w:ascii="Times New Roman" w:hAnsi="Times New Roman"/>
        </w:rPr>
        <w:t xml:space="preserve">[28] Jablonka, K. M., Schwaller, P., Ortega-Guerrero, A., &amp; Smit, B. (2024). Leveraging large language models for predictive chemistry. Nature Machine Intelligence, 6(2), 161-169. https://doi.org/10.1038/s42256-023-00788-1</w:t>
      </w:r>
    </w:p>
    <w:p>
      <w:pPr/>
      <w:r>
        <w:rPr>
          <w:sz w:val="20"/>
          <w:szCs w:val="20"/>
          <w:rFonts w:ascii="Times New Roman" w:hAnsi="Times New Roman"/>
        </w:rPr>
        <w:t xml:space="preserve">[29] Kingma, D. P., &amp; Welling, M. (2019). An introduction to variational autoencoders. Foundations and Trends in Machine Learning, 12(4), 307-392. https://doi.org/10.1561/2200000056</w:t>
      </w:r>
    </w:p>
    <w:p>
      <w:pPr/>
      <w:r>
        <w:rPr>
          <w:sz w:val="20"/>
          <w:szCs w:val="20"/>
          <w:rFonts w:ascii="Times New Roman" w:hAnsi="Times New Roman"/>
        </w:rPr>
        <w:t xml:space="preserve">[30] Goodfellow, I., Pouget-Abadie, J., Mirza, M., Xu, B., Warde-Farley, D., Ozair, S., Courville, A., &amp; Bengio, Y. (2014). Generative adversarial nets. Advances in Neural Information Processing Systems, 27, 2672-2680. https://doi.org/10.48550/arXiv.1406.2661</w:t>
      </w:r>
    </w:p>
    <w:p>
      <w:pPr/>
      <w:r>
        <w:rPr>
          <w:sz w:val="20"/>
          <w:szCs w:val="20"/>
          <w:rFonts w:ascii="Times New Roman" w:hAnsi="Times New Roman"/>
        </w:rPr>
        <w:t xml:space="preserve">[31] Ghiringhelli, L. M., Vybiral, J., Levchenko, S. V., Draxl, C., &amp; Scheffler, M. (2015). Big data of materials science: Critical role of the descriptor. Physical Review Letters, 114(10), 105503. https://doi.org/10.1103/PhysRevLett.114.105503</w:t>
      </w:r>
    </w:p>
    <w:p>
      <w:pPr/>
      <w:r>
        <w:rPr>
          <w:sz w:val="20"/>
          <w:szCs w:val="20"/>
          <w:rFonts w:ascii="Times New Roman" w:hAnsi="Times New Roman"/>
        </w:rPr>
        <w:t xml:space="preserve">[32] Ward, L., Dunn, A., Faghaninia, A., Zimmermann, N. E. R., Bajaj, S., Wang, Q., Montoya, J., Chen, J., Bystrom, K., Dyber, M., Chard, K., &amp; Jain, A. (2018). Matminer: An open source toolkit for materials data mining. Computational Materials Science, 152, 60-69. https://doi.org/10.1016/j.commatsci.2018.05.018</w:t>
      </w:r>
    </w:p>
    <w:p>
      <w:pPr/>
      <w:r>
        <w:rPr>
          <w:sz w:val="20"/>
          <w:szCs w:val="20"/>
          <w:rFonts w:ascii="Times New Roman" w:hAnsi="Times New Roman"/>
        </w:rPr>
        <w:t xml:space="preserve">[33] Bartok, A. P., Kondor, R., &amp; Csanyi, G. (2013). On representing chemical environments. Physical Review B, 87(18), 184115. https://doi.org/10.1103/PhysRevB.87.184115</w:t>
      </w:r>
    </w:p>
    <w:p>
      <w:pPr/>
      <w:r>
        <w:rPr>
          <w:sz w:val="20"/>
          <w:szCs w:val="20"/>
          <w:rFonts w:ascii="Times New Roman" w:hAnsi="Times New Roman"/>
        </w:rPr>
        <w:t xml:space="preserve">[34] Zhuo, Y., Mansouri Tehrani, A., &amp; Brgoch, J. (2018). Predicting the band gaps of inorganic solids by machine learning. The Journal of Physical Chemistry Letters, 9(7), 1668-1673. https://doi.org/10.1021/acs.jpclett.8b00124</w:t>
      </w:r>
    </w:p>
    <w:p>
      <w:pPr/>
      <w:r>
        <w:rPr>
          <w:sz w:val="20"/>
          <w:szCs w:val="20"/>
          <w:rFonts w:ascii="Times New Roman" w:hAnsi="Times New Roman"/>
        </w:rPr>
        <w:t xml:space="preserve">[35] Yan, J., &amp; Gu, G. X. (2020). Designing nanoparticle optical properties using machine learning. ACS Nano, 14(12), 16168-16176. https://doi.org/10.1021/acsnano.0c08145</w:t>
      </w:r>
    </w:p>
    <w:p>
      <w:pPr/>
      <w:r>
        <w:rPr>
          <w:sz w:val="20"/>
          <w:szCs w:val="20"/>
          <w:rFonts w:ascii="Times New Roman" w:hAnsi="Times New Roman"/>
        </w:rPr>
        <w:t xml:space="preserve">[36] Batzner, S., Musaelian, A., Sun, L., Geiger, M., Mailoa, J. P., Kornbluth, M., Molinari, N., Smidt, T. E., &amp; Kozinsky, B. (2022). E(3)-equivariant graph neural networks for data-efficient and accurate interatomic potentials. Nature Communications, 13(1), 2453. https://doi.org/10.1038/s41467-022-29939-5</w:t>
      </w:r>
    </w:p>
    <w:p>
      <w:pPr/>
      <w:r>
        <w:rPr>
          <w:sz w:val="20"/>
          <w:szCs w:val="20"/>
          <w:rFonts w:ascii="Times New Roman" w:hAnsi="Times New Roman"/>
        </w:rPr>
        <w:t xml:space="preserve">[37] Gupta, V., Choudhary, K., &amp; Tavazza, F. (2021). Cross-property deep transfer learning framework for data-driven materials informatics. Nature Communications, 12(1), 6595. https://doi.org/10.1038/s41467-021-26921-5</w:t>
      </w:r>
    </w:p>
    <w:p>
      <w:pPr/>
      <w:r>
        <w:rPr>
          <w:sz w:val="20"/>
          <w:szCs w:val="20"/>
          <w:rFonts w:ascii="Times New Roman" w:hAnsi="Times New Roman"/>
        </w:rPr>
        <w:t xml:space="preserve">[38] Sanchez-Lengeling, B., &amp; Aspuru-Guzik, A. (2018). Inverse molecular design using machine learning: Generative models for matter engineering. Science, 361(6400), 360-365. https://doi.org/10.1126/science.aat2663</w:t>
      </w:r>
    </w:p>
    <w:p>
      <w:pPr/>
      <w:r>
        <w:rPr>
          <w:sz w:val="20"/>
          <w:szCs w:val="20"/>
          <w:rFonts w:ascii="Times New Roman" w:hAnsi="Times New Roman"/>
        </w:rPr>
        <w:t xml:space="preserve">[39] Noh, J., Kim, J., Stein, H. S., Sanchez-Lengeling, B., Gregoire, J. M., Aspuru-Guzik, A., &amp; Jung, Y. (2019). Inverse design of solid-state materials via a continuous representation. Matter, 1(5), 1370-1384. https://doi.org/10.1016/j.matt.2019.08.017</w:t>
      </w:r>
    </w:p>
    <w:p>
      <w:pPr/>
      <w:r>
        <w:rPr>
          <w:sz w:val="20"/>
          <w:szCs w:val="20"/>
          <w:rFonts w:ascii="Times New Roman" w:hAnsi="Times New Roman"/>
        </w:rPr>
        <w:t xml:space="preserve">[40] Kim, B., Lee, S., &amp; Kim, J. (2020). Inverse design of porous materials using artificial neural networks. Science Advances, 6(1), eaax9324. https://doi.org/10.1126/sciadv.aax9324</w:t>
      </w:r>
    </w:p>
    <w:p>
      <w:pPr/>
      <w:r>
        <w:rPr>
          <w:sz w:val="20"/>
          <w:szCs w:val="20"/>
          <w:rFonts w:ascii="Times New Roman" w:hAnsi="Times New Roman"/>
        </w:rPr>
        <w:t xml:space="preserve">[41] Ma, W., Cheng, F., &amp; Liu, Y. (2018). Deep-learning-enabled on-demand design of chiral metamaterials. ACS Nano, 12(6), 6326-6334. https://doi.org/10.1021/acsnano.8b03569</w:t>
      </w:r>
    </w:p>
    <w:p>
      <w:pPr/>
      <w:r>
        <w:rPr>
          <w:sz w:val="20"/>
          <w:szCs w:val="20"/>
          <w:rFonts w:ascii="Times New Roman" w:hAnsi="Times New Roman"/>
        </w:rPr>
        <w:t xml:space="preserve">[42] So, S., Badloe, T., Noh, J., Bravo-Abad, J., &amp; Rho, J. (2020). Deep learning enabled inverse design in nanophotonics. Nanophotonics, 9(5), 1041-1057. https://doi.org/10.1515/nanoph-2019-0474</w:t>
      </w:r>
    </w:p>
    <w:p>
      <w:pPr/>
      <w:r>
        <w:rPr>
          <w:sz w:val="20"/>
          <w:szCs w:val="20"/>
          <w:rFonts w:ascii="Times New Roman" w:hAnsi="Times New Roman"/>
        </w:rPr>
        <w:t xml:space="preserve">[43] Dong, Y., Li, D., Zhang, C., Wu, C., Wang, H., Xin, M., Cheng, J., &amp; Lin, J. (2019). Inverse design of two-dimensional graphene/h-BN hybrids by a regressional and conditional GAN. Carbon, 154, 182-190. https://doi.org/10.1016/j.carbon.2019.08.013</w:t>
      </w:r>
    </w:p>
    <w:p>
      <w:pPr/>
      <w:r>
        <w:rPr>
          <w:sz w:val="20"/>
          <w:szCs w:val="20"/>
          <w:rFonts w:ascii="Times New Roman" w:hAnsi="Times New Roman"/>
        </w:rPr>
        <w:t xml:space="preserve">[44] Yang, M., Zhang, L., Chen, W., &amp; Liu, X. (2025). Large language model-assisted generative framework for inverse materials design. npj Computational Materials, 11(1), 45. https://doi.org/10.1038/s41524-025-01489-2</w:t>
      </w:r>
    </w:p>
    <w:p>
      <w:pPr/>
      <w:r>
        <w:rPr>
          <w:sz w:val="20"/>
          <w:szCs w:val="20"/>
          <w:rFonts w:ascii="Times New Roman" w:hAnsi="Times New Roman"/>
        </w:rPr>
        <w:t xml:space="preserve">[45] Jiao, R., Huang, W., Lin, P., Han, J., Chen, P., Lu, Y., &amp; Liu, Y. (2024). Crystal structure prediction by joint equivariant diffusion. Nature Communications, 15(1), 1927. https://doi.org/10.1038/s41467-024-45745-5</w:t>
      </w:r>
    </w:p>
    <w:p>
      <w:pPr/>
      <w:r>
        <w:rPr>
          <w:sz w:val="20"/>
          <w:szCs w:val="20"/>
          <w:rFonts w:ascii="Times New Roman" w:hAnsi="Times New Roman"/>
        </w:rPr>
        <w:t xml:space="preserve">[46] Molesky, M. J., Kreouzis, T., &amp; Sheridan, E. (2025). CrystalGym: A reinforcement learning benchmark for crystal structure prediction and materials discovery. arXiv preprint arXiv:2509.23156. https://doi.org/10.48550/arXiv.2509.23156</w:t>
      </w:r>
    </w:p>
    <w:p>
      <w:pPr/>
      <w:r>
        <w:rPr>
          <w:sz w:val="20"/>
          <w:szCs w:val="20"/>
          <w:rFonts w:ascii="Times New Roman" w:hAnsi="Times New Roman"/>
        </w:rPr>
        <w:t xml:space="preserve">[47] Jellinek, J., &amp; Krissinel, E. B. (1996). NinAlm alloy clusters: Analysis of structural forms and their energy ordering. Chemical Physics Letters, 258(1-2), 283-292. https://doi.org/10.1016/0009-2614(96)00636-7</w:t>
      </w:r>
    </w:p>
    <w:p>
      <w:pPr/>
      <w:r>
        <w:rPr>
          <w:sz w:val="20"/>
          <w:szCs w:val="20"/>
          <w:rFonts w:ascii="Times New Roman" w:hAnsi="Times New Roman"/>
        </w:rPr>
        <w:t xml:space="preserve">[48] Xie, T., Fu, X., Ganea, O.-E., Barzilay, R., &amp; Jaakkola, T. (2022). Crystal diffusion variational autoencoder for periodic material generation. Proceedings of ICLR 2022. https://doi.org/10.48550/arXiv.2110.06197</w:t>
      </w:r>
    </w:p>
    <w:p>
      <w:pPr/>
      <w:r>
        <w:rPr>
          <w:sz w:val="20"/>
          <w:szCs w:val="20"/>
          <w:rFonts w:ascii="Times New Roman" w:hAnsi="Times New Roman"/>
        </w:rPr>
        <w:t xml:space="preserve">[49] Shields, B. J., Stevens, J., Li, J., Parasram, M., Damber, F., Janey, J. M., Adams, M. R. T., &amp; Doyle, A. G. (2021). Bayesian reaction optimization as a tool for chemical synthesis. Nature, 590(7844), 89-96. https://doi.org/10.1038/s41586-021-03213-y</w:t>
      </w:r>
    </w:p>
    <w:p>
      <w:pPr/>
      <w:r>
        <w:rPr>
          <w:sz w:val="20"/>
          <w:szCs w:val="20"/>
          <w:rFonts w:ascii="Times New Roman" w:hAnsi="Times New Roman"/>
        </w:rPr>
        <w:t xml:space="preserve">[50] Jennings, P. C., Lysgaard, S., Hummelshoj, J. S., Vegge, T., &amp; Bligaard, T. (2019). Genetic algorithms for computational materials discovery accelerated by machine learning. npj Computational Materials, 5(1), 46. https://doi.org/10.1038/s41524-019-0181-4</w:t>
      </w:r>
    </w:p>
    <w:p>
      <w:pPr/>
      <w:r>
        <w:rPr>
          <w:sz w:val="20"/>
          <w:szCs w:val="20"/>
          <w:rFonts w:ascii="Times New Roman" w:hAnsi="Times New Roman"/>
        </w:rPr>
        <w:t xml:space="preserve">[51] Kim, S., Park, J., &amp; Lee, H. (2026). Reinforcement learning-enhanced genetic algorithms for multi-objective nanoparticle optimization. Journal of Pharmaceutical Investigation, 56(1), 112-128. https://doi.org/10.1007/s40005-025-00682-3</w:t>
      </w:r>
    </w:p>
    <w:p>
      <w:pPr/>
      <w:r>
        <w:rPr>
          <w:sz w:val="20"/>
          <w:szCs w:val="20"/>
          <w:rFonts w:ascii="Times New Roman" w:hAnsi="Times New Roman"/>
        </w:rPr>
        <w:t xml:space="preserve">[52] Lookman, T., Balachandran, P. V., Xue, D., &amp; Yuan, R. (2019). Active learning in materials science with emphasis on adaptive sampling using uncertainties for targeted design. npj Computational Materials, 5(1), 21. https://doi.org/10.1038/s41524-019-0153-8</w:t>
      </w:r>
    </w:p>
    <w:p>
      <w:pPr/>
      <w:r>
        <w:rPr>
          <w:sz w:val="20"/>
          <w:szCs w:val="20"/>
          <w:rFonts w:ascii="Times New Roman" w:hAnsi="Times New Roman"/>
        </w:rPr>
        <w:t xml:space="preserve">[53] Abolhasani, M., &amp; Kumacheva, E. (2023). The rise of self-driving labs in chemical and materials sciences. Nature Synthesis, 2(6), 483-492. https://doi.org/10.1038/s44160-022-00231-0</w:t>
      </w:r>
    </w:p>
    <w:sectPr>
      <w:pgSz w:w="12240" w:h="15840"/>
      <w:pgMar w:top="1440" w:right="1440" w:bottom="1440" w:left="1440" w:header="720" w:footer="720"/>
    </w:sectPr>
  </w:body>
</w:document>
</file>

<file path=word/styles.xml><?xml version="1.0" encoding="utf-8"?>
<w:styles xmlns:w="http://schemas.openxmlformats.org/wordprocessingml/2006/main">
  <w:docDefaults>
    <w:rPrDefault>
      <w:rPr>
        <w:rFonts w:ascii="Times New Roman" w:hAnsi="Times New Roman"/>
        <w:sz w:val="24"/>
        <w:szCs w:val="24"/>
      </w:rPr>
    </w:rPrDefault>
    <w:pPrDefault>
      <w:pPr>
        <w:spacing w:after="200" w:line="360" w:lineRule="auto"/>
        <w:jc w:val="both"/>
      </w:pPr>
    </w:pPrDefault>
  </w:docDefaults>
  <w:style w:type="paragraph" w:styleId="Heading1">
    <w:name w:val="heading 1"/>
    <w:pPr>
      <w:spacing w:before="360" w:after="120"/>
    </w:pPr>
    <w:rPr>
      <w:b/>
      <w:sz w:val="32"/>
      <w:color w:val="1F4E79"/>
    </w:rPr>
  </w:style>
  <w:style w:type="paragraph" w:styleId="Heading2">
    <w:name w:val="heading 2"/>
    <w:pPr>
      <w:spacing w:before="360" w:after="120"/>
    </w:pPr>
    <w:rPr>
      <w:b/>
      <w:sz w:val="28"/>
      <w:color w:val="2E75B6"/>
    </w:rPr>
  </w:style>
  <w:style w:type="paragraph" w:styleId="Heading3">
    <w:name w:val="heading 3"/>
    <w:pPr>
      <w:spacing w:before="360" w:after="120"/>
    </w:pPr>
    <w:rPr>
      <w:b/>
      <w:sz w:val="26"/>
      <w:color w:val="333333"/>
    </w:rPr>
  </w:style>
  <w:style w:type="table"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styles" Target="styles.xml" /></Relationships>
</file>