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jc w:val="both"/>
      </w:pPr>
      <w:r>
        <w:rPr>
          <w:b/>
          <w:sz w:val="32"/>
          <w:szCs w:val="32"/>
          <w:rFonts w:ascii="Times New Roman" w:hAnsi="Times New Roman"/>
        </w:rPr>
        <w:t xml:space="preserve">Chapter 4: Experimentation</w:t>
      </w:r>
    </w:p>
    <w:p>
      <w:pPr>
        <w:jc w:val="both"/>
      </w:pPr>
      <w:r>
        <w:rPr>
          <w:sz w:val="24"/>
          <w:szCs w:val="24"/>
          <w:rFonts w:ascii="Times New Roman" w:hAnsi="Times New Roman"/>
        </w:rPr>
        <w:t xml:space="preserve"/>
      </w:r>
    </w:p>
    <w:p>
      <w:pPr>
        <w:pStyle w:val="Heading2"/>
        <w:jc w:val="both"/>
      </w:pPr>
      <w:r>
        <w:rPr>
          <w:b/>
          <w:sz w:val="28"/>
          <w:szCs w:val="28"/>
          <w:rFonts w:ascii="Times New Roman" w:hAnsi="Times New Roman"/>
        </w:rPr>
        <w:t xml:space="preserve">4.1. Selection of Suitable Minerals Used as Fluxes for Submerged Arc Welding</w:t>
      </w:r>
    </w:p>
    <w:p>
      <w:pPr>
        <w:jc w:val="both"/>
      </w:pPr>
      <w:r>
        <w:rPr>
          <w:sz w:val="24"/>
          <w:szCs w:val="24"/>
          <w:rFonts w:ascii="Times New Roman" w:hAnsi="Times New Roman"/>
        </w:rPr>
        <w:t xml:space="preserve">Submerged arc welding (SAW) is widely used in shipbuilding, offshore structures, pressure vessels, and pipeline manufacturing due to its high deposition rate, deep penetration, and stable arc characteristics [1, 2]. The performance of SAW fluxes directly influences weld metal mechanical properties, corrosion resistance, and slag detachability, which are critical for components subjected to cyclic loading in corrosive marine environments [3, 4]. The design of welding fluxes plays an important role in the fulfilment of these properties, in particular regarding the behaviour of the arc, slag formation and heat transfer during the submerged arc welding operation [5]. Traditionally, the flux design has relied on trial-and-error techniques leading to improper arc stability and slag detachability [6, 7]. Introducing more systematic and scientific models, however, on the basis of the Design of Experiments (DoE) methodology allows optimized flux formulations to be used for challenging industrial applications [8-10].</w:t>
      </w:r>
    </w:p>
    <w:p>
      <w:pPr>
        <w:jc w:val="both"/>
      </w:pPr>
      <w:r>
        <w:rPr>
          <w:sz w:val="24"/>
          <w:szCs w:val="24"/>
          <w:rFonts w:ascii="Times New Roman" w:hAnsi="Times New Roman"/>
        </w:rPr>
        <w:t xml:space="preserve"/>
      </w:r>
    </w:p>
    <w:p>
      <w:pPr>
        <w:jc w:val="both"/>
      </w:pPr>
      <w:r>
        <w:rPr>
          <w:sz w:val="24"/>
          <w:szCs w:val="24"/>
          <w:rFonts w:ascii="Times New Roman" w:hAnsi="Times New Roman"/>
        </w:rPr>
        <w:t xml:space="preserve">In the present work, controlled mineral blends optimized to harsh and saltwater conditions were developed into fluxes to be used in marine and offshore welding applications. The main mineral ingredients, silica (SiO₂), titanium dioxide (TiO₂), calcium fluoride (CaF₂), barium oxide (BaO), manganese oxide (MnO), and calcium oxide (CaO) were mixed in controlled ratios, with CaO kept constant to stabilize slag chemistry [11]. The purity of mineral powders used was 99%, and the composition of each batch was checked through X-ray fluorescence (XRF) analysis to guarantee reproducibility and quality control of the composition [12].</w:t>
      </w:r>
    </w:p>
    <w:p>
      <w:pPr>
        <w:jc w:val="both"/>
      </w:pPr>
      <w:r>
        <w:rPr>
          <w:sz w:val="24"/>
          <w:szCs w:val="24"/>
          <w:rFonts w:ascii="Times New Roman" w:hAnsi="Times New Roman"/>
        </w:rPr>
        <w:t xml:space="preserve"/>
      </w:r>
    </w:p>
    <w:p>
      <w:pPr>
        <w:jc w:val="both"/>
      </w:pPr>
      <w:r>
        <w:rPr>
          <w:sz w:val="24"/>
          <w:szCs w:val="24"/>
          <w:rFonts w:ascii="Times New Roman" w:hAnsi="Times New Roman"/>
        </w:rPr>
        <w:t xml:space="preserve">The selection of each mineral constituent was based on its specific functional role in the submerged arc welding process. Silica (A) was adjusted to 5.0 to 10.0 g, which offers fluxing activity and slag fluidity [13]. The titanium dioxide (B) level varied between 10.0 and 20.0 g in order to enhance the arc stability and slag detachability [14]. Calcium fluoride was added to reduce the melting point; adding fluoride of calcium (C) in the range of 20.0 to 35.0 g was taken to create favourable offshore welding conditions [15]. Silva and Torres [16] reported that CaF₂ addition significantly affects submerged arc flux viscosity and melting behavior. Barium oxide (D) was loaded in 5.0-10.0 g to stabilize arc effectiveness and help in the formation of slag [17]. Manganese (E) was loaded in 10.0-25.0 g, as a deoxidizer and for refining the weld-metal microstructure [18]. In each formulation, 8.0 g calcium oxide (F) was incorporated as a baseline basic condition and to ensure control of slag viscosity. A proper balance between the basic constituents (CaO and BaO) and the acid constituents (SiO₂ and TiO₂) is desired for these fluxes, and fluxing agents such as CaF₂ have important roles in determining the melting properties, viscosity and basicity of the slags [19, 20].</w:t>
      </w:r>
    </w:p>
    <w:p>
      <w:pPr>
        <w:jc w:val="both"/>
      </w:pPr>
      <w:r>
        <w:rPr>
          <w:sz w:val="24"/>
          <w:szCs w:val="24"/>
          <w:rFonts w:ascii="Times New Roman" w:hAnsi="Times New Roman"/>
        </w:rPr>
        <w:t xml:space="preserve"/>
      </w:r>
    </w:p>
    <w:p>
      <w:pPr>
        <w:jc w:val="both"/>
      </w:pPr>
      <w:r>
        <w:rPr>
          <w:sz w:val="24"/>
          <w:szCs w:val="24"/>
          <w:rFonts w:ascii="Times New Roman" w:hAnsi="Times New Roman"/>
        </w:rPr>
        <w:t xml:space="preserve">The mineral constituent composition ranges for flux formulation are summarized in Table 4.1. As an innovative additive, red ochre, which is an iron-rich by-product of iron-ore extraction in Rajasthan, India, was used. Red ochre was dried in the oven at 110°C for 24 h and milled to less than 45 µm before mixing. Inclusion levels were between 5.0 and 15.0 g per 100 g batch to substitute an equal fraction of silica to maintain total batch mass. With high iron levels, red ochre increases electrical conductivity, arc stability and adjusts weld-metal chemistry and microstructure to improve corrosion resistance [21].</w:t>
      </w:r>
    </w:p>
    <w:p>
      <w:pPr>
        <w:jc w:val="both"/>
      </w:pPr>
      <w:r>
        <w:rPr>
          <w:sz w:val="24"/>
          <w:szCs w:val="24"/>
          <w:rFonts w:ascii="Times New Roman" w:hAnsi="Times New Roman"/>
        </w:rPr>
        <w:t xml:space="preserve"/>
      </w:r>
    </w:p>
    <w:p>
      <w:pPr>
        <w:jc w:val="center"/>
      </w:pPr>
      <w:r>
        <w:rPr>
          <w:b/>
          <w:sz w:val="22"/>
          <w:szCs w:val="22"/>
          <w:rFonts w:ascii="Times New Roman" w:hAnsi="Times New Roman"/>
        </w:rPr>
        <w:t xml:space="preserve">Table 4.1: Mineral constituent composition ranges for flux formulation</w:t>
      </w:r>
    </w:p>
    <w:tbl>
      <w:tblPr>
        <w:tblStyle w:val="TableGrid"/>
        <w:tblW w:w="5000" w:type="pct"/>
        <w:tblBorders>
          <w:top w:val="single" w:sz="4"/>
          <w:bottom w:val="single" w:sz="4"/>
          <w:left w:val="single" w:sz="4"/>
          <w:right w:val="single" w:sz="4"/>
          <w:insideH w:val="single" w:sz="4"/>
          <w:insideV w:val="single" w:sz="4"/>
        </w:tblBorders>
      </w:tblPr>
      <w:tr>
        <w:tc>
          <w:p>
            <w:pPr>
              <w:jc w:val="center"/>
            </w:pPr>
            <w:r>
              <w:rPr>
                <w:b/>
                <w:sz w:val="20"/>
                <w:szCs w:val="20"/>
              </w:rPr>
              <w:t xml:space="preserve">S. No</w:t>
            </w:r>
          </w:p>
        </w:tc>
        <w:tc>
          <w:p>
            <w:pPr>
              <w:jc w:val="center"/>
            </w:pPr>
            <w:r>
              <w:rPr>
                <w:b/>
                <w:sz w:val="20"/>
                <w:szCs w:val="20"/>
              </w:rPr>
              <w:t xml:space="preserve">Mineral Constituent</w:t>
            </w:r>
          </w:p>
        </w:tc>
        <w:tc>
          <w:p>
            <w:pPr>
              <w:jc w:val="center"/>
            </w:pPr>
            <w:r>
              <w:rPr>
                <w:b/>
                <w:sz w:val="20"/>
                <w:szCs w:val="20"/>
              </w:rPr>
              <w:t xml:space="preserve">Denoting Symbol</w:t>
            </w:r>
          </w:p>
        </w:tc>
        <w:tc>
          <w:p>
            <w:pPr>
              <w:jc w:val="center"/>
            </w:pPr>
            <w:r>
              <w:rPr>
                <w:b/>
                <w:sz w:val="20"/>
                <w:szCs w:val="20"/>
              </w:rPr>
              <w:t xml:space="preserve">Range (g/100g batch)</w:t>
            </w:r>
          </w:p>
        </w:tc>
      </w:tr>
      <w:tr>
        <w:tc>
          <w:p>
            <w:pPr>
              <w:jc w:val="center"/>
            </w:pPr>
            <w:r>
              <w:rPr>
                <w:sz w:val="20"/>
                <w:szCs w:val="20"/>
              </w:rPr>
              <w:t xml:space="preserve">1</w:t>
            </w:r>
          </w:p>
        </w:tc>
        <w:tc>
          <w:p>
            <w:pPr>
              <w:jc w:val="center"/>
            </w:pPr>
            <w:r>
              <w:rPr>
                <w:sz w:val="20"/>
                <w:szCs w:val="20"/>
              </w:rPr>
              <w:t xml:space="preserve">SiO₂</w:t>
            </w:r>
          </w:p>
        </w:tc>
        <w:tc>
          <w:p>
            <w:pPr>
              <w:jc w:val="center"/>
            </w:pPr>
            <w:r>
              <w:rPr>
                <w:sz w:val="20"/>
                <w:szCs w:val="20"/>
              </w:rPr>
              <w:t xml:space="preserve">A</w:t>
            </w:r>
          </w:p>
        </w:tc>
        <w:tc>
          <w:p>
            <w:pPr>
              <w:jc w:val="center"/>
            </w:pPr>
            <w:r>
              <w:rPr>
                <w:sz w:val="20"/>
                <w:szCs w:val="20"/>
              </w:rPr>
              <w:t xml:space="preserve">5.0 – 10.0</w:t>
            </w:r>
          </w:p>
        </w:tc>
      </w:tr>
      <w:tr>
        <w:tc>
          <w:p>
            <w:pPr>
              <w:jc w:val="center"/>
            </w:pPr>
            <w:r>
              <w:rPr>
                <w:sz w:val="20"/>
                <w:szCs w:val="20"/>
              </w:rPr>
              <w:t xml:space="preserve">2</w:t>
            </w:r>
          </w:p>
        </w:tc>
        <w:tc>
          <w:p>
            <w:pPr>
              <w:jc w:val="center"/>
            </w:pPr>
            <w:r>
              <w:rPr>
                <w:sz w:val="20"/>
                <w:szCs w:val="20"/>
              </w:rPr>
              <w:t xml:space="preserve">TiO₂</w:t>
            </w:r>
          </w:p>
        </w:tc>
        <w:tc>
          <w:p>
            <w:pPr>
              <w:jc w:val="center"/>
            </w:pPr>
            <w:r>
              <w:rPr>
                <w:sz w:val="20"/>
                <w:szCs w:val="20"/>
              </w:rPr>
              <w:t xml:space="preserve">B</w:t>
            </w:r>
          </w:p>
        </w:tc>
        <w:tc>
          <w:p>
            <w:pPr>
              <w:jc w:val="center"/>
            </w:pPr>
            <w:r>
              <w:rPr>
                <w:sz w:val="20"/>
                <w:szCs w:val="20"/>
              </w:rPr>
              <w:t xml:space="preserve">10.0 – 20.0</w:t>
            </w:r>
          </w:p>
        </w:tc>
      </w:tr>
      <w:tr>
        <w:tc>
          <w:p>
            <w:pPr>
              <w:jc w:val="center"/>
            </w:pPr>
            <w:r>
              <w:rPr>
                <w:sz w:val="20"/>
                <w:szCs w:val="20"/>
              </w:rPr>
              <w:t xml:space="preserve">3</w:t>
            </w:r>
          </w:p>
        </w:tc>
        <w:tc>
          <w:p>
            <w:pPr>
              <w:jc w:val="center"/>
            </w:pPr>
            <w:r>
              <w:rPr>
                <w:sz w:val="20"/>
                <w:szCs w:val="20"/>
              </w:rPr>
              <w:t xml:space="preserve">CaF₂</w:t>
            </w:r>
          </w:p>
        </w:tc>
        <w:tc>
          <w:p>
            <w:pPr>
              <w:jc w:val="center"/>
            </w:pPr>
            <w:r>
              <w:rPr>
                <w:sz w:val="20"/>
                <w:szCs w:val="20"/>
              </w:rPr>
              <w:t xml:space="preserve">C</w:t>
            </w:r>
          </w:p>
        </w:tc>
        <w:tc>
          <w:p>
            <w:pPr>
              <w:jc w:val="center"/>
            </w:pPr>
            <w:r>
              <w:rPr>
                <w:sz w:val="20"/>
                <w:szCs w:val="20"/>
              </w:rPr>
              <w:t xml:space="preserve">20.0 – 35.0</w:t>
            </w:r>
          </w:p>
        </w:tc>
      </w:tr>
      <w:tr>
        <w:tc>
          <w:p>
            <w:pPr>
              <w:jc w:val="center"/>
            </w:pPr>
            <w:r>
              <w:rPr>
                <w:sz w:val="20"/>
                <w:szCs w:val="20"/>
              </w:rPr>
              <w:t xml:space="preserve">4</w:t>
            </w:r>
          </w:p>
        </w:tc>
        <w:tc>
          <w:p>
            <w:pPr>
              <w:jc w:val="center"/>
            </w:pPr>
            <w:r>
              <w:rPr>
                <w:sz w:val="20"/>
                <w:szCs w:val="20"/>
              </w:rPr>
              <w:t xml:space="preserve">BaO</w:t>
            </w:r>
          </w:p>
        </w:tc>
        <w:tc>
          <w:p>
            <w:pPr>
              <w:jc w:val="center"/>
            </w:pPr>
            <w:r>
              <w:rPr>
                <w:sz w:val="20"/>
                <w:szCs w:val="20"/>
              </w:rPr>
              <w:t xml:space="preserve">D</w:t>
            </w:r>
          </w:p>
        </w:tc>
        <w:tc>
          <w:p>
            <w:pPr>
              <w:jc w:val="center"/>
            </w:pPr>
            <w:r>
              <w:rPr>
                <w:sz w:val="20"/>
                <w:szCs w:val="20"/>
              </w:rPr>
              <w:t xml:space="preserve">5.0 – 10.0</w:t>
            </w:r>
          </w:p>
        </w:tc>
      </w:tr>
      <w:tr>
        <w:tc>
          <w:p>
            <w:pPr>
              <w:jc w:val="center"/>
            </w:pPr>
            <w:r>
              <w:rPr>
                <w:sz w:val="20"/>
                <w:szCs w:val="20"/>
              </w:rPr>
              <w:t xml:space="preserve">5</w:t>
            </w:r>
          </w:p>
        </w:tc>
        <w:tc>
          <w:p>
            <w:pPr>
              <w:jc w:val="center"/>
            </w:pPr>
            <w:r>
              <w:rPr>
                <w:sz w:val="20"/>
                <w:szCs w:val="20"/>
              </w:rPr>
              <w:t xml:space="preserve">MnO</w:t>
            </w:r>
          </w:p>
        </w:tc>
        <w:tc>
          <w:p>
            <w:pPr>
              <w:jc w:val="center"/>
            </w:pPr>
            <w:r>
              <w:rPr>
                <w:sz w:val="20"/>
                <w:szCs w:val="20"/>
              </w:rPr>
              <w:t xml:space="preserve">E</w:t>
            </w:r>
          </w:p>
        </w:tc>
        <w:tc>
          <w:p>
            <w:pPr>
              <w:jc w:val="center"/>
            </w:pPr>
            <w:r>
              <w:rPr>
                <w:sz w:val="20"/>
                <w:szCs w:val="20"/>
              </w:rPr>
              <w:t xml:space="preserve">10.0 – 25.0</w:t>
            </w:r>
          </w:p>
        </w:tc>
      </w:tr>
      <w:tr>
        <w:tc>
          <w:p>
            <w:pPr>
              <w:jc w:val="center"/>
            </w:pPr>
            <w:r>
              <w:rPr>
                <w:sz w:val="20"/>
                <w:szCs w:val="20"/>
              </w:rPr>
              <w:t xml:space="preserve">6</w:t>
            </w:r>
          </w:p>
        </w:tc>
        <w:tc>
          <w:p>
            <w:pPr>
              <w:jc w:val="center"/>
            </w:pPr>
            <w:r>
              <w:rPr>
                <w:sz w:val="20"/>
                <w:szCs w:val="20"/>
              </w:rPr>
              <w:t xml:space="preserve">CaO</w:t>
            </w:r>
          </w:p>
        </w:tc>
        <w:tc>
          <w:p>
            <w:pPr>
              <w:jc w:val="center"/>
            </w:pPr>
            <w:r>
              <w:rPr>
                <w:sz w:val="20"/>
                <w:szCs w:val="20"/>
              </w:rPr>
              <w:t xml:space="preserve">F</w:t>
            </w:r>
          </w:p>
        </w:tc>
        <w:tc>
          <w:p>
            <w:pPr>
              <w:jc w:val="center"/>
            </w:pPr>
            <w:r>
              <w:rPr>
                <w:sz w:val="20"/>
                <w:szCs w:val="20"/>
              </w:rPr>
              <w:t xml:space="preserve">8.0 (constant)</w:t>
            </w:r>
          </w:p>
        </w:tc>
      </w:tr>
    </w:tbl>
    <w:p>
      <w:pPr>
        <w:jc w:val="both"/>
      </w:pPr>
      <w:r>
        <w:rPr>
          <w:sz w:val="24"/>
          <w:szCs w:val="24"/>
          <w:rFonts w:ascii="Times New Roman" w:hAnsi="Times New Roman"/>
        </w:rPr>
        <w:t xml:space="preserve"/>
      </w:r>
    </w:p>
    <w:p>
      <w:pPr>
        <w:jc w:val="both"/>
      </w:pPr>
      <w:r>
        <w:rPr>
          <w:sz w:val="24"/>
          <w:szCs w:val="24"/>
          <w:rFonts w:ascii="Times New Roman" w:hAnsi="Times New Roman"/>
        </w:rPr>
        <w:t xml:space="preserve">Potassium silicate solution (5 wt%) of the batch was added as a binder, so that the mineral powders might adhere to the steel core [22]. Chen and Arora [23] demonstrated that silicate binders provide adequate bonding strength in agglomerated SAW fluxes. The powders were mixed in a turbula mixer for 30 min after which they were dried in the oven at 80°C for 2 h.</w:t>
      </w:r>
    </w:p>
    <w:p>
      <w:pPr>
        <w:jc w:val="both"/>
      </w:pPr>
      <w:r>
        <w:rPr>
          <w:sz w:val="24"/>
          <w:szCs w:val="24"/>
          <w:rFonts w:ascii="Times New Roman" w:hAnsi="Times New Roman"/>
        </w:rPr>
        <w:t xml:space="preserve"/>
      </w:r>
    </w:p>
    <w:p>
      <w:pPr>
        <w:pStyle w:val="Heading3"/>
        <w:jc w:val="both"/>
      </w:pPr>
      <w:r>
        <w:rPr>
          <w:b/>
          <w:sz w:val="26"/>
          <w:szCs w:val="26"/>
          <w:rFonts w:ascii="Times New Roman" w:hAnsi="Times New Roman"/>
        </w:rPr>
        <w:t xml:space="preserve">4.1.1. Design of Experimentation for Flux Formulation</w:t>
      </w:r>
    </w:p>
    <w:p>
      <w:pPr>
        <w:jc w:val="both"/>
      </w:pPr>
      <w:r>
        <w:rPr>
          <w:sz w:val="24"/>
          <w:szCs w:val="24"/>
          <w:rFonts w:ascii="Times New Roman" w:hAnsi="Times New Roman"/>
        </w:rPr>
        <w:t xml:space="preserve">The traditional trial-and-error method was replaced by a systematic Design of Experiments (DoE) approach to develop the 25 submerged arc welding fluxes [8, 24]. Zhang and Kumar [25] demonstrated the effectiveness of DoE approach for submerged arc welding flux optimization. Mineral constituents (SiO₂, TiO₂, CaF₂, BaO, MnO and fixed CaO) are interdependent and an increase in one component necessarily requires a decrease in one or more other components; thus the mixture technique of Design of Experiments was used [26]. Design-Expert software (version 13, Stat-Ease Inc. Minneapolis, MN, USA) was used to design an experimental flux design matrix for SiO₂, TiO₂, CaF₂, BaO, MnO and fixed CaO ingredients (Table 4.2). The lower and upper bound constraints for the variables (Table 4.1) that are not possible in standard simplex-lattice or simplex-centroid designs make the D-optimal design suitable [25, 27]. To minimize systematic bias, the replicates were randomly positioned in the design space.</w:t>
      </w:r>
    </w:p>
    <w:p>
      <w:pPr>
        <w:jc w:val="both"/>
      </w:pPr>
      <w:r>
        <w:rPr>
          <w:sz w:val="24"/>
          <w:szCs w:val="24"/>
          <w:rFonts w:ascii="Times New Roman" w:hAnsi="Times New Roman"/>
        </w:rPr>
        <w:t xml:space="preserve"/>
      </w:r>
    </w:p>
    <w:p>
      <w:pPr>
        <w:jc w:val="both"/>
      </w:pPr>
      <w:r>
        <w:rPr>
          <w:sz w:val="24"/>
          <w:szCs w:val="24"/>
          <w:rFonts w:ascii="Times New Roman" w:hAnsi="Times New Roman"/>
        </w:rPr>
        <w:t xml:space="preserve">The mixture formulation was designed according to the following mathematical constraints:</w:t>
      </w:r>
    </w:p>
    <w:p>
      <w:pPr>
        <w:jc w:val="center"/>
      </w:pPr>
      <w:r>
        <w:rPr>
          <w:sz w:val="24"/>
          <w:szCs w:val="24"/>
          <w:rFonts w:ascii="Times New Roman" w:hAnsi="Times New Roman"/>
        </w:rPr>
        <w:t xml:space="preserve">0 ≤ α_i ≤ x_i ≤ β_i ≤ 100 ... (Equation 4.1)</w:t>
      </w:r>
    </w:p>
    <w:p>
      <w:pPr>
        <w:jc w:val="center"/>
      </w:pPr>
      <w:r>
        <w:rPr>
          <w:sz w:val="24"/>
          <w:szCs w:val="24"/>
          <w:rFonts w:ascii="Times New Roman" w:hAnsi="Times New Roman"/>
        </w:rPr>
        <w:t xml:space="preserve">Σx_i = 100 ... (Equation 4.2)</w:t>
      </w:r>
    </w:p>
    <w:p>
      <w:pPr>
        <w:jc w:val="both"/>
      </w:pPr>
      <w:r>
        <w:rPr>
          <w:sz w:val="24"/>
          <w:szCs w:val="24"/>
          <w:rFonts w:ascii="Times New Roman" w:hAnsi="Times New Roman"/>
        </w:rPr>
        <w:t xml:space="preserve"/>
      </w:r>
    </w:p>
    <w:p>
      <w:pPr>
        <w:jc w:val="both"/>
      </w:pPr>
      <w:r>
        <w:rPr>
          <w:sz w:val="24"/>
          <w:szCs w:val="24"/>
          <w:rFonts w:ascii="Times New Roman" w:hAnsi="Times New Roman"/>
        </w:rPr>
        <w:t xml:space="preserve">Here x is the mass in grams of every mineral constituent in every batch of 100 g, while α_i and β_i serve as the lower and upper specifications of each element (Table 4.1). Equation (4.1) ensures each single element is within a given range. Cornell [26] provides a comprehensive treatment of such mixture design constraints. The scale is able to adapt the mass variations brought by adding red ochre and binder materials.</w:t>
      </w:r>
    </w:p>
    <w:p>
      <w:pPr>
        <w:jc w:val="both"/>
      </w:pPr>
      <w:r>
        <w:rPr>
          <w:sz w:val="24"/>
          <w:szCs w:val="24"/>
          <w:rFonts w:ascii="Times New Roman" w:hAnsi="Times New Roman"/>
        </w:rPr>
        <w:t xml:space="preserve"/>
      </w:r>
    </w:p>
    <w:p>
      <w:pPr>
        <w:jc w:val="both"/>
      </w:pPr>
      <w:r>
        <w:rPr>
          <w:sz w:val="24"/>
          <w:szCs w:val="24"/>
          <w:rFonts w:ascii="Times New Roman" w:hAnsi="Times New Roman"/>
        </w:rPr>
        <w:t xml:space="preserve">The compositional range was analyzed based on a number of basic ternary systems as shown in Figure 4.1. The CaF₂ addition to the SiO₂-CaO-CaF₂ diagram (Figure 4.1a) reduces the liquidus temperature and creates two-liquid zones, which are important in regulating the fluidity of slag [28]. Mukerji [29] originally established the phase equilibrium diagram for the CaO—CaF₂—2CaO·SiO₂ system. The SiO₂-MnO-TiO₂ system (Figure 4.1b) plotted under controlled oxygen potential shows the effect of Mn and Ti in the formation and stability of silicate and titanate phases, and hence, the stability of the arc as well as the slag release [30]. Kang et al. [31] provided critical thermodynamic evaluation and optimization of the MnO-TiO₂-Ti₂O₃ system. The BaO-SiO₂-CaF₂ system (Figure 4.1c) indicates a low-melting dual liquid phase near the SiO₂-CaF₂ interface, which means that the flux is easier to melt [32]. Sarkar et al. [33] conducted thermodynamic evaluation and optimization of the BaO-SiO₂ and BaO-CaO-SiO₂ systems. These ternary combinations are then further extended to a quaternary model SiO₂-CaF₂-MnO-BaO (Figure 4.1d), whose polyhedral zone represents the scope of composition that is viable [34].</w:t>
      </w:r>
    </w:p>
    <w:p>
      <w:pPr>
        <w:jc w:val="both"/>
      </w:pPr>
      <w:r>
        <w:rPr>
          <w:sz w:val="24"/>
          <w:szCs w:val="24"/>
          <w:rFonts w:ascii="Times New Roman" w:hAnsi="Times New Roman"/>
        </w:rPr>
        <w:t xml:space="preserve"/>
      </w:r>
    </w:p>
    <w:p>
      <w:pPr>
        <w:jc w:val="center"/>
      </w:pPr>
      <w:r>
        <w:drawing>
          <wp:inline xmlns:wp="http://schemas.openxmlformats.org/drawingml/2006/wordprocessingDrawing" distT="0" distB="0" distL="0" distR="0">
            <wp:extent cx="5400000" cy="4050000"/>
            <wp:docPr id="1" name="Picture"/>
            <a:graphic xmlns:a="http://schemas.openxmlformats.org/drawingml/2006/main">
              <a:graphicData uri="http://schemas.openxmlformats.org/drawingml/2006/picture">
                <pic:pic xmlns:pic="http://schemas.openxmlformats.org/drawingml/2006/picture">
                  <pic:nvPicPr>
                    <pic:cNvPr id="0" name="img"/>
                    <pic:cNvPicPr/>
                  </pic:nvPicPr>
                  <pic:blipFill>
                    <a:blip xmlns:r="http://schemas.openxmlformats.org/officeDocument/2006/relationships" r:embed="rId7"/>
                    <a:stretch>
                      <a:fillRect/>
                    </a:stretch>
                  </pic:blipFill>
                  <pic:spPr>
                    <a:xfrm>
                      <a:off x="0" y="0"/>
                      <a:ext cx="5400000" cy="4050000"/>
                    </a:xfrm>
                    <a:prstGeom prst="rect">
                      <a:avLst/>
                    </a:prstGeom>
                  </pic:spPr>
                </pic:pic>
              </a:graphicData>
            </a:graphic>
          </wp:inline>
        </w:drawing>
      </w:r>
    </w:p>
    <w:p>
      <w:pPr>
        <w:jc w:val="center"/>
      </w:pPr>
      <w:r>
        <w:rPr>
          <w:b/>
          <w:sz w:val="20"/>
          <w:szCs w:val="20"/>
          <w:rFonts w:ascii="Times New Roman" w:hAnsi="Times New Roman"/>
        </w:rPr>
        <w:t xml:space="preserve">Figure 4.1: Representation of ternary and quaternary phase relationships used in flux formulation [29, 31, 33]. (a) SiO₂–CaO–CaF₂, (b) SiO₂–MnO–TiO₂, (c) BaO–SiO₂–CaF₂, (d) Quaternary framework</w:t>
      </w:r>
    </w:p>
    <w:p>
      <w:pPr>
        <w:jc w:val="both"/>
      </w:pPr>
      <w:r>
        <w:rPr>
          <w:sz w:val="24"/>
          <w:szCs w:val="24"/>
          <w:rFonts w:ascii="Times New Roman" w:hAnsi="Times New Roman"/>
        </w:rPr>
        <w:t xml:space="preserve"/>
      </w:r>
    </w:p>
    <w:p>
      <w:pPr>
        <w:jc w:val="both"/>
      </w:pPr>
      <w:r>
        <w:rPr>
          <w:sz w:val="24"/>
          <w:szCs w:val="24"/>
          <w:rFonts w:ascii="Times New Roman" w:hAnsi="Times New Roman"/>
        </w:rPr>
        <w:t xml:space="preserve">The basicity index (BI) of all 25 fluxes was calculated using the modified Tulliani equation [35]:</w:t>
      </w:r>
    </w:p>
    <w:p>
      <w:pPr>
        <w:jc w:val="center"/>
      </w:pPr>
      <w:r>
        <w:rPr>
          <w:sz w:val="24"/>
          <w:szCs w:val="24"/>
          <w:rFonts w:ascii="Times New Roman" w:hAnsi="Times New Roman"/>
        </w:rPr>
        <w:t xml:space="preserve">BI = (CaO + CaF₂ + MgO + BaO + SrO + Na₂O) + 0.5(MnO + Fe) / SiO₂ + 0.5(TiO₂ + Al₂O₃ + ZrO₂) ... (Eq. 4.3)</w:t>
      </w:r>
    </w:p>
    <w:p>
      <w:pPr>
        <w:jc w:val="both"/>
      </w:pPr>
      <w:r>
        <w:rPr>
          <w:sz w:val="24"/>
          <w:szCs w:val="24"/>
          <w:rFonts w:ascii="Times New Roman" w:hAnsi="Times New Roman"/>
        </w:rPr>
        <w:t xml:space="preserve"/>
      </w:r>
    </w:p>
    <w:p>
      <w:pPr>
        <w:jc w:val="both"/>
      </w:pPr>
      <w:r>
        <w:rPr>
          <w:sz w:val="24"/>
          <w:szCs w:val="24"/>
          <w:rFonts w:ascii="Times New Roman" w:hAnsi="Times New Roman"/>
        </w:rPr>
        <w:t xml:space="preserve">This index was developed with an improved description of the fluxing and deoxidizing effect of CaF₂ and MnO, in addition to the conventional basic oxides [35, 36]. Khan and Wilson [19] established that basicity index has significant impact on slag fluidity. The resulting values of the basicity index ranged between 2.100 and 4.622 and virtually grouped the fluxes between acidic and strongly basic as indicated in Table 4.2. CaF₂ and MnO rich blends (e.g. Run 2) had the highest basicity and those with high levels of SiO₂ and TiO₂ had the lowest basicity [37]. Robinson and Gupta [38] confirmed that arc stability and slag detachability are enhanced in high-basicity fluxes. A high level of SiO₂ and TiO₂ reduced the basicity index, which is generally responsible for producing liquid slags. In contrast, BaO and the constant 8% CaO increased the index, which correlates with improved desulfurization potential and better slag detachability from the weld metal [39, 40].</w:t>
      </w:r>
    </w:p>
    <w:p>
      <w:pPr>
        <w:jc w:val="both"/>
      </w:pPr>
      <w:r>
        <w:rPr>
          <w:sz w:val="24"/>
          <w:szCs w:val="24"/>
          <w:rFonts w:ascii="Times New Roman" w:hAnsi="Times New Roman"/>
        </w:rPr>
        <w:t xml:space="preserve"/>
      </w:r>
    </w:p>
    <w:p>
      <w:pPr>
        <w:jc w:val="center"/>
      </w:pPr>
      <w:r>
        <w:rPr>
          <w:b/>
          <w:sz w:val="22"/>
          <w:szCs w:val="22"/>
          <w:rFonts w:ascii="Times New Roman" w:hAnsi="Times New Roman"/>
        </w:rPr>
        <w:t xml:space="preserve">Table 4.2: Design matrix of flux composition</w:t>
      </w:r>
    </w:p>
    <w:tbl>
      <w:tblPr>
        <w:tblStyle w:val="TableGrid"/>
        <w:tblW w:w="5000" w:type="pct"/>
        <w:tblBorders>
          <w:top w:val="single" w:sz="4"/>
          <w:bottom w:val="single" w:sz="4"/>
          <w:left w:val="single" w:sz="4"/>
          <w:right w:val="single" w:sz="4"/>
          <w:insideH w:val="single" w:sz="4"/>
          <w:insideV w:val="single" w:sz="4"/>
        </w:tblBorders>
      </w:tblPr>
      <w:tr>
        <w:tc>
          <w:p>
            <w:pPr>
              <w:jc w:val="center"/>
            </w:pPr>
            <w:r>
              <w:rPr>
                <w:b/>
                <w:sz w:val="20"/>
                <w:szCs w:val="20"/>
              </w:rPr>
              <w:t xml:space="preserve">Run</w:t>
            </w:r>
          </w:p>
        </w:tc>
        <w:tc>
          <w:p>
            <w:pPr>
              <w:jc w:val="center"/>
            </w:pPr>
            <w:r>
              <w:rPr>
                <w:b/>
                <w:sz w:val="20"/>
                <w:szCs w:val="20"/>
              </w:rPr>
              <w:t xml:space="preserve">SiO₂</w:t>
            </w:r>
          </w:p>
        </w:tc>
        <w:tc>
          <w:p>
            <w:pPr>
              <w:jc w:val="center"/>
            </w:pPr>
            <w:r>
              <w:rPr>
                <w:b/>
                <w:sz w:val="20"/>
                <w:szCs w:val="20"/>
              </w:rPr>
              <w:t xml:space="preserve">TiO₂</w:t>
            </w:r>
          </w:p>
        </w:tc>
        <w:tc>
          <w:p>
            <w:pPr>
              <w:jc w:val="center"/>
            </w:pPr>
            <w:r>
              <w:rPr>
                <w:b/>
                <w:sz w:val="20"/>
                <w:szCs w:val="20"/>
              </w:rPr>
              <w:t xml:space="preserve">CaF₂</w:t>
            </w:r>
          </w:p>
        </w:tc>
        <w:tc>
          <w:p>
            <w:pPr>
              <w:jc w:val="center"/>
            </w:pPr>
            <w:r>
              <w:rPr>
                <w:b/>
                <w:sz w:val="20"/>
                <w:szCs w:val="20"/>
              </w:rPr>
              <w:t xml:space="preserve">BaO</w:t>
            </w:r>
          </w:p>
        </w:tc>
        <w:tc>
          <w:p>
            <w:pPr>
              <w:jc w:val="center"/>
            </w:pPr>
            <w:r>
              <w:rPr>
                <w:b/>
                <w:sz w:val="20"/>
                <w:szCs w:val="20"/>
              </w:rPr>
              <w:t xml:space="preserve">MnO</w:t>
            </w:r>
          </w:p>
        </w:tc>
        <w:tc>
          <w:p>
            <w:pPr>
              <w:jc w:val="center"/>
            </w:pPr>
            <w:r>
              <w:rPr>
                <w:b/>
                <w:sz w:val="20"/>
                <w:szCs w:val="20"/>
              </w:rPr>
              <w:t xml:space="preserve">CaO</w:t>
            </w:r>
          </w:p>
        </w:tc>
        <w:tc>
          <w:p>
            <w:pPr>
              <w:jc w:val="center"/>
            </w:pPr>
            <w:r>
              <w:rPr>
                <w:b/>
                <w:sz w:val="20"/>
                <w:szCs w:val="20"/>
              </w:rPr>
              <w:t xml:space="preserve">BI</w:t>
            </w:r>
          </w:p>
        </w:tc>
      </w:tr>
      <w:tr>
        <w:tc>
          <w:p>
            <w:pPr>
              <w:jc w:val="center"/>
            </w:pPr>
            <w:r>
              <w:rPr>
                <w:sz w:val="20"/>
                <w:szCs w:val="20"/>
              </w:rPr>
              <w:t xml:space="preserve">1</w:t>
            </w:r>
          </w:p>
        </w:tc>
        <w:tc>
          <w:p>
            <w:pPr>
              <w:jc w:val="center"/>
            </w:pPr>
            <w:r>
              <w:rPr>
                <w:sz w:val="20"/>
                <w:szCs w:val="20"/>
              </w:rPr>
              <w:t xml:space="preserve">10.00</w:t>
            </w:r>
          </w:p>
        </w:tc>
        <w:tc>
          <w:p>
            <w:pPr>
              <w:jc w:val="center"/>
            </w:pPr>
            <w:r>
              <w:rPr>
                <w:sz w:val="20"/>
                <w:szCs w:val="20"/>
              </w:rPr>
              <w:t xml:space="preserve">18.59</w:t>
            </w:r>
          </w:p>
        </w:tc>
        <w:tc>
          <w:p>
            <w:pPr>
              <w:jc w:val="center"/>
            </w:pPr>
            <w:r>
              <w:rPr>
                <w:sz w:val="20"/>
                <w:szCs w:val="20"/>
              </w:rPr>
              <w:t xml:space="preserve">21.42</w:t>
            </w:r>
          </w:p>
        </w:tc>
        <w:tc>
          <w:p>
            <w:pPr>
              <w:jc w:val="center"/>
            </w:pPr>
            <w:r>
              <w:rPr>
                <w:sz w:val="20"/>
                <w:szCs w:val="20"/>
              </w:rPr>
              <w:t xml:space="preserve">9.99</w:t>
            </w:r>
          </w:p>
        </w:tc>
        <w:tc>
          <w:p>
            <w:pPr>
              <w:jc w:val="center"/>
            </w:pPr>
            <w:r>
              <w:rPr>
                <w:sz w:val="20"/>
                <w:szCs w:val="20"/>
              </w:rPr>
              <w:t xml:space="preserve">25.00</w:t>
            </w:r>
          </w:p>
        </w:tc>
        <w:tc>
          <w:p>
            <w:pPr>
              <w:jc w:val="center"/>
            </w:pPr>
            <w:r>
              <w:rPr>
                <w:sz w:val="20"/>
                <w:szCs w:val="20"/>
              </w:rPr>
              <w:t xml:space="preserve">8.00</w:t>
            </w:r>
          </w:p>
        </w:tc>
        <w:tc>
          <w:p>
            <w:pPr>
              <w:jc w:val="center"/>
            </w:pPr>
            <w:r>
              <w:rPr>
                <w:sz w:val="20"/>
                <w:szCs w:val="20"/>
              </w:rPr>
              <w:t xml:space="preserve">2.253</w:t>
            </w:r>
          </w:p>
        </w:tc>
      </w:tr>
      <w:tr>
        <w:tc>
          <w:p>
            <w:pPr>
              <w:jc w:val="center"/>
            </w:pPr>
            <w:r>
              <w:rPr>
                <w:sz w:val="20"/>
                <w:szCs w:val="20"/>
              </w:rPr>
              <w:t xml:space="preserve">2</w:t>
            </w:r>
          </w:p>
        </w:tc>
        <w:tc>
          <w:p>
            <w:pPr>
              <w:jc w:val="center"/>
            </w:pPr>
            <w:r>
              <w:rPr>
                <w:sz w:val="20"/>
                <w:szCs w:val="20"/>
              </w:rPr>
              <w:t xml:space="preserve">6.37</w:t>
            </w:r>
          </w:p>
        </w:tc>
        <w:tc>
          <w:p>
            <w:pPr>
              <w:jc w:val="center"/>
            </w:pPr>
            <w:r>
              <w:rPr>
                <w:sz w:val="20"/>
                <w:szCs w:val="20"/>
              </w:rPr>
              <w:t xml:space="preserve">10.17</w:t>
            </w:r>
          </w:p>
        </w:tc>
        <w:tc>
          <w:p>
            <w:pPr>
              <w:jc w:val="center"/>
            </w:pPr>
            <w:r>
              <w:rPr>
                <w:sz w:val="20"/>
                <w:szCs w:val="20"/>
              </w:rPr>
              <w:t xml:space="preserve">35.00</w:t>
            </w:r>
          </w:p>
        </w:tc>
        <w:tc>
          <w:p>
            <w:pPr>
              <w:jc w:val="center"/>
            </w:pPr>
            <w:r>
              <w:rPr>
                <w:sz w:val="20"/>
                <w:szCs w:val="20"/>
              </w:rPr>
              <w:t xml:space="preserve">8.46</w:t>
            </w:r>
          </w:p>
        </w:tc>
        <w:tc>
          <w:p>
            <w:pPr>
              <w:jc w:val="center"/>
            </w:pPr>
            <w:r>
              <w:rPr>
                <w:sz w:val="20"/>
                <w:szCs w:val="20"/>
              </w:rPr>
              <w:t xml:space="preserve">25.00</w:t>
            </w:r>
          </w:p>
        </w:tc>
        <w:tc>
          <w:p>
            <w:pPr>
              <w:jc w:val="center"/>
            </w:pPr>
            <w:r>
              <w:rPr>
                <w:sz w:val="20"/>
                <w:szCs w:val="20"/>
              </w:rPr>
              <w:t xml:space="preserve">8.00</w:t>
            </w:r>
          </w:p>
        </w:tc>
        <w:tc>
          <w:p>
            <w:pPr>
              <w:jc w:val="center"/>
            </w:pPr>
            <w:r>
              <w:rPr>
                <w:sz w:val="20"/>
                <w:szCs w:val="20"/>
              </w:rPr>
              <w:t xml:space="preserve">4.622</w:t>
            </w:r>
          </w:p>
        </w:tc>
      </w:tr>
      <w:tr>
        <w:tc>
          <w:p>
            <w:pPr>
              <w:jc w:val="center"/>
            </w:pPr>
            <w:r>
              <w:rPr>
                <w:sz w:val="20"/>
                <w:szCs w:val="20"/>
              </w:rPr>
              <w:t xml:space="preserve">3</w:t>
            </w:r>
          </w:p>
        </w:tc>
        <w:tc>
          <w:p>
            <w:pPr>
              <w:jc w:val="center"/>
            </w:pPr>
            <w:r>
              <w:rPr>
                <w:sz w:val="20"/>
                <w:szCs w:val="20"/>
              </w:rPr>
              <w:t xml:space="preserve">8.15</w:t>
            </w:r>
          </w:p>
        </w:tc>
        <w:tc>
          <w:p>
            <w:pPr>
              <w:jc w:val="center"/>
            </w:pPr>
            <w:r>
              <w:rPr>
                <w:sz w:val="20"/>
                <w:szCs w:val="20"/>
              </w:rPr>
              <w:t xml:space="preserve">13.98</w:t>
            </w:r>
          </w:p>
        </w:tc>
        <w:tc>
          <w:p>
            <w:pPr>
              <w:jc w:val="center"/>
            </w:pPr>
            <w:r>
              <w:rPr>
                <w:sz w:val="20"/>
                <w:szCs w:val="20"/>
              </w:rPr>
              <w:t xml:space="preserve">35.00</w:t>
            </w:r>
          </w:p>
        </w:tc>
        <w:tc>
          <w:p>
            <w:pPr>
              <w:jc w:val="center"/>
            </w:pPr>
            <w:r>
              <w:rPr>
                <w:sz w:val="20"/>
                <w:szCs w:val="20"/>
              </w:rPr>
              <w:t xml:space="preserve">10.00</w:t>
            </w:r>
          </w:p>
        </w:tc>
        <w:tc>
          <w:p>
            <w:pPr>
              <w:jc w:val="center"/>
            </w:pPr>
            <w:r>
              <w:rPr>
                <w:sz w:val="20"/>
                <w:szCs w:val="20"/>
              </w:rPr>
              <w:t xml:space="preserve">17.86</w:t>
            </w:r>
          </w:p>
        </w:tc>
        <w:tc>
          <w:p>
            <w:pPr>
              <w:jc w:val="center"/>
            </w:pPr>
            <w:r>
              <w:rPr>
                <w:sz w:val="20"/>
                <w:szCs w:val="20"/>
              </w:rPr>
              <w:t xml:space="preserve">8.00</w:t>
            </w:r>
          </w:p>
        </w:tc>
        <w:tc>
          <w:p>
            <w:pPr>
              <w:jc w:val="center"/>
            </w:pPr>
            <w:r>
              <w:rPr>
                <w:sz w:val="20"/>
                <w:szCs w:val="20"/>
              </w:rPr>
              <w:t xml:space="preserve">3.201</w:t>
            </w:r>
          </w:p>
        </w:tc>
      </w:tr>
      <w:tr>
        <w:tc>
          <w:p>
            <w:pPr>
              <w:jc w:val="center"/>
            </w:pPr>
            <w:r>
              <w:rPr>
                <w:sz w:val="20"/>
                <w:szCs w:val="20"/>
              </w:rPr>
              <w:t xml:space="preserve">4</w:t>
            </w:r>
          </w:p>
        </w:tc>
        <w:tc>
          <w:p>
            <w:pPr>
              <w:jc w:val="center"/>
            </w:pPr>
            <w:r>
              <w:rPr>
                <w:sz w:val="20"/>
                <w:szCs w:val="20"/>
              </w:rPr>
              <w:t xml:space="preserve">7.94</w:t>
            </w:r>
          </w:p>
        </w:tc>
        <w:tc>
          <w:p>
            <w:pPr>
              <w:jc w:val="center"/>
            </w:pPr>
            <w:r>
              <w:rPr>
                <w:sz w:val="20"/>
                <w:szCs w:val="20"/>
              </w:rPr>
              <w:t xml:space="preserve">15.42</w:t>
            </w:r>
          </w:p>
        </w:tc>
        <w:tc>
          <w:p>
            <w:pPr>
              <w:jc w:val="center"/>
            </w:pPr>
            <w:r>
              <w:rPr>
                <w:sz w:val="20"/>
                <w:szCs w:val="20"/>
              </w:rPr>
              <w:t xml:space="preserve">30.09</w:t>
            </w:r>
          </w:p>
        </w:tc>
        <w:tc>
          <w:p>
            <w:pPr>
              <w:jc w:val="center"/>
            </w:pPr>
            <w:r>
              <w:rPr>
                <w:sz w:val="20"/>
                <w:szCs w:val="20"/>
              </w:rPr>
              <w:t xml:space="preserve">6.55</w:t>
            </w:r>
          </w:p>
        </w:tc>
        <w:tc>
          <w:p>
            <w:pPr>
              <w:jc w:val="center"/>
            </w:pPr>
            <w:r>
              <w:rPr>
                <w:sz w:val="20"/>
                <w:szCs w:val="20"/>
              </w:rPr>
              <w:t xml:space="preserve">25.00</w:t>
            </w:r>
          </w:p>
        </w:tc>
        <w:tc>
          <w:p>
            <w:pPr>
              <w:jc w:val="center"/>
            </w:pPr>
            <w:r>
              <w:rPr>
                <w:sz w:val="20"/>
                <w:szCs w:val="20"/>
              </w:rPr>
              <w:t xml:space="preserve">8.00</w:t>
            </w:r>
          </w:p>
        </w:tc>
        <w:tc>
          <w:p>
            <w:pPr>
              <w:jc w:val="center"/>
            </w:pPr>
            <w:r>
              <w:rPr>
                <w:sz w:val="20"/>
                <w:szCs w:val="20"/>
              </w:rPr>
              <w:t xml:space="preserve">2.981</w:t>
            </w:r>
          </w:p>
        </w:tc>
      </w:tr>
      <w:tr>
        <w:tc>
          <w:p>
            <w:pPr>
              <w:jc w:val="center"/>
            </w:pPr>
            <w:r>
              <w:rPr>
                <w:sz w:val="20"/>
                <w:szCs w:val="20"/>
              </w:rPr>
              <w:t xml:space="preserve">5</w:t>
            </w:r>
          </w:p>
        </w:tc>
        <w:tc>
          <w:p>
            <w:pPr>
              <w:jc w:val="center"/>
            </w:pPr>
            <w:r>
              <w:rPr>
                <w:sz w:val="20"/>
                <w:szCs w:val="20"/>
              </w:rPr>
              <w:t xml:space="preserve">8.15</w:t>
            </w:r>
          </w:p>
        </w:tc>
        <w:tc>
          <w:p>
            <w:pPr>
              <w:jc w:val="center"/>
            </w:pPr>
            <w:r>
              <w:rPr>
                <w:sz w:val="20"/>
                <w:szCs w:val="20"/>
              </w:rPr>
              <w:t xml:space="preserve">13.98</w:t>
            </w:r>
          </w:p>
        </w:tc>
        <w:tc>
          <w:p>
            <w:pPr>
              <w:jc w:val="center"/>
            </w:pPr>
            <w:r>
              <w:rPr>
                <w:sz w:val="20"/>
                <w:szCs w:val="20"/>
              </w:rPr>
              <w:t xml:space="preserve">35.00</w:t>
            </w:r>
          </w:p>
        </w:tc>
        <w:tc>
          <w:p>
            <w:pPr>
              <w:jc w:val="center"/>
            </w:pPr>
            <w:r>
              <w:rPr>
                <w:sz w:val="20"/>
                <w:szCs w:val="20"/>
              </w:rPr>
              <w:t xml:space="preserve">10.00</w:t>
            </w:r>
          </w:p>
        </w:tc>
        <w:tc>
          <w:p>
            <w:pPr>
              <w:jc w:val="center"/>
            </w:pPr>
            <w:r>
              <w:rPr>
                <w:sz w:val="20"/>
                <w:szCs w:val="20"/>
              </w:rPr>
              <w:t xml:space="preserve">17.86</w:t>
            </w:r>
          </w:p>
        </w:tc>
        <w:tc>
          <w:p>
            <w:pPr>
              <w:jc w:val="center"/>
            </w:pPr>
            <w:r>
              <w:rPr>
                <w:sz w:val="20"/>
                <w:szCs w:val="20"/>
              </w:rPr>
              <w:t xml:space="preserve">8.00</w:t>
            </w:r>
          </w:p>
        </w:tc>
        <w:tc>
          <w:p>
            <w:pPr>
              <w:jc w:val="center"/>
            </w:pPr>
            <w:r>
              <w:rPr>
                <w:sz w:val="20"/>
                <w:szCs w:val="20"/>
              </w:rPr>
              <w:t xml:space="preserve">3.201</w:t>
            </w:r>
          </w:p>
        </w:tc>
      </w:tr>
      <w:tr>
        <w:tc>
          <w:p>
            <w:pPr>
              <w:jc w:val="center"/>
            </w:pPr>
            <w:r>
              <w:rPr>
                <w:sz w:val="20"/>
                <w:szCs w:val="20"/>
              </w:rPr>
              <w:t xml:space="preserve">6</w:t>
            </w:r>
          </w:p>
        </w:tc>
        <w:tc>
          <w:p>
            <w:pPr>
              <w:jc w:val="center"/>
            </w:pPr>
            <w:r>
              <w:rPr>
                <w:sz w:val="20"/>
                <w:szCs w:val="20"/>
              </w:rPr>
              <w:t xml:space="preserve">5.29</w:t>
            </w:r>
          </w:p>
        </w:tc>
        <w:tc>
          <w:p>
            <w:pPr>
              <w:jc w:val="center"/>
            </w:pPr>
            <w:r>
              <w:rPr>
                <w:sz w:val="20"/>
                <w:szCs w:val="20"/>
              </w:rPr>
              <w:t xml:space="preserve">20.00</w:t>
            </w:r>
          </w:p>
        </w:tc>
        <w:tc>
          <w:p>
            <w:pPr>
              <w:jc w:val="center"/>
            </w:pPr>
            <w:r>
              <w:rPr>
                <w:sz w:val="20"/>
                <w:szCs w:val="20"/>
              </w:rPr>
              <w:t xml:space="preserve">27.44</w:t>
            </w:r>
          </w:p>
        </w:tc>
        <w:tc>
          <w:p>
            <w:pPr>
              <w:jc w:val="center"/>
            </w:pPr>
            <w:r>
              <w:rPr>
                <w:sz w:val="20"/>
                <w:szCs w:val="20"/>
              </w:rPr>
              <w:t xml:space="preserve">7.28</w:t>
            </w:r>
          </w:p>
        </w:tc>
        <w:tc>
          <w:p>
            <w:pPr>
              <w:jc w:val="center"/>
            </w:pPr>
            <w:r>
              <w:rPr>
                <w:sz w:val="20"/>
                <w:szCs w:val="20"/>
              </w:rPr>
              <w:t xml:space="preserve">25.00</w:t>
            </w:r>
          </w:p>
        </w:tc>
        <w:tc>
          <w:p>
            <w:pPr>
              <w:jc w:val="center"/>
            </w:pPr>
            <w:r>
              <w:rPr>
                <w:sz w:val="20"/>
                <w:szCs w:val="20"/>
              </w:rPr>
              <w:t xml:space="preserve">8.00</w:t>
            </w:r>
          </w:p>
        </w:tc>
        <w:tc>
          <w:p>
            <w:pPr>
              <w:jc w:val="center"/>
            </w:pPr>
            <w:r>
              <w:rPr>
                <w:sz w:val="20"/>
                <w:szCs w:val="20"/>
              </w:rPr>
              <w:t xml:space="preserve">2.677</w:t>
            </w:r>
          </w:p>
        </w:tc>
      </w:tr>
      <w:tr>
        <w:tc>
          <w:p>
            <w:pPr>
              <w:jc w:val="center"/>
            </w:pPr>
            <w:r>
              <w:rPr>
                <w:sz w:val="20"/>
                <w:szCs w:val="20"/>
              </w:rPr>
              <w:t xml:space="preserve">7</w:t>
            </w:r>
          </w:p>
        </w:tc>
        <w:tc>
          <w:p>
            <w:pPr>
              <w:jc w:val="center"/>
            </w:pPr>
            <w:r>
              <w:rPr>
                <w:sz w:val="20"/>
                <w:szCs w:val="20"/>
              </w:rPr>
              <w:t xml:space="preserve">10.00</w:t>
            </w:r>
          </w:p>
        </w:tc>
        <w:tc>
          <w:p>
            <w:pPr>
              <w:jc w:val="center"/>
            </w:pPr>
            <w:r>
              <w:rPr>
                <w:sz w:val="20"/>
                <w:szCs w:val="20"/>
              </w:rPr>
              <w:t xml:space="preserve">14.37</w:t>
            </w:r>
          </w:p>
        </w:tc>
        <w:tc>
          <w:p>
            <w:pPr>
              <w:jc w:val="center"/>
            </w:pPr>
            <w:r>
              <w:rPr>
                <w:sz w:val="20"/>
                <w:szCs w:val="20"/>
              </w:rPr>
              <w:t xml:space="preserve">25.63</w:t>
            </w:r>
          </w:p>
        </w:tc>
        <w:tc>
          <w:p>
            <w:pPr>
              <w:jc w:val="center"/>
            </w:pPr>
            <w:r>
              <w:rPr>
                <w:sz w:val="20"/>
                <w:szCs w:val="20"/>
              </w:rPr>
              <w:t xml:space="preserve">10.00</w:t>
            </w:r>
          </w:p>
        </w:tc>
        <w:tc>
          <w:p>
            <w:pPr>
              <w:jc w:val="center"/>
            </w:pPr>
            <w:r>
              <w:rPr>
                <w:sz w:val="20"/>
                <w:szCs w:val="20"/>
              </w:rPr>
              <w:t xml:space="preserve">25.00</w:t>
            </w:r>
          </w:p>
        </w:tc>
        <w:tc>
          <w:p>
            <w:pPr>
              <w:jc w:val="center"/>
            </w:pPr>
            <w:r>
              <w:rPr>
                <w:sz w:val="20"/>
                <w:szCs w:val="20"/>
              </w:rPr>
              <w:t xml:space="preserve">8.00</w:t>
            </w:r>
          </w:p>
        </w:tc>
        <w:tc>
          <w:p>
            <w:pPr>
              <w:jc w:val="center"/>
            </w:pPr>
            <w:r>
              <w:rPr>
                <w:sz w:val="20"/>
                <w:szCs w:val="20"/>
              </w:rPr>
              <w:t xml:space="preserve">2.816</w:t>
            </w:r>
          </w:p>
        </w:tc>
      </w:tr>
      <w:tr>
        <w:tc>
          <w:p>
            <w:pPr>
              <w:jc w:val="center"/>
            </w:pPr>
            <w:r>
              <w:rPr>
                <w:sz w:val="20"/>
                <w:szCs w:val="20"/>
              </w:rPr>
              <w:t xml:space="preserve">8</w:t>
            </w:r>
          </w:p>
        </w:tc>
        <w:tc>
          <w:p>
            <w:pPr>
              <w:jc w:val="center"/>
            </w:pPr>
            <w:r>
              <w:rPr>
                <w:sz w:val="20"/>
                <w:szCs w:val="20"/>
              </w:rPr>
              <w:t xml:space="preserve">7.94</w:t>
            </w:r>
          </w:p>
        </w:tc>
        <w:tc>
          <w:p>
            <w:pPr>
              <w:jc w:val="center"/>
            </w:pPr>
            <w:r>
              <w:rPr>
                <w:sz w:val="20"/>
                <w:szCs w:val="20"/>
              </w:rPr>
              <w:t xml:space="preserve">15.42</w:t>
            </w:r>
          </w:p>
        </w:tc>
        <w:tc>
          <w:p>
            <w:pPr>
              <w:jc w:val="center"/>
            </w:pPr>
            <w:r>
              <w:rPr>
                <w:sz w:val="20"/>
                <w:szCs w:val="20"/>
              </w:rPr>
              <w:t xml:space="preserve">30.09</w:t>
            </w:r>
          </w:p>
        </w:tc>
        <w:tc>
          <w:p>
            <w:pPr>
              <w:jc w:val="center"/>
            </w:pPr>
            <w:r>
              <w:rPr>
                <w:sz w:val="20"/>
                <w:szCs w:val="20"/>
              </w:rPr>
              <w:t xml:space="preserve">6.55</w:t>
            </w:r>
          </w:p>
        </w:tc>
        <w:tc>
          <w:p>
            <w:pPr>
              <w:jc w:val="center"/>
            </w:pPr>
            <w:r>
              <w:rPr>
                <w:sz w:val="20"/>
                <w:szCs w:val="20"/>
              </w:rPr>
              <w:t xml:space="preserve">25.00</w:t>
            </w:r>
          </w:p>
        </w:tc>
        <w:tc>
          <w:p>
            <w:pPr>
              <w:jc w:val="center"/>
            </w:pPr>
            <w:r>
              <w:rPr>
                <w:sz w:val="20"/>
                <w:szCs w:val="20"/>
              </w:rPr>
              <w:t xml:space="preserve">8.00</w:t>
            </w:r>
          </w:p>
        </w:tc>
        <w:tc>
          <w:p>
            <w:pPr>
              <w:jc w:val="center"/>
            </w:pPr>
            <w:r>
              <w:rPr>
                <w:sz w:val="20"/>
                <w:szCs w:val="20"/>
              </w:rPr>
              <w:t xml:space="preserve">2.981</w:t>
            </w:r>
          </w:p>
        </w:tc>
      </w:tr>
      <w:tr>
        <w:tc>
          <w:p>
            <w:pPr>
              <w:jc w:val="center"/>
            </w:pPr>
            <w:r>
              <w:rPr>
                <w:sz w:val="20"/>
                <w:szCs w:val="20"/>
              </w:rPr>
              <w:t xml:space="preserve">9</w:t>
            </w:r>
          </w:p>
        </w:tc>
        <w:tc>
          <w:p>
            <w:pPr>
              <w:jc w:val="center"/>
            </w:pPr>
            <w:r>
              <w:rPr>
                <w:sz w:val="20"/>
                <w:szCs w:val="20"/>
              </w:rPr>
              <w:t xml:space="preserve">7.94</w:t>
            </w:r>
          </w:p>
        </w:tc>
        <w:tc>
          <w:p>
            <w:pPr>
              <w:jc w:val="center"/>
            </w:pPr>
            <w:r>
              <w:rPr>
                <w:sz w:val="20"/>
                <w:szCs w:val="20"/>
              </w:rPr>
              <w:t xml:space="preserve">15.42</w:t>
            </w:r>
          </w:p>
        </w:tc>
        <w:tc>
          <w:p>
            <w:pPr>
              <w:jc w:val="center"/>
            </w:pPr>
            <w:r>
              <w:rPr>
                <w:sz w:val="20"/>
                <w:szCs w:val="20"/>
              </w:rPr>
              <w:t xml:space="preserve">30.09</w:t>
            </w:r>
          </w:p>
        </w:tc>
        <w:tc>
          <w:p>
            <w:pPr>
              <w:jc w:val="center"/>
            </w:pPr>
            <w:r>
              <w:rPr>
                <w:sz w:val="20"/>
                <w:szCs w:val="20"/>
              </w:rPr>
              <w:t xml:space="preserve">6.55</w:t>
            </w:r>
          </w:p>
        </w:tc>
        <w:tc>
          <w:p>
            <w:pPr>
              <w:jc w:val="center"/>
            </w:pPr>
            <w:r>
              <w:rPr>
                <w:sz w:val="20"/>
                <w:szCs w:val="20"/>
              </w:rPr>
              <w:t xml:space="preserve">25.00</w:t>
            </w:r>
          </w:p>
        </w:tc>
        <w:tc>
          <w:p>
            <w:pPr>
              <w:jc w:val="center"/>
            </w:pPr>
            <w:r>
              <w:rPr>
                <w:sz w:val="20"/>
                <w:szCs w:val="20"/>
              </w:rPr>
              <w:t xml:space="preserve">8.00</w:t>
            </w:r>
          </w:p>
        </w:tc>
        <w:tc>
          <w:p>
            <w:pPr>
              <w:jc w:val="center"/>
            </w:pPr>
            <w:r>
              <w:rPr>
                <w:sz w:val="20"/>
                <w:szCs w:val="20"/>
              </w:rPr>
              <w:t xml:space="preserve">2.981</w:t>
            </w:r>
          </w:p>
        </w:tc>
      </w:tr>
      <w:tr>
        <w:tc>
          <w:p>
            <w:pPr>
              <w:jc w:val="center"/>
            </w:pPr>
            <w:r>
              <w:rPr>
                <w:sz w:val="20"/>
                <w:szCs w:val="20"/>
              </w:rPr>
              <w:t xml:space="preserve">10</w:t>
            </w:r>
          </w:p>
        </w:tc>
        <w:tc>
          <w:p>
            <w:pPr>
              <w:jc w:val="center"/>
            </w:pPr>
            <w:r>
              <w:rPr>
                <w:sz w:val="20"/>
                <w:szCs w:val="20"/>
              </w:rPr>
              <w:t xml:space="preserve">7.99</w:t>
            </w:r>
          </w:p>
        </w:tc>
        <w:tc>
          <w:p>
            <w:pPr>
              <w:jc w:val="center"/>
            </w:pPr>
            <w:r>
              <w:rPr>
                <w:sz w:val="20"/>
                <w:szCs w:val="20"/>
              </w:rPr>
              <w:t xml:space="preserve">20.00</w:t>
            </w:r>
          </w:p>
        </w:tc>
        <w:tc>
          <w:p>
            <w:pPr>
              <w:jc w:val="center"/>
            </w:pPr>
            <w:r>
              <w:rPr>
                <w:sz w:val="20"/>
                <w:szCs w:val="20"/>
              </w:rPr>
              <w:t xml:space="preserve">28.17</w:t>
            </w:r>
          </w:p>
        </w:tc>
        <w:tc>
          <w:p>
            <w:pPr>
              <w:jc w:val="center"/>
            </w:pPr>
            <w:r>
              <w:rPr>
                <w:sz w:val="20"/>
                <w:szCs w:val="20"/>
              </w:rPr>
              <w:t xml:space="preserve">10.00</w:t>
            </w:r>
          </w:p>
        </w:tc>
        <w:tc>
          <w:p>
            <w:pPr>
              <w:jc w:val="center"/>
            </w:pPr>
            <w:r>
              <w:rPr>
                <w:sz w:val="20"/>
                <w:szCs w:val="20"/>
              </w:rPr>
              <w:t xml:space="preserve">18.84</w:t>
            </w:r>
          </w:p>
        </w:tc>
        <w:tc>
          <w:p>
            <w:pPr>
              <w:jc w:val="center"/>
            </w:pPr>
            <w:r>
              <w:rPr>
                <w:sz w:val="20"/>
                <w:szCs w:val="20"/>
              </w:rPr>
              <w:t xml:space="preserve">8.00</w:t>
            </w:r>
          </w:p>
        </w:tc>
        <w:tc>
          <w:p>
            <w:pPr>
              <w:jc w:val="center"/>
            </w:pPr>
            <w:r>
              <w:rPr>
                <w:sz w:val="20"/>
                <w:szCs w:val="20"/>
              </w:rPr>
              <w:t xml:space="preserve">2.322</w:t>
            </w:r>
          </w:p>
        </w:tc>
      </w:tr>
      <w:tr>
        <w:tc>
          <w:p>
            <w:pPr>
              <w:jc w:val="center"/>
            </w:pPr>
            <w:r>
              <w:rPr>
                <w:sz w:val="20"/>
                <w:szCs w:val="20"/>
              </w:rPr>
              <w:t xml:space="preserve">11</w:t>
            </w:r>
          </w:p>
        </w:tc>
        <w:tc>
          <w:p>
            <w:pPr>
              <w:jc w:val="center"/>
            </w:pPr>
            <w:r>
              <w:rPr>
                <w:sz w:val="20"/>
                <w:szCs w:val="20"/>
              </w:rPr>
              <w:t xml:space="preserve">10.00</w:t>
            </w:r>
          </w:p>
        </w:tc>
        <w:tc>
          <w:p>
            <w:pPr>
              <w:jc w:val="center"/>
            </w:pPr>
            <w:r>
              <w:rPr>
                <w:sz w:val="20"/>
                <w:szCs w:val="20"/>
              </w:rPr>
              <w:t xml:space="preserve">20.00</w:t>
            </w:r>
          </w:p>
        </w:tc>
        <w:tc>
          <w:p>
            <w:pPr>
              <w:jc w:val="center"/>
            </w:pPr>
            <w:r>
              <w:rPr>
                <w:sz w:val="20"/>
                <w:szCs w:val="20"/>
              </w:rPr>
              <w:t xml:space="preserve">26.73</w:t>
            </w:r>
          </w:p>
        </w:tc>
        <w:tc>
          <w:p>
            <w:pPr>
              <w:jc w:val="center"/>
            </w:pPr>
            <w:r>
              <w:rPr>
                <w:sz w:val="20"/>
                <w:szCs w:val="20"/>
              </w:rPr>
              <w:t xml:space="preserve">5.00</w:t>
            </w:r>
          </w:p>
        </w:tc>
        <w:tc>
          <w:p>
            <w:pPr>
              <w:jc w:val="center"/>
            </w:pPr>
            <w:r>
              <w:rPr>
                <w:sz w:val="20"/>
                <w:szCs w:val="20"/>
              </w:rPr>
              <w:t xml:space="preserve">23.27</w:t>
            </w:r>
          </w:p>
        </w:tc>
        <w:tc>
          <w:p>
            <w:pPr>
              <w:jc w:val="center"/>
            </w:pPr>
            <w:r>
              <w:rPr>
                <w:sz w:val="20"/>
                <w:szCs w:val="20"/>
              </w:rPr>
              <w:t xml:space="preserve">8.00</w:t>
            </w:r>
          </w:p>
        </w:tc>
        <w:tc>
          <w:p>
            <w:pPr>
              <w:jc w:val="center"/>
            </w:pPr>
            <w:r>
              <w:rPr>
                <w:sz w:val="20"/>
                <w:szCs w:val="20"/>
              </w:rPr>
              <w:t xml:space="preserve">2.100</w:t>
            </w:r>
          </w:p>
        </w:tc>
      </w:tr>
      <w:tr>
        <w:tc>
          <w:p>
            <w:pPr>
              <w:jc w:val="center"/>
            </w:pPr>
            <w:r>
              <w:rPr>
                <w:sz w:val="20"/>
                <w:szCs w:val="20"/>
              </w:rPr>
              <w:t xml:space="preserve">12</w:t>
            </w:r>
          </w:p>
        </w:tc>
        <w:tc>
          <w:p>
            <w:pPr>
              <w:jc w:val="center"/>
            </w:pPr>
            <w:r>
              <w:rPr>
                <w:sz w:val="20"/>
                <w:szCs w:val="20"/>
              </w:rPr>
              <w:t xml:space="preserve">5.02</w:t>
            </w:r>
          </w:p>
        </w:tc>
        <w:tc>
          <w:p>
            <w:pPr>
              <w:jc w:val="center"/>
            </w:pPr>
            <w:r>
              <w:rPr>
                <w:sz w:val="20"/>
                <w:szCs w:val="20"/>
              </w:rPr>
              <w:t xml:space="preserve">20.00</w:t>
            </w:r>
          </w:p>
        </w:tc>
        <w:tc>
          <w:p>
            <w:pPr>
              <w:jc w:val="center"/>
            </w:pPr>
            <w:r>
              <w:rPr>
                <w:sz w:val="20"/>
                <w:szCs w:val="20"/>
              </w:rPr>
              <w:t xml:space="preserve">33.18</w:t>
            </w:r>
          </w:p>
        </w:tc>
        <w:tc>
          <w:p>
            <w:pPr>
              <w:jc w:val="center"/>
            </w:pPr>
            <w:r>
              <w:rPr>
                <w:sz w:val="20"/>
                <w:szCs w:val="20"/>
              </w:rPr>
              <w:t xml:space="preserve">6.31</w:t>
            </w:r>
          </w:p>
        </w:tc>
        <w:tc>
          <w:p>
            <w:pPr>
              <w:jc w:val="center"/>
            </w:pPr>
            <w:r>
              <w:rPr>
                <w:sz w:val="20"/>
                <w:szCs w:val="20"/>
              </w:rPr>
              <w:t xml:space="preserve">20.48</w:t>
            </w:r>
          </w:p>
        </w:tc>
        <w:tc>
          <w:p>
            <w:pPr>
              <w:jc w:val="center"/>
            </w:pPr>
            <w:r>
              <w:rPr>
                <w:sz w:val="20"/>
                <w:szCs w:val="20"/>
              </w:rPr>
              <w:t xml:space="preserve">8.00</w:t>
            </w:r>
          </w:p>
        </w:tc>
        <w:tc>
          <w:p>
            <w:pPr>
              <w:jc w:val="center"/>
            </w:pPr>
            <w:r>
              <w:rPr>
                <w:sz w:val="20"/>
                <w:szCs w:val="20"/>
              </w:rPr>
              <w:t xml:space="preserve">2.717</w:t>
            </w:r>
          </w:p>
        </w:tc>
      </w:tr>
      <w:tr>
        <w:tc>
          <w:p>
            <w:pPr>
              <w:jc w:val="center"/>
            </w:pPr>
            <w:r>
              <w:rPr>
                <w:sz w:val="20"/>
                <w:szCs w:val="20"/>
              </w:rPr>
              <w:t xml:space="preserve">13</w:t>
            </w:r>
          </w:p>
        </w:tc>
        <w:tc>
          <w:p>
            <w:pPr>
              <w:jc w:val="center"/>
            </w:pPr>
            <w:r>
              <w:rPr>
                <w:sz w:val="20"/>
                <w:szCs w:val="20"/>
              </w:rPr>
              <w:t xml:space="preserve">5.00</w:t>
            </w:r>
          </w:p>
        </w:tc>
        <w:tc>
          <w:p>
            <w:pPr>
              <w:jc w:val="center"/>
            </w:pPr>
            <w:r>
              <w:rPr>
                <w:sz w:val="20"/>
                <w:szCs w:val="20"/>
              </w:rPr>
              <w:t xml:space="preserve">14.38</w:t>
            </w:r>
          </w:p>
        </w:tc>
        <w:tc>
          <w:p>
            <w:pPr>
              <w:jc w:val="center"/>
            </w:pPr>
            <w:r>
              <w:rPr>
                <w:sz w:val="20"/>
                <w:szCs w:val="20"/>
              </w:rPr>
              <w:t xml:space="preserve">30.62</w:t>
            </w:r>
          </w:p>
        </w:tc>
        <w:tc>
          <w:p>
            <w:pPr>
              <w:jc w:val="center"/>
            </w:pPr>
            <w:r>
              <w:rPr>
                <w:sz w:val="20"/>
                <w:szCs w:val="20"/>
              </w:rPr>
              <w:t xml:space="preserve">10.00</w:t>
            </w:r>
          </w:p>
        </w:tc>
        <w:tc>
          <w:p>
            <w:pPr>
              <w:jc w:val="center"/>
            </w:pPr>
            <w:r>
              <w:rPr>
                <w:sz w:val="20"/>
                <w:szCs w:val="20"/>
              </w:rPr>
              <w:t xml:space="preserve">25.00</w:t>
            </w:r>
          </w:p>
        </w:tc>
        <w:tc>
          <w:p>
            <w:pPr>
              <w:jc w:val="center"/>
            </w:pPr>
            <w:r>
              <w:rPr>
                <w:sz w:val="20"/>
                <w:szCs w:val="20"/>
              </w:rPr>
              <w:t xml:space="preserve">8.00</w:t>
            </w:r>
          </w:p>
        </w:tc>
        <w:tc>
          <w:p>
            <w:pPr>
              <w:jc w:val="center"/>
            </w:pPr>
            <w:r>
              <w:rPr>
                <w:sz w:val="20"/>
                <w:szCs w:val="20"/>
              </w:rPr>
              <w:t xml:space="preserve">3.799</w:t>
            </w:r>
          </w:p>
        </w:tc>
      </w:tr>
      <w:tr>
        <w:tc>
          <w:p>
            <w:pPr>
              <w:jc w:val="center"/>
            </w:pPr>
            <w:r>
              <w:rPr>
                <w:sz w:val="20"/>
                <w:szCs w:val="20"/>
              </w:rPr>
              <w:t xml:space="preserve">14</w:t>
            </w:r>
          </w:p>
        </w:tc>
        <w:tc>
          <w:p>
            <w:pPr>
              <w:jc w:val="center"/>
            </w:pPr>
            <w:r>
              <w:rPr>
                <w:sz w:val="20"/>
                <w:szCs w:val="20"/>
              </w:rPr>
              <w:t xml:space="preserve">7.99</w:t>
            </w:r>
          </w:p>
        </w:tc>
        <w:tc>
          <w:p>
            <w:pPr>
              <w:jc w:val="center"/>
            </w:pPr>
            <w:r>
              <w:rPr>
                <w:sz w:val="20"/>
                <w:szCs w:val="20"/>
              </w:rPr>
              <w:t xml:space="preserve">20.00</w:t>
            </w:r>
          </w:p>
        </w:tc>
        <w:tc>
          <w:p>
            <w:pPr>
              <w:jc w:val="center"/>
            </w:pPr>
            <w:r>
              <w:rPr>
                <w:sz w:val="20"/>
                <w:szCs w:val="20"/>
              </w:rPr>
              <w:t xml:space="preserve">28.17</w:t>
            </w:r>
          </w:p>
        </w:tc>
        <w:tc>
          <w:p>
            <w:pPr>
              <w:jc w:val="center"/>
            </w:pPr>
            <w:r>
              <w:rPr>
                <w:sz w:val="20"/>
                <w:szCs w:val="20"/>
              </w:rPr>
              <w:t xml:space="preserve">10.00</w:t>
            </w:r>
          </w:p>
        </w:tc>
        <w:tc>
          <w:p>
            <w:pPr>
              <w:jc w:val="center"/>
            </w:pPr>
            <w:r>
              <w:rPr>
                <w:sz w:val="20"/>
                <w:szCs w:val="20"/>
              </w:rPr>
              <w:t xml:space="preserve">18.84</w:t>
            </w:r>
          </w:p>
        </w:tc>
        <w:tc>
          <w:p>
            <w:pPr>
              <w:jc w:val="center"/>
            </w:pPr>
            <w:r>
              <w:rPr>
                <w:sz w:val="20"/>
                <w:szCs w:val="20"/>
              </w:rPr>
              <w:t xml:space="preserve">8.00</w:t>
            </w:r>
          </w:p>
        </w:tc>
        <w:tc>
          <w:p>
            <w:pPr>
              <w:jc w:val="center"/>
            </w:pPr>
            <w:r>
              <w:rPr>
                <w:sz w:val="20"/>
                <w:szCs w:val="20"/>
              </w:rPr>
              <w:t xml:space="preserve">2.322</w:t>
            </w:r>
          </w:p>
        </w:tc>
      </w:tr>
      <w:tr>
        <w:tc>
          <w:p>
            <w:pPr>
              <w:jc w:val="center"/>
            </w:pPr>
            <w:r>
              <w:rPr>
                <w:sz w:val="20"/>
                <w:szCs w:val="20"/>
              </w:rPr>
              <w:t xml:space="preserve">15</w:t>
            </w:r>
          </w:p>
        </w:tc>
        <w:tc>
          <w:p>
            <w:pPr>
              <w:jc w:val="center"/>
            </w:pPr>
            <w:r>
              <w:rPr>
                <w:sz w:val="20"/>
                <w:szCs w:val="20"/>
              </w:rPr>
              <w:t xml:space="preserve">8.79</w:t>
            </w:r>
          </w:p>
        </w:tc>
        <w:tc>
          <w:p>
            <w:pPr>
              <w:jc w:val="center"/>
            </w:pPr>
            <w:r>
              <w:rPr>
                <w:sz w:val="20"/>
                <w:szCs w:val="20"/>
              </w:rPr>
              <w:t xml:space="preserve">15.54</w:t>
            </w:r>
          </w:p>
        </w:tc>
        <w:tc>
          <w:p>
            <w:pPr>
              <w:jc w:val="center"/>
            </w:pPr>
            <w:r>
              <w:rPr>
                <w:sz w:val="20"/>
                <w:szCs w:val="20"/>
              </w:rPr>
              <w:t xml:space="preserve">35.00</w:t>
            </w:r>
          </w:p>
        </w:tc>
        <w:tc>
          <w:p>
            <w:pPr>
              <w:jc w:val="center"/>
            </w:pPr>
            <w:r>
              <w:rPr>
                <w:sz w:val="20"/>
                <w:szCs w:val="20"/>
              </w:rPr>
              <w:t xml:space="preserve">5.35</w:t>
            </w:r>
          </w:p>
        </w:tc>
        <w:tc>
          <w:p>
            <w:pPr>
              <w:jc w:val="center"/>
            </w:pPr>
            <w:r>
              <w:rPr>
                <w:sz w:val="20"/>
                <w:szCs w:val="20"/>
              </w:rPr>
              <w:t xml:space="preserve">20.32</w:t>
            </w:r>
          </w:p>
        </w:tc>
        <w:tc>
          <w:p>
            <w:pPr>
              <w:jc w:val="center"/>
            </w:pPr>
            <w:r>
              <w:rPr>
                <w:sz w:val="20"/>
                <w:szCs w:val="20"/>
              </w:rPr>
              <w:t xml:space="preserve">8.00</w:t>
            </w:r>
          </w:p>
        </w:tc>
        <w:tc>
          <w:p>
            <w:pPr>
              <w:jc w:val="center"/>
            </w:pPr>
            <w:r>
              <w:rPr>
                <w:sz w:val="20"/>
                <w:szCs w:val="20"/>
              </w:rPr>
              <w:t xml:space="preserve">2.823</w:t>
            </w:r>
          </w:p>
        </w:tc>
      </w:tr>
      <w:tr>
        <w:tc>
          <w:p>
            <w:pPr>
              <w:jc w:val="center"/>
            </w:pPr>
            <w:r>
              <w:rPr>
                <w:sz w:val="20"/>
                <w:szCs w:val="20"/>
              </w:rPr>
              <w:t xml:space="preserve">16</w:t>
            </w:r>
          </w:p>
        </w:tc>
        <w:tc>
          <w:p>
            <w:pPr>
              <w:jc w:val="center"/>
            </w:pPr>
            <w:r>
              <w:rPr>
                <w:sz w:val="20"/>
                <w:szCs w:val="20"/>
              </w:rPr>
              <w:t xml:space="preserve">10.00</w:t>
            </w:r>
          </w:p>
        </w:tc>
        <w:tc>
          <w:p>
            <w:pPr>
              <w:jc w:val="center"/>
            </w:pPr>
            <w:r>
              <w:rPr>
                <w:sz w:val="20"/>
                <w:szCs w:val="20"/>
              </w:rPr>
              <w:t xml:space="preserve">11.45</w:t>
            </w:r>
          </w:p>
        </w:tc>
        <w:tc>
          <w:p>
            <w:pPr>
              <w:jc w:val="center"/>
            </w:pPr>
            <w:r>
              <w:rPr>
                <w:sz w:val="20"/>
                <w:szCs w:val="20"/>
              </w:rPr>
              <w:t xml:space="preserve">35.00</w:t>
            </w:r>
          </w:p>
        </w:tc>
        <w:tc>
          <w:p>
            <w:pPr>
              <w:jc w:val="center"/>
            </w:pPr>
            <w:r>
              <w:rPr>
                <w:sz w:val="20"/>
                <w:szCs w:val="20"/>
              </w:rPr>
              <w:t xml:space="preserve">5.00</w:t>
            </w:r>
          </w:p>
        </w:tc>
        <w:tc>
          <w:p>
            <w:pPr>
              <w:jc w:val="center"/>
            </w:pPr>
            <w:r>
              <w:rPr>
                <w:sz w:val="20"/>
                <w:szCs w:val="20"/>
              </w:rPr>
              <w:t xml:space="preserve">23.55</w:t>
            </w:r>
          </w:p>
        </w:tc>
        <w:tc>
          <w:p>
            <w:pPr>
              <w:jc w:val="center"/>
            </w:pPr>
            <w:r>
              <w:rPr>
                <w:sz w:val="20"/>
                <w:szCs w:val="20"/>
              </w:rPr>
              <w:t xml:space="preserve">8.00</w:t>
            </w:r>
          </w:p>
        </w:tc>
        <w:tc>
          <w:p>
            <w:pPr>
              <w:jc w:val="center"/>
            </w:pPr>
            <w:r>
              <w:rPr>
                <w:sz w:val="20"/>
                <w:szCs w:val="20"/>
              </w:rPr>
              <w:t xml:space="preserve">3.337</w:t>
            </w:r>
          </w:p>
        </w:tc>
      </w:tr>
      <w:tr>
        <w:tc>
          <w:p>
            <w:pPr>
              <w:jc w:val="center"/>
            </w:pPr>
            <w:r>
              <w:rPr>
                <w:sz w:val="20"/>
                <w:szCs w:val="20"/>
              </w:rPr>
              <w:t xml:space="preserve">17</w:t>
            </w:r>
          </w:p>
        </w:tc>
        <w:tc>
          <w:p>
            <w:pPr>
              <w:jc w:val="center"/>
            </w:pPr>
            <w:r>
              <w:rPr>
                <w:sz w:val="20"/>
                <w:szCs w:val="20"/>
              </w:rPr>
              <w:t xml:space="preserve">10.00</w:t>
            </w:r>
          </w:p>
        </w:tc>
        <w:tc>
          <w:p>
            <w:pPr>
              <w:jc w:val="center"/>
            </w:pPr>
            <w:r>
              <w:rPr>
                <w:sz w:val="20"/>
                <w:szCs w:val="20"/>
              </w:rPr>
              <w:t xml:space="preserve">19.37</w:t>
            </w:r>
          </w:p>
        </w:tc>
        <w:tc>
          <w:p>
            <w:pPr>
              <w:jc w:val="center"/>
            </w:pPr>
            <w:r>
              <w:rPr>
                <w:sz w:val="20"/>
                <w:szCs w:val="20"/>
              </w:rPr>
              <w:t xml:space="preserve">31.71</w:t>
            </w:r>
          </w:p>
        </w:tc>
        <w:tc>
          <w:p>
            <w:pPr>
              <w:jc w:val="center"/>
            </w:pPr>
            <w:r>
              <w:rPr>
                <w:sz w:val="20"/>
                <w:szCs w:val="20"/>
              </w:rPr>
              <w:t xml:space="preserve">9.51</w:t>
            </w:r>
          </w:p>
        </w:tc>
        <w:tc>
          <w:p>
            <w:pPr>
              <w:jc w:val="center"/>
            </w:pPr>
            <w:r>
              <w:rPr>
                <w:sz w:val="20"/>
                <w:szCs w:val="20"/>
              </w:rPr>
              <w:t xml:space="preserve">14.41</w:t>
            </w:r>
          </w:p>
        </w:tc>
        <w:tc>
          <w:p>
            <w:pPr>
              <w:jc w:val="center"/>
            </w:pPr>
            <w:r>
              <w:rPr>
                <w:sz w:val="20"/>
                <w:szCs w:val="20"/>
              </w:rPr>
              <w:t xml:space="preserve">8.00</w:t>
            </w:r>
          </w:p>
        </w:tc>
        <w:tc>
          <w:p>
            <w:pPr>
              <w:jc w:val="center"/>
            </w:pPr>
            <w:r>
              <w:rPr>
                <w:sz w:val="20"/>
                <w:szCs w:val="20"/>
              </w:rPr>
              <w:t xml:space="preserve">2.166</w:t>
            </w:r>
          </w:p>
        </w:tc>
      </w:tr>
      <w:tr>
        <w:tc>
          <w:p>
            <w:pPr>
              <w:jc w:val="center"/>
            </w:pPr>
            <w:r>
              <w:rPr>
                <w:sz w:val="20"/>
                <w:szCs w:val="20"/>
              </w:rPr>
              <w:t xml:space="preserve">18</w:t>
            </w:r>
          </w:p>
        </w:tc>
        <w:tc>
          <w:p>
            <w:pPr>
              <w:jc w:val="center"/>
            </w:pPr>
            <w:r>
              <w:rPr>
                <w:sz w:val="20"/>
                <w:szCs w:val="20"/>
              </w:rPr>
              <w:t xml:space="preserve">10.00</w:t>
            </w:r>
          </w:p>
        </w:tc>
        <w:tc>
          <w:p>
            <w:pPr>
              <w:jc w:val="center"/>
            </w:pPr>
            <w:r>
              <w:rPr>
                <w:sz w:val="20"/>
                <w:szCs w:val="20"/>
              </w:rPr>
              <w:t xml:space="preserve">20.00</w:t>
            </w:r>
          </w:p>
        </w:tc>
        <w:tc>
          <w:p>
            <w:pPr>
              <w:jc w:val="center"/>
            </w:pPr>
            <w:r>
              <w:rPr>
                <w:sz w:val="20"/>
                <w:szCs w:val="20"/>
              </w:rPr>
              <w:t xml:space="preserve">35.00</w:t>
            </w:r>
          </w:p>
        </w:tc>
        <w:tc>
          <w:p>
            <w:pPr>
              <w:jc w:val="center"/>
            </w:pPr>
            <w:r>
              <w:rPr>
                <w:sz w:val="20"/>
                <w:szCs w:val="20"/>
              </w:rPr>
              <w:t xml:space="preserve">10.00</w:t>
            </w:r>
          </w:p>
        </w:tc>
        <w:tc>
          <w:p>
            <w:pPr>
              <w:jc w:val="center"/>
            </w:pPr>
            <w:r>
              <w:rPr>
                <w:sz w:val="20"/>
                <w:szCs w:val="20"/>
              </w:rPr>
              <w:t xml:space="preserve">10.00</w:t>
            </w:r>
          </w:p>
        </w:tc>
        <w:tc>
          <w:p>
            <w:pPr>
              <w:jc w:val="center"/>
            </w:pPr>
            <w:r>
              <w:rPr>
                <w:sz w:val="20"/>
                <w:szCs w:val="20"/>
              </w:rPr>
              <w:t xml:space="preserve">8.00</w:t>
            </w:r>
          </w:p>
        </w:tc>
        <w:tc>
          <w:p>
            <w:pPr>
              <w:jc w:val="center"/>
            </w:pPr>
            <w:r>
              <w:rPr>
                <w:sz w:val="20"/>
                <w:szCs w:val="20"/>
              </w:rPr>
              <w:t xml:space="preserve">2.100</w:t>
            </w:r>
          </w:p>
        </w:tc>
      </w:tr>
      <w:tr>
        <w:tc>
          <w:p>
            <w:pPr>
              <w:jc w:val="center"/>
            </w:pPr>
            <w:r>
              <w:rPr>
                <w:sz w:val="20"/>
                <w:szCs w:val="20"/>
              </w:rPr>
              <w:t xml:space="preserve">19</w:t>
            </w:r>
          </w:p>
        </w:tc>
        <w:tc>
          <w:p>
            <w:pPr>
              <w:jc w:val="center"/>
            </w:pPr>
            <w:r>
              <w:rPr>
                <w:sz w:val="20"/>
                <w:szCs w:val="20"/>
              </w:rPr>
              <w:t xml:space="preserve">10.00</w:t>
            </w:r>
          </w:p>
        </w:tc>
        <w:tc>
          <w:p>
            <w:pPr>
              <w:jc w:val="center"/>
            </w:pPr>
            <w:r>
              <w:rPr>
                <w:sz w:val="20"/>
                <w:szCs w:val="20"/>
              </w:rPr>
              <w:t xml:space="preserve">16.88</w:t>
            </w:r>
          </w:p>
        </w:tc>
        <w:tc>
          <w:p>
            <w:pPr>
              <w:jc w:val="center"/>
            </w:pPr>
            <w:r>
              <w:rPr>
                <w:sz w:val="20"/>
                <w:szCs w:val="20"/>
              </w:rPr>
              <w:t xml:space="preserve">31.33</w:t>
            </w:r>
          </w:p>
        </w:tc>
        <w:tc>
          <w:p>
            <w:pPr>
              <w:jc w:val="center"/>
            </w:pPr>
            <w:r>
              <w:rPr>
                <w:sz w:val="20"/>
                <w:szCs w:val="20"/>
              </w:rPr>
              <w:t xml:space="preserve">7.89</w:t>
            </w:r>
          </w:p>
        </w:tc>
        <w:tc>
          <w:p>
            <w:pPr>
              <w:jc w:val="center"/>
            </w:pPr>
            <w:r>
              <w:rPr>
                <w:sz w:val="20"/>
                <w:szCs w:val="20"/>
              </w:rPr>
              <w:t xml:space="preserve">18.90</w:t>
            </w:r>
          </w:p>
        </w:tc>
        <w:tc>
          <w:p>
            <w:pPr>
              <w:jc w:val="center"/>
            </w:pPr>
            <w:r>
              <w:rPr>
                <w:sz w:val="20"/>
                <w:szCs w:val="20"/>
              </w:rPr>
              <w:t xml:space="preserve">8.00</w:t>
            </w:r>
          </w:p>
        </w:tc>
        <w:tc>
          <w:p>
            <w:pPr>
              <w:jc w:val="center"/>
            </w:pPr>
            <w:r>
              <w:rPr>
                <w:sz w:val="20"/>
                <w:szCs w:val="20"/>
              </w:rPr>
              <w:t xml:space="preserve">2.461</w:t>
            </w:r>
          </w:p>
        </w:tc>
      </w:tr>
      <w:tr>
        <w:tc>
          <w:p>
            <w:pPr>
              <w:jc w:val="center"/>
            </w:pPr>
            <w:r>
              <w:rPr>
                <w:sz w:val="20"/>
                <w:szCs w:val="20"/>
              </w:rPr>
              <w:t xml:space="preserve">20</w:t>
            </w:r>
          </w:p>
        </w:tc>
        <w:tc>
          <w:p>
            <w:pPr>
              <w:jc w:val="center"/>
            </w:pPr>
            <w:r>
              <w:rPr>
                <w:sz w:val="20"/>
                <w:szCs w:val="20"/>
              </w:rPr>
              <w:t xml:space="preserve">10.00</w:t>
            </w:r>
          </w:p>
        </w:tc>
        <w:tc>
          <w:p>
            <w:pPr>
              <w:jc w:val="center"/>
            </w:pPr>
            <w:r>
              <w:rPr>
                <w:sz w:val="20"/>
                <w:szCs w:val="20"/>
              </w:rPr>
              <w:t xml:space="preserve">16.88</w:t>
            </w:r>
          </w:p>
        </w:tc>
        <w:tc>
          <w:p>
            <w:pPr>
              <w:jc w:val="center"/>
            </w:pPr>
            <w:r>
              <w:rPr>
                <w:sz w:val="20"/>
                <w:szCs w:val="20"/>
              </w:rPr>
              <w:t xml:space="preserve">31.33</w:t>
            </w:r>
          </w:p>
        </w:tc>
        <w:tc>
          <w:p>
            <w:pPr>
              <w:jc w:val="center"/>
            </w:pPr>
            <w:r>
              <w:rPr>
                <w:sz w:val="20"/>
                <w:szCs w:val="20"/>
              </w:rPr>
              <w:t xml:space="preserve">7.89</w:t>
            </w:r>
          </w:p>
        </w:tc>
        <w:tc>
          <w:p>
            <w:pPr>
              <w:jc w:val="center"/>
            </w:pPr>
            <w:r>
              <w:rPr>
                <w:sz w:val="20"/>
                <w:szCs w:val="20"/>
              </w:rPr>
              <w:t xml:space="preserve">18.90</w:t>
            </w:r>
          </w:p>
        </w:tc>
        <w:tc>
          <w:p>
            <w:pPr>
              <w:jc w:val="center"/>
            </w:pPr>
            <w:r>
              <w:rPr>
                <w:sz w:val="20"/>
                <w:szCs w:val="20"/>
              </w:rPr>
              <w:t xml:space="preserve">8.00</w:t>
            </w:r>
          </w:p>
        </w:tc>
        <w:tc>
          <w:p>
            <w:pPr>
              <w:jc w:val="center"/>
            </w:pPr>
            <w:r>
              <w:rPr>
                <w:sz w:val="20"/>
                <w:szCs w:val="20"/>
              </w:rPr>
              <w:t xml:space="preserve">2.461</w:t>
            </w:r>
          </w:p>
        </w:tc>
      </w:tr>
      <w:tr>
        <w:tc>
          <w:p>
            <w:pPr>
              <w:jc w:val="center"/>
            </w:pPr>
            <w:r>
              <w:rPr>
                <w:sz w:val="20"/>
                <w:szCs w:val="20"/>
              </w:rPr>
              <w:t xml:space="preserve">21</w:t>
            </w:r>
          </w:p>
        </w:tc>
        <w:tc>
          <w:p>
            <w:pPr>
              <w:jc w:val="center"/>
            </w:pPr>
            <w:r>
              <w:rPr>
                <w:sz w:val="20"/>
                <w:szCs w:val="20"/>
              </w:rPr>
              <w:t xml:space="preserve">10.00</w:t>
            </w:r>
          </w:p>
        </w:tc>
        <w:tc>
          <w:p>
            <w:pPr>
              <w:jc w:val="center"/>
            </w:pPr>
            <w:r>
              <w:rPr>
                <w:sz w:val="20"/>
                <w:szCs w:val="20"/>
              </w:rPr>
              <w:t xml:space="preserve">10.00</w:t>
            </w:r>
          </w:p>
        </w:tc>
        <w:tc>
          <w:p>
            <w:pPr>
              <w:jc w:val="center"/>
            </w:pPr>
            <w:r>
              <w:rPr>
                <w:sz w:val="20"/>
                <w:szCs w:val="20"/>
              </w:rPr>
              <w:t xml:space="preserve">30.00</w:t>
            </w:r>
          </w:p>
        </w:tc>
        <w:tc>
          <w:p>
            <w:pPr>
              <w:jc w:val="center"/>
            </w:pPr>
            <w:r>
              <w:rPr>
                <w:sz w:val="20"/>
                <w:szCs w:val="20"/>
              </w:rPr>
              <w:t xml:space="preserve">10.00</w:t>
            </w:r>
          </w:p>
        </w:tc>
        <w:tc>
          <w:p>
            <w:pPr>
              <w:jc w:val="center"/>
            </w:pPr>
            <w:r>
              <w:rPr>
                <w:sz w:val="20"/>
                <w:szCs w:val="20"/>
              </w:rPr>
              <w:t xml:space="preserve">25.00</w:t>
            </w:r>
          </w:p>
        </w:tc>
        <w:tc>
          <w:p>
            <w:pPr>
              <w:jc w:val="center"/>
            </w:pPr>
            <w:r>
              <w:rPr>
                <w:sz w:val="20"/>
                <w:szCs w:val="20"/>
              </w:rPr>
              <w:t xml:space="preserve">8.00</w:t>
            </w:r>
          </w:p>
        </w:tc>
        <w:tc>
          <w:p>
            <w:pPr>
              <w:jc w:val="center"/>
            </w:pPr>
            <w:r>
              <w:rPr>
                <w:sz w:val="20"/>
                <w:szCs w:val="20"/>
              </w:rPr>
              <w:t xml:space="preserve">3.650</w:t>
            </w:r>
          </w:p>
        </w:tc>
      </w:tr>
      <w:tr>
        <w:tc>
          <w:p>
            <w:pPr>
              <w:jc w:val="center"/>
            </w:pPr>
            <w:r>
              <w:rPr>
                <w:sz w:val="20"/>
                <w:szCs w:val="20"/>
              </w:rPr>
              <w:t xml:space="preserve">22</w:t>
            </w:r>
          </w:p>
        </w:tc>
        <w:tc>
          <w:p>
            <w:pPr>
              <w:jc w:val="center"/>
            </w:pPr>
            <w:r>
              <w:rPr>
                <w:sz w:val="20"/>
                <w:szCs w:val="20"/>
              </w:rPr>
              <w:t xml:space="preserve">10.00</w:t>
            </w:r>
          </w:p>
        </w:tc>
        <w:tc>
          <w:p>
            <w:pPr>
              <w:jc w:val="center"/>
            </w:pPr>
            <w:r>
              <w:rPr>
                <w:sz w:val="20"/>
                <w:szCs w:val="20"/>
              </w:rPr>
              <w:t xml:space="preserve">10.00</w:t>
            </w:r>
          </w:p>
        </w:tc>
        <w:tc>
          <w:p>
            <w:pPr>
              <w:jc w:val="center"/>
            </w:pPr>
            <w:r>
              <w:rPr>
                <w:sz w:val="20"/>
                <w:szCs w:val="20"/>
              </w:rPr>
              <w:t xml:space="preserve">34.07</w:t>
            </w:r>
          </w:p>
        </w:tc>
        <w:tc>
          <w:p>
            <w:pPr>
              <w:jc w:val="center"/>
            </w:pPr>
            <w:r>
              <w:rPr>
                <w:sz w:val="20"/>
                <w:szCs w:val="20"/>
              </w:rPr>
              <w:t xml:space="preserve">10.00</w:t>
            </w:r>
          </w:p>
        </w:tc>
        <w:tc>
          <w:p>
            <w:pPr>
              <w:jc w:val="center"/>
            </w:pPr>
            <w:r>
              <w:rPr>
                <w:sz w:val="20"/>
                <w:szCs w:val="20"/>
              </w:rPr>
              <w:t xml:space="preserve">20.93</w:t>
            </w:r>
          </w:p>
        </w:tc>
        <w:tc>
          <w:p>
            <w:pPr>
              <w:jc w:val="center"/>
            </w:pPr>
            <w:r>
              <w:rPr>
                <w:sz w:val="20"/>
                <w:szCs w:val="20"/>
              </w:rPr>
              <w:t xml:space="preserve">8.00</w:t>
            </w:r>
          </w:p>
        </w:tc>
        <w:tc>
          <w:p>
            <w:pPr>
              <w:jc w:val="center"/>
            </w:pPr>
            <w:r>
              <w:rPr>
                <w:sz w:val="20"/>
                <w:szCs w:val="20"/>
              </w:rPr>
              <w:t xml:space="preserve">3.650</w:t>
            </w:r>
          </w:p>
        </w:tc>
      </w:tr>
      <w:tr>
        <w:tc>
          <w:p>
            <w:pPr>
              <w:jc w:val="center"/>
            </w:pPr>
            <w:r>
              <w:rPr>
                <w:sz w:val="20"/>
                <w:szCs w:val="20"/>
              </w:rPr>
              <w:t xml:space="preserve">23</w:t>
            </w:r>
          </w:p>
        </w:tc>
        <w:tc>
          <w:p>
            <w:pPr>
              <w:jc w:val="center"/>
            </w:pPr>
            <w:r>
              <w:rPr>
                <w:sz w:val="20"/>
                <w:szCs w:val="20"/>
              </w:rPr>
              <w:t xml:space="preserve">7.97</w:t>
            </w:r>
          </w:p>
        </w:tc>
        <w:tc>
          <w:p>
            <w:pPr>
              <w:jc w:val="center"/>
            </w:pPr>
            <w:r>
              <w:rPr>
                <w:sz w:val="20"/>
                <w:szCs w:val="20"/>
              </w:rPr>
              <w:t xml:space="preserve">20.00</w:t>
            </w:r>
          </w:p>
        </w:tc>
        <w:tc>
          <w:p>
            <w:pPr>
              <w:jc w:val="center"/>
            </w:pPr>
            <w:r>
              <w:rPr>
                <w:sz w:val="20"/>
                <w:szCs w:val="20"/>
              </w:rPr>
              <w:t xml:space="preserve">35.00</w:t>
            </w:r>
          </w:p>
        </w:tc>
        <w:tc>
          <w:p>
            <w:pPr>
              <w:jc w:val="center"/>
            </w:pPr>
            <w:r>
              <w:rPr>
                <w:sz w:val="20"/>
                <w:szCs w:val="20"/>
              </w:rPr>
              <w:t xml:space="preserve">6.01</w:t>
            </w:r>
          </w:p>
        </w:tc>
        <w:tc>
          <w:p>
            <w:pPr>
              <w:jc w:val="center"/>
            </w:pPr>
            <w:r>
              <w:rPr>
                <w:sz w:val="20"/>
                <w:szCs w:val="20"/>
              </w:rPr>
              <w:t xml:space="preserve">16.02</w:t>
            </w:r>
          </w:p>
        </w:tc>
        <w:tc>
          <w:p>
            <w:pPr>
              <w:jc w:val="center"/>
            </w:pPr>
            <w:r>
              <w:rPr>
                <w:sz w:val="20"/>
                <w:szCs w:val="20"/>
              </w:rPr>
              <w:t xml:space="preserve">8.00</w:t>
            </w:r>
          </w:p>
        </w:tc>
        <w:tc>
          <w:p>
            <w:pPr>
              <w:jc w:val="center"/>
            </w:pPr>
            <w:r>
              <w:rPr>
                <w:sz w:val="20"/>
                <w:szCs w:val="20"/>
              </w:rPr>
              <w:t xml:space="preserve">2.326</w:t>
            </w:r>
          </w:p>
        </w:tc>
      </w:tr>
      <w:tr>
        <w:tc>
          <w:p>
            <w:pPr>
              <w:jc w:val="center"/>
            </w:pPr>
            <w:r>
              <w:rPr>
                <w:sz w:val="20"/>
                <w:szCs w:val="20"/>
              </w:rPr>
              <w:t xml:space="preserve">24</w:t>
            </w:r>
          </w:p>
        </w:tc>
        <w:tc>
          <w:p>
            <w:pPr>
              <w:jc w:val="center"/>
            </w:pPr>
            <w:r>
              <w:rPr>
                <w:sz w:val="20"/>
                <w:szCs w:val="20"/>
              </w:rPr>
              <w:t xml:space="preserve">5.00</w:t>
            </w:r>
          </w:p>
        </w:tc>
        <w:tc>
          <w:p>
            <w:pPr>
              <w:jc w:val="center"/>
            </w:pPr>
            <w:r>
              <w:rPr>
                <w:sz w:val="20"/>
                <w:szCs w:val="20"/>
              </w:rPr>
              <w:t xml:space="preserve">16.16</w:t>
            </w:r>
          </w:p>
        </w:tc>
        <w:tc>
          <w:p>
            <w:pPr>
              <w:jc w:val="center"/>
            </w:pPr>
            <w:r>
              <w:rPr>
                <w:sz w:val="20"/>
                <w:szCs w:val="20"/>
              </w:rPr>
              <w:t xml:space="preserve">35.00</w:t>
            </w:r>
          </w:p>
        </w:tc>
        <w:tc>
          <w:p>
            <w:pPr>
              <w:jc w:val="center"/>
            </w:pPr>
            <w:r>
              <w:rPr>
                <w:sz w:val="20"/>
                <w:szCs w:val="20"/>
              </w:rPr>
              <w:t xml:space="preserve">5.00</w:t>
            </w:r>
          </w:p>
        </w:tc>
        <w:tc>
          <w:p>
            <w:pPr>
              <w:jc w:val="center"/>
            </w:pPr>
            <w:r>
              <w:rPr>
                <w:sz w:val="20"/>
                <w:szCs w:val="20"/>
              </w:rPr>
              <w:t xml:space="preserve">23.84</w:t>
            </w:r>
          </w:p>
        </w:tc>
        <w:tc>
          <w:p>
            <w:pPr>
              <w:jc w:val="center"/>
            </w:pPr>
            <w:r>
              <w:rPr>
                <w:sz w:val="20"/>
                <w:szCs w:val="20"/>
              </w:rPr>
              <w:t xml:space="preserve">8.00</w:t>
            </w:r>
          </w:p>
        </w:tc>
        <w:tc>
          <w:p>
            <w:pPr>
              <w:jc w:val="center"/>
            </w:pPr>
            <w:r>
              <w:rPr>
                <w:sz w:val="20"/>
                <w:szCs w:val="20"/>
              </w:rPr>
              <w:t xml:space="preserve">3.395</w:t>
            </w:r>
          </w:p>
        </w:tc>
      </w:tr>
      <w:tr>
        <w:tc>
          <w:p>
            <w:pPr>
              <w:jc w:val="center"/>
            </w:pPr>
            <w:r>
              <w:rPr>
                <w:sz w:val="20"/>
                <w:szCs w:val="20"/>
              </w:rPr>
              <w:t xml:space="preserve">25</w:t>
            </w:r>
          </w:p>
        </w:tc>
        <w:tc>
          <w:p>
            <w:pPr>
              <w:jc w:val="center"/>
            </w:pPr>
            <w:r>
              <w:rPr>
                <w:sz w:val="20"/>
                <w:szCs w:val="20"/>
              </w:rPr>
              <w:t xml:space="preserve">5.00</w:t>
            </w:r>
          </w:p>
        </w:tc>
        <w:tc>
          <w:p>
            <w:pPr>
              <w:jc w:val="center"/>
            </w:pPr>
            <w:r>
              <w:rPr>
                <w:sz w:val="20"/>
                <w:szCs w:val="20"/>
              </w:rPr>
              <w:t xml:space="preserve">20.00</w:t>
            </w:r>
          </w:p>
        </w:tc>
        <w:tc>
          <w:p>
            <w:pPr>
              <w:jc w:val="center"/>
            </w:pPr>
            <w:r>
              <w:rPr>
                <w:sz w:val="20"/>
                <w:szCs w:val="20"/>
              </w:rPr>
              <w:t xml:space="preserve">35.00</w:t>
            </w:r>
          </w:p>
        </w:tc>
        <w:tc>
          <w:p>
            <w:pPr>
              <w:jc w:val="center"/>
            </w:pPr>
            <w:r>
              <w:rPr>
                <w:sz w:val="20"/>
                <w:szCs w:val="20"/>
              </w:rPr>
              <w:t xml:space="preserve">9.30</w:t>
            </w:r>
          </w:p>
        </w:tc>
        <w:tc>
          <w:p>
            <w:pPr>
              <w:jc w:val="center"/>
            </w:pPr>
            <w:r>
              <w:rPr>
                <w:sz w:val="20"/>
                <w:szCs w:val="20"/>
              </w:rPr>
              <w:t xml:space="preserve">15.70</w:t>
            </w:r>
          </w:p>
        </w:tc>
        <w:tc>
          <w:p>
            <w:pPr>
              <w:jc w:val="center"/>
            </w:pPr>
            <w:r>
              <w:rPr>
                <w:sz w:val="20"/>
                <w:szCs w:val="20"/>
              </w:rPr>
              <w:t xml:space="preserve">8.00</w:t>
            </w:r>
          </w:p>
        </w:tc>
        <w:tc>
          <w:p>
            <w:pPr>
              <w:jc w:val="center"/>
            </w:pPr>
            <w:r>
              <w:rPr>
                <w:sz w:val="20"/>
                <w:szCs w:val="20"/>
              </w:rPr>
              <w:t xml:space="preserve">2.720</w:t>
            </w:r>
          </w:p>
        </w:tc>
      </w:tr>
    </w:tbl>
    <w:p>
      <w:pPr>
        <w:jc w:val="both"/>
      </w:pPr>
      <w:r>
        <w:rPr>
          <w:sz w:val="24"/>
          <w:szCs w:val="24"/>
          <w:rFonts w:ascii="Times New Roman" w:hAnsi="Times New Roman"/>
        </w:rPr>
        <w:t xml:space="preserve"/>
      </w:r>
    </w:p>
    <w:p>
      <w:pPr>
        <w:pStyle w:val="Heading3"/>
        <w:jc w:val="both"/>
      </w:pPr>
      <w:r>
        <w:rPr>
          <w:b/>
          <w:sz w:val="26"/>
          <w:szCs w:val="26"/>
          <w:rFonts w:ascii="Times New Roman" w:hAnsi="Times New Roman"/>
        </w:rPr>
        <w:t xml:space="preserve">4.1.2. Selection of SAW Process Parameters</w:t>
      </w:r>
    </w:p>
    <w:p>
      <w:pPr>
        <w:jc w:val="both"/>
      </w:pPr>
      <w:r>
        <w:rPr>
          <w:sz w:val="24"/>
          <w:szCs w:val="24"/>
          <w:rFonts w:ascii="Times New Roman" w:hAnsi="Times New Roman"/>
        </w:rPr>
        <w:t xml:space="preserve">For the multipass bead-on-plate experimentation, the welding parameters were carefully selected based on pre-trial tests. Murugan and Gunaraj [41] established guidelines for prediction and control of weld bead geometry in submerged arc welding of pipes. A single-wire submerged arc welding (SAW) machine was utilized, with a welding current of 230 A, arc voltage of 25 V and welding speed of 8 inches/min (3.39 mm/s). The choice of these parameters was based on the pre-trial tests to determine bead profile consistency, slag detachability and freedom from surface defects like undercut or over reinforcement [42].</w:t>
      </w:r>
    </w:p>
    <w:p>
      <w:pPr>
        <w:jc w:val="both"/>
      </w:pPr>
      <w:r>
        <w:rPr>
          <w:sz w:val="24"/>
          <w:szCs w:val="24"/>
          <w:rFonts w:ascii="Times New Roman" w:hAnsi="Times New Roman"/>
        </w:rPr>
        <w:t xml:space="preserve"/>
      </w:r>
    </w:p>
    <w:p>
      <w:pPr>
        <w:jc w:val="both"/>
      </w:pPr>
      <w:r>
        <w:rPr>
          <w:sz w:val="24"/>
          <w:szCs w:val="24"/>
          <w:rFonts w:ascii="Times New Roman" w:hAnsi="Times New Roman"/>
        </w:rPr>
        <w:t xml:space="preserve">The heat input was calculated with the help of the standard formula given by Kou [35]:</w:t>
      </w:r>
    </w:p>
    <w:p>
      <w:pPr>
        <w:jc w:val="center"/>
      </w:pPr>
      <w:r>
        <w:rPr>
          <w:sz w:val="24"/>
          <w:szCs w:val="24"/>
          <w:rFonts w:ascii="Times New Roman" w:hAnsi="Times New Roman"/>
        </w:rPr>
        <w:t xml:space="preserve">Heat Input (HI) = (V × I × 60 / S) × η ... (Equation 4.4)</w:t>
      </w:r>
    </w:p>
    <w:p>
      <w:pPr>
        <w:jc w:val="both"/>
      </w:pPr>
      <w:r>
        <w:rPr>
          <w:sz w:val="24"/>
          <w:szCs w:val="24"/>
          <w:rFonts w:ascii="Times New Roman" w:hAnsi="Times New Roman"/>
        </w:rPr>
        <w:t xml:space="preserve">Where V is the welding voltage, I is the welding current, S is the welding speed, and η is the arc efficiency (η = 0.75). Heat input value of about 1.02 kJ/mm was obtained, which is within the recommended range of 0.8-2.5 kJ/mm for X70 pipeline steel welding to prevent excessive coarsening of the heat-affected zone and to guarantee full flux melting and sufficient reaction time of slag-metal [43, 44].</w:t>
      </w:r>
    </w:p>
    <w:p>
      <w:pPr>
        <w:jc w:val="both"/>
      </w:pPr>
      <w:r>
        <w:rPr>
          <w:sz w:val="24"/>
          <w:szCs w:val="24"/>
          <w:rFonts w:ascii="Times New Roman" w:hAnsi="Times New Roman"/>
        </w:rPr>
        <w:t xml:space="preserve"/>
      </w:r>
    </w:p>
    <w:p>
      <w:pPr>
        <w:jc w:val="both"/>
      </w:pPr>
      <w:r>
        <w:rPr>
          <w:sz w:val="24"/>
          <w:szCs w:val="24"/>
          <w:rFonts w:ascii="Times New Roman" w:hAnsi="Times New Roman"/>
        </w:rPr>
        <w:t xml:space="preserve">EA2TiB filler wire with 2.4 mm diameter was utilized and no extra cold feed wire, because the rate of wire feed was kept constant to ensure the same amount of metal could be deposited in all the 25 flux formulations [45]. Using laboratory prepared basic fluxes, twenty five multi-pass SAW weld beads (flat position configuration) were deposited on API X70 pipeline steel plates having 16 mm thickness. No edge preparation was done for bead-on-plate experimentation. API X70 with specified minimum yield strength of 485 MPa provides an excellent combination of strength, ductility and weldability for high pressure transmission lines [46, 47].</w:t>
      </w:r>
    </w:p>
    <w:p>
      <w:pPr>
        <w:jc w:val="both"/>
      </w:pPr>
      <w:r>
        <w:rPr>
          <w:sz w:val="24"/>
          <w:szCs w:val="24"/>
          <w:rFonts w:ascii="Times New Roman" w:hAnsi="Times New Roman"/>
        </w:rPr>
        <w:t xml:space="preserve"/>
      </w:r>
    </w:p>
    <w:p>
      <w:pPr>
        <w:jc w:val="both"/>
      </w:pPr>
      <w:r>
        <w:rPr>
          <w:sz w:val="24"/>
          <w:szCs w:val="24"/>
          <w:rFonts w:ascii="Times New Roman" w:hAnsi="Times New Roman"/>
        </w:rPr>
        <w:t xml:space="preserve">The weld passes were deposited as a multipass bead to each flux composition and in each case, five passes were deposited over the bead. The interpass temperature was rigorously kept at 120°C to 150°C and monitored at 25 mm distance of contact thermocouple sensor position relative to the centerline of the weld bead. This was a comparatively low level of interpass temperature to ensure that no coarse grains or martensite would form in the multipass weld metal, and that significant acicular ferrite microstructure would be obtained [48, 49].</w:t>
      </w:r>
    </w:p>
    <w:p>
      <w:pPr>
        <w:jc w:val="both"/>
      </w:pPr>
      <w:r>
        <w:rPr>
          <w:sz w:val="24"/>
          <w:szCs w:val="24"/>
          <w:rFonts w:ascii="Times New Roman" w:hAnsi="Times New Roman"/>
        </w:rPr>
        <w:t xml:space="preserve"/>
      </w:r>
    </w:p>
    <w:p>
      <w:pPr>
        <w:jc w:val="center"/>
      </w:pPr>
      <w:r>
        <w:rPr>
          <w:b/>
          <w:sz w:val="22"/>
          <w:szCs w:val="22"/>
          <w:rFonts w:ascii="Times New Roman" w:hAnsi="Times New Roman"/>
        </w:rPr>
        <w:t xml:space="preserve">Table 4.3: Chemical composition of base metal and filler wire</w:t>
      </w:r>
    </w:p>
    <w:tbl>
      <w:tblPr>
        <w:tblStyle w:val="TableGrid"/>
        <w:tblW w:w="5000" w:type="pct"/>
        <w:tblBorders>
          <w:top w:val="single" w:sz="4"/>
          <w:bottom w:val="single" w:sz="4"/>
          <w:left w:val="single" w:sz="4"/>
          <w:right w:val="single" w:sz="4"/>
          <w:insideH w:val="single" w:sz="4"/>
          <w:insideV w:val="single" w:sz="4"/>
        </w:tblBorders>
      </w:tblPr>
      <w:tr>
        <w:tc>
          <w:p>
            <w:pPr>
              <w:jc w:val="center"/>
            </w:pPr>
            <w:r>
              <w:rPr>
                <w:b/>
                <w:sz w:val="20"/>
                <w:szCs w:val="20"/>
              </w:rPr>
              <w:t xml:space="preserve">Material</w:t>
            </w:r>
          </w:p>
        </w:tc>
        <w:tc>
          <w:p>
            <w:pPr>
              <w:jc w:val="center"/>
            </w:pPr>
            <w:r>
              <w:rPr>
                <w:b/>
                <w:sz w:val="20"/>
                <w:szCs w:val="20"/>
              </w:rPr>
              <w:t xml:space="preserve">C</w:t>
            </w:r>
          </w:p>
        </w:tc>
        <w:tc>
          <w:p>
            <w:pPr>
              <w:jc w:val="center"/>
            </w:pPr>
            <w:r>
              <w:rPr>
                <w:b/>
                <w:sz w:val="20"/>
                <w:szCs w:val="20"/>
              </w:rPr>
              <w:t xml:space="preserve">Si</w:t>
            </w:r>
          </w:p>
        </w:tc>
        <w:tc>
          <w:p>
            <w:pPr>
              <w:jc w:val="center"/>
            </w:pPr>
            <w:r>
              <w:rPr>
                <w:b/>
                <w:sz w:val="20"/>
                <w:szCs w:val="20"/>
              </w:rPr>
              <w:t xml:space="preserve">Mn</w:t>
            </w:r>
          </w:p>
        </w:tc>
        <w:tc>
          <w:p>
            <w:pPr>
              <w:jc w:val="center"/>
            </w:pPr>
            <w:r>
              <w:rPr>
                <w:b/>
                <w:sz w:val="20"/>
                <w:szCs w:val="20"/>
              </w:rPr>
              <w:t xml:space="preserve">P</w:t>
            </w:r>
          </w:p>
        </w:tc>
        <w:tc>
          <w:p>
            <w:pPr>
              <w:jc w:val="center"/>
            </w:pPr>
            <w:r>
              <w:rPr>
                <w:b/>
                <w:sz w:val="20"/>
                <w:szCs w:val="20"/>
              </w:rPr>
              <w:t xml:space="preserve">S</w:t>
            </w:r>
          </w:p>
        </w:tc>
        <w:tc>
          <w:p>
            <w:pPr>
              <w:jc w:val="center"/>
            </w:pPr>
            <w:r>
              <w:rPr>
                <w:b/>
                <w:sz w:val="20"/>
                <w:szCs w:val="20"/>
              </w:rPr>
              <w:t xml:space="preserve">Mo</w:t>
            </w:r>
          </w:p>
        </w:tc>
        <w:tc>
          <w:p>
            <w:pPr>
              <w:jc w:val="center"/>
            </w:pPr>
            <w:r>
              <w:rPr>
                <w:b/>
                <w:sz w:val="20"/>
                <w:szCs w:val="20"/>
              </w:rPr>
              <w:t xml:space="preserve">Ni</w:t>
            </w:r>
          </w:p>
        </w:tc>
        <w:tc>
          <w:p>
            <w:pPr>
              <w:jc w:val="center"/>
            </w:pPr>
            <w:r>
              <w:rPr>
                <w:b/>
                <w:sz w:val="20"/>
                <w:szCs w:val="20"/>
              </w:rPr>
              <w:t xml:space="preserve">Cr</w:t>
            </w:r>
          </w:p>
        </w:tc>
        <w:tc>
          <w:p>
            <w:pPr>
              <w:jc w:val="center"/>
            </w:pPr>
            <w:r>
              <w:rPr>
                <w:b/>
                <w:sz w:val="20"/>
                <w:szCs w:val="20"/>
              </w:rPr>
              <w:t xml:space="preserve">Fe</w:t>
            </w:r>
          </w:p>
        </w:tc>
      </w:tr>
      <w:tr>
        <w:tc>
          <w:p>
            <w:pPr>
              <w:jc w:val="center"/>
            </w:pPr>
            <w:r>
              <w:rPr>
                <w:sz w:val="20"/>
                <w:szCs w:val="20"/>
              </w:rPr>
              <w:t xml:space="preserve">BM (X70)</w:t>
            </w:r>
          </w:p>
        </w:tc>
        <w:tc>
          <w:p>
            <w:pPr>
              <w:jc w:val="center"/>
            </w:pPr>
            <w:r>
              <w:rPr>
                <w:sz w:val="20"/>
                <w:szCs w:val="20"/>
              </w:rPr>
              <w:t xml:space="preserve">0.058</w:t>
            </w:r>
          </w:p>
        </w:tc>
        <w:tc>
          <w:p>
            <w:pPr>
              <w:jc w:val="center"/>
            </w:pPr>
            <w:r>
              <w:rPr>
                <w:sz w:val="20"/>
                <w:szCs w:val="20"/>
              </w:rPr>
              <w:t xml:space="preserve">0.331</w:t>
            </w:r>
          </w:p>
        </w:tc>
        <w:tc>
          <w:p>
            <w:pPr>
              <w:jc w:val="center"/>
            </w:pPr>
            <w:r>
              <w:rPr>
                <w:sz w:val="20"/>
                <w:szCs w:val="20"/>
              </w:rPr>
              <w:t xml:space="preserve">1.590</w:t>
            </w:r>
          </w:p>
        </w:tc>
        <w:tc>
          <w:p>
            <w:pPr>
              <w:jc w:val="center"/>
            </w:pPr>
            <w:r>
              <w:rPr>
                <w:sz w:val="20"/>
                <w:szCs w:val="20"/>
              </w:rPr>
              <w:t xml:space="preserve">0.006</w:t>
            </w:r>
          </w:p>
        </w:tc>
        <w:tc>
          <w:p>
            <w:pPr>
              <w:jc w:val="center"/>
            </w:pPr>
            <w:r>
              <w:rPr>
                <w:sz w:val="20"/>
                <w:szCs w:val="20"/>
              </w:rPr>
              <w:t xml:space="preserve">0.002</w:t>
            </w:r>
          </w:p>
        </w:tc>
        <w:tc>
          <w:p>
            <w:pPr>
              <w:jc w:val="center"/>
            </w:pPr>
            <w:r>
              <w:rPr>
                <w:sz w:val="20"/>
                <w:szCs w:val="20"/>
              </w:rPr>
              <w:t xml:space="preserve">0.003</w:t>
            </w:r>
          </w:p>
        </w:tc>
        <w:tc>
          <w:p>
            <w:pPr>
              <w:jc w:val="center"/>
            </w:pPr>
            <w:r>
              <w:rPr>
                <w:sz w:val="20"/>
                <w:szCs w:val="20"/>
              </w:rPr>
              <w:t xml:space="preserve">0.219</w:t>
            </w:r>
          </w:p>
        </w:tc>
        <w:tc>
          <w:p>
            <w:pPr>
              <w:jc w:val="center"/>
            </w:pPr>
            <w:r>
              <w:rPr>
                <w:sz w:val="20"/>
                <w:szCs w:val="20"/>
              </w:rPr>
              <w:t xml:space="preserve">0.007</w:t>
            </w:r>
          </w:p>
        </w:tc>
        <w:tc>
          <w:p>
            <w:pPr>
              <w:jc w:val="center"/>
            </w:pPr>
            <w:r>
              <w:rPr>
                <w:sz w:val="20"/>
                <w:szCs w:val="20"/>
              </w:rPr>
              <w:t xml:space="preserve">98.1</w:t>
            </w:r>
          </w:p>
        </w:tc>
      </w:tr>
      <w:tr>
        <w:tc>
          <w:p>
            <w:pPr>
              <w:jc w:val="center"/>
            </w:pPr>
            <w:r>
              <w:rPr>
                <w:sz w:val="20"/>
                <w:szCs w:val="20"/>
              </w:rPr>
              <w:t xml:space="preserve">FW (EA2TiB)</w:t>
            </w:r>
          </w:p>
        </w:tc>
        <w:tc>
          <w:p>
            <w:pPr>
              <w:jc w:val="center"/>
            </w:pPr>
            <w:r>
              <w:rPr>
                <w:sz w:val="20"/>
                <w:szCs w:val="20"/>
              </w:rPr>
              <w:t xml:space="preserve">0.03</w:t>
            </w:r>
          </w:p>
        </w:tc>
        <w:tc>
          <w:p>
            <w:pPr>
              <w:jc w:val="center"/>
            </w:pPr>
            <w:r>
              <w:rPr>
                <w:sz w:val="20"/>
                <w:szCs w:val="20"/>
              </w:rPr>
              <w:t xml:space="preserve">0.078</w:t>
            </w:r>
          </w:p>
        </w:tc>
        <w:tc>
          <w:p>
            <w:pPr>
              <w:jc w:val="center"/>
            </w:pPr>
            <w:r>
              <w:rPr>
                <w:sz w:val="20"/>
                <w:szCs w:val="20"/>
              </w:rPr>
              <w:t xml:space="preserve">0.781</w:t>
            </w:r>
          </w:p>
        </w:tc>
        <w:tc>
          <w:p>
            <w:pPr>
              <w:jc w:val="center"/>
            </w:pPr>
            <w:r>
              <w:rPr>
                <w:sz w:val="20"/>
                <w:szCs w:val="20"/>
              </w:rPr>
              <w:t xml:space="preserve">0.020</w:t>
            </w:r>
          </w:p>
        </w:tc>
        <w:tc>
          <w:p>
            <w:pPr>
              <w:jc w:val="center"/>
            </w:pPr>
            <w:r>
              <w:rPr>
                <w:sz w:val="20"/>
                <w:szCs w:val="20"/>
              </w:rPr>
              <w:t xml:space="preserve">0.005</w:t>
            </w:r>
          </w:p>
        </w:tc>
        <w:tc>
          <w:p>
            <w:pPr>
              <w:jc w:val="center"/>
            </w:pPr>
            <w:r>
              <w:rPr>
                <w:sz w:val="20"/>
                <w:szCs w:val="20"/>
              </w:rPr>
              <w:t xml:space="preserve">0.317</w:t>
            </w:r>
          </w:p>
        </w:tc>
        <w:tc>
          <w:p>
            <w:pPr>
              <w:jc w:val="center"/>
            </w:pPr>
            <w:r>
              <w:rPr>
                <w:sz w:val="20"/>
                <w:szCs w:val="20"/>
              </w:rPr>
              <w:t xml:space="preserve">0.090</w:t>
            </w:r>
          </w:p>
        </w:tc>
        <w:tc>
          <w:p>
            <w:pPr>
              <w:jc w:val="center"/>
            </w:pPr>
            <w:r>
              <w:rPr>
                <w:sz w:val="20"/>
                <w:szCs w:val="20"/>
              </w:rPr>
              <w:t xml:space="preserve">0.042</w:t>
            </w:r>
          </w:p>
        </w:tc>
        <w:tc>
          <w:p>
            <w:pPr>
              <w:jc w:val="center"/>
            </w:pPr>
            <w:r>
              <w:rPr>
                <w:sz w:val="20"/>
                <w:szCs w:val="20"/>
              </w:rPr>
              <w:t xml:space="preserve">98.8</w:t>
            </w:r>
          </w:p>
        </w:tc>
      </w:tr>
    </w:tbl>
    <w:p>
      <w:pPr>
        <w:jc w:val="both"/>
      </w:pPr>
      <w:r>
        <w:rPr>
          <w:sz w:val="24"/>
          <w:szCs w:val="24"/>
          <w:rFonts w:ascii="Times New Roman" w:hAnsi="Times New Roman"/>
        </w:rPr>
        <w:t xml:space="preserve"/>
      </w:r>
    </w:p>
    <w:p>
      <w:pPr>
        <w:pStyle w:val="Heading2"/>
        <w:jc w:val="both"/>
      </w:pPr>
      <w:r>
        <w:rPr>
          <w:b/>
          <w:sz w:val="28"/>
          <w:szCs w:val="28"/>
          <w:rFonts w:ascii="Times New Roman" w:hAnsi="Times New Roman"/>
        </w:rPr>
        <w:t xml:space="preserve">4.2. SAW Flux Preparation</w:t>
      </w:r>
    </w:p>
    <w:p>
      <w:pPr>
        <w:jc w:val="both"/>
      </w:pPr>
      <w:r>
        <w:rPr>
          <w:sz w:val="24"/>
          <w:szCs w:val="24"/>
          <w:rFonts w:ascii="Times New Roman" w:hAnsi="Times New Roman"/>
        </w:rPr>
        <w:t xml:space="preserve">The preparation of agglomerated fluxes followed a systematic and reproducible procedure, consistent with established practices in flux development [22, 50]. The agglomerated fluxes were prepared in the laboratory and each constituent was milled separately to a particle size less than 45 µm (passing through a 325-mesh sieve). This was done to develop a homogenous flux mixture, to ensure consistent melting during submerged arc welding [51]. Roy and Sen [52] established that this particle size range provides optimal tapped density in granular flux materials. This particle size was selected due to its maximum contact surface area of individual flux constituent, uniform distribution of binder and its ideal agglomeration, thus eliminating segregation of high-density oxides like BaO and MnO throughout handling and the welding process [53].</w:t>
      </w:r>
    </w:p>
    <w:p>
      <w:pPr>
        <w:jc w:val="both"/>
      </w:pPr>
      <w:r>
        <w:rPr>
          <w:sz w:val="24"/>
          <w:szCs w:val="24"/>
          <w:rFonts w:ascii="Times New Roman" w:hAnsi="Times New Roman"/>
        </w:rPr>
        <w:t xml:space="preserve"/>
      </w:r>
    </w:p>
    <w:p>
      <w:pPr>
        <w:jc w:val="both"/>
      </w:pPr>
      <w:r>
        <w:rPr>
          <w:sz w:val="24"/>
          <w:szCs w:val="24"/>
          <w:rFonts w:ascii="Times New Roman" w:hAnsi="Times New Roman"/>
        </w:rPr>
        <w:t xml:space="preserve">Following the weighing of the mineral components based on the design matrix (Table 4.2), the powders were combined in a turbula mixer for 30 minutes to achieve a homogeneous mixture. The inorganic binder was a potassium silicate solution at 5 wt.% of the total batch mass (K₂SiO₃) [22]. The binder was diluted in distilled water at 1:3 ratio to lower the viscosity and was then gradually poured into the powdered mixture, with continual stirring to homogenize the whole flux mixture [54]. After uniformly homogenizing the flux mixture, a 1.0 mm sieve was used to form the wet mixture into green agglomerates, which were then dried in an oven at 100°C for 2 hours to remove the absorbed moisture before cracking [55].</w:t>
      </w:r>
    </w:p>
    <w:p>
      <w:pPr>
        <w:jc w:val="both"/>
      </w:pPr>
      <w:r>
        <w:rPr>
          <w:sz w:val="24"/>
          <w:szCs w:val="24"/>
          <w:rFonts w:ascii="Times New Roman" w:hAnsi="Times New Roman"/>
        </w:rPr>
        <w:t xml:space="preserve"/>
      </w:r>
    </w:p>
    <w:p>
      <w:pPr>
        <w:jc w:val="both"/>
      </w:pPr>
      <w:r>
        <w:rPr>
          <w:sz w:val="24"/>
          <w:szCs w:val="24"/>
          <w:rFonts w:ascii="Times New Roman" w:hAnsi="Times New Roman"/>
        </w:rPr>
        <w:t xml:space="preserve">The agglomerates were then crushed and sieved to reach a final particle size distribution of 0.5 mm to 1.4 mm (ASTM 14-35 mesh) [56]. The sieved fluxes were placed in sealed jars at 120°C overnight before welding to remove all remaining hydroxyl groups, thus reducing the chances of hydrogen-induced cracking in the multipass welded SAW beads [57, 58]. Waris and Chhibber [59] demonstrated that proper flux drying significantly reduces diffusible hydrogen content in SAW weld metal.</w:t>
      </w:r>
    </w:p>
    <w:p>
      <w:pPr>
        <w:jc w:val="both"/>
      </w:pPr>
      <w:r>
        <w:rPr>
          <w:sz w:val="24"/>
          <w:szCs w:val="24"/>
          <w:rFonts w:ascii="Times New Roman" w:hAnsi="Times New Roman"/>
        </w:rPr>
        <w:t xml:space="preserve"/>
      </w:r>
    </w:p>
    <w:p>
      <w:pPr>
        <w:jc w:val="both"/>
      </w:pPr>
      <w:r>
        <w:rPr>
          <w:sz w:val="24"/>
          <w:szCs w:val="24"/>
          <w:rFonts w:ascii="Times New Roman" w:hAnsi="Times New Roman"/>
        </w:rPr>
        <w:t xml:space="preserve">After the multi-pass bead-on-plate experimentation, twenty-five different beads were visually examined, as shown in Figure 4.2, to observe the bead morphology, presence or absence of porosity, and the ease of slag detachability [60]. Pandey et al. [61] established that submerged arc welding parameters and fluxes significantly affect element transfer behaviour and weld-metal chemistry.</w:t>
      </w:r>
    </w:p>
    <w:p>
      <w:pPr>
        <w:jc w:val="both"/>
      </w:pPr>
      <w:r>
        <w:rPr>
          <w:sz w:val="24"/>
          <w:szCs w:val="24"/>
          <w:rFonts w:ascii="Times New Roman" w:hAnsi="Times New Roman"/>
        </w:rPr>
        <w:t xml:space="preserve"/>
      </w:r>
    </w:p>
    <w:p>
      <w:pPr>
        <w:jc w:val="center"/>
      </w:pPr>
      <w:r>
        <w:drawing>
          <wp:inline xmlns:wp="http://schemas.openxmlformats.org/drawingml/2006/wordprocessingDrawing" distT="0" distB="0" distL="0" distR="0">
            <wp:extent cx="5400000" cy="4050000"/>
            <wp:docPr id="1" name="Picture"/>
            <a:graphic xmlns:a="http://schemas.openxmlformats.org/drawingml/2006/main">
              <a:graphicData uri="http://schemas.openxmlformats.org/drawingml/2006/picture">
                <pic:pic xmlns:pic="http://schemas.openxmlformats.org/drawingml/2006/picture">
                  <pic:nvPicPr>
                    <pic:cNvPr id="0" name="img"/>
                    <pic:cNvPicPr/>
                  </pic:nvPicPr>
                  <pic:blipFill>
                    <a:blip xmlns:r="http://schemas.openxmlformats.org/officeDocument/2006/relationships" r:embed="rId8"/>
                    <a:stretch>
                      <a:fillRect/>
                    </a:stretch>
                  </pic:blipFill>
                  <pic:spPr>
                    <a:xfrm>
                      <a:off x="0" y="0"/>
                      <a:ext cx="5400000" cy="4050000"/>
                    </a:xfrm>
                    <a:prstGeom prst="rect">
                      <a:avLst/>
                    </a:prstGeom>
                  </pic:spPr>
                </pic:pic>
              </a:graphicData>
            </a:graphic>
          </wp:inline>
        </w:drawing>
      </w:r>
    </w:p>
    <w:p>
      <w:pPr>
        <w:jc w:val="center"/>
      </w:pPr>
      <w:r>
        <w:rPr>
          <w:b/>
          <w:sz w:val="20"/>
          <w:szCs w:val="20"/>
          <w:rFonts w:ascii="Times New Roman" w:hAnsi="Times New Roman"/>
        </w:rPr>
        <w:t xml:space="preserve">Figure 4.2: Twenty five multi-pass SAW beads deposited on API X70 pipeline steel plate</w:t>
      </w:r>
    </w:p>
    <w:p>
      <w:pPr>
        <w:jc w:val="both"/>
      </w:pPr>
      <w:r>
        <w:rPr>
          <w:sz w:val="24"/>
          <w:szCs w:val="24"/>
          <w:rFonts w:ascii="Times New Roman" w:hAnsi="Times New Roman"/>
        </w:rPr>
        <w:t xml:space="preserve"/>
      </w:r>
    </w:p>
    <w:p>
      <w:pPr>
        <w:pStyle w:val="Heading2"/>
        <w:jc w:val="both"/>
      </w:pPr>
      <w:r>
        <w:rPr>
          <w:b/>
          <w:sz w:val="28"/>
          <w:szCs w:val="28"/>
          <w:rFonts w:ascii="Times New Roman" w:hAnsi="Times New Roman"/>
        </w:rPr>
        <w:t xml:space="preserve">4.3. Characterization of Physicochemical and Thermophysical Properties of SAW Fluxes</w:t>
      </w:r>
    </w:p>
    <w:p>
      <w:pPr>
        <w:jc w:val="both"/>
      </w:pPr>
      <w:r>
        <w:rPr>
          <w:sz w:val="24"/>
          <w:szCs w:val="24"/>
          <w:rFonts w:ascii="Times New Roman" w:hAnsi="Times New Roman"/>
        </w:rPr>
        <w:t xml:space="preserve">The comprehensive characterization of all 25 flux formulations involved the measurement of density, thermal properties (thermal conductivity, thermal diffusivity, and specific heat capacity), phase analysis through X-ray diffraction (XRD), and structural analysis through Fourier Transform Infrared (FTIR) spectroscopy [62, 63]. Omar and Li [64] emphasized that comprehensive characterization methods are essential for understanding the performance of welding fluxes. Chen and Huang [65] established that structure-property relationships in welding materials provide the scientific basis for flux optimization.</w:t>
      </w:r>
    </w:p>
    <w:p>
      <w:pPr>
        <w:jc w:val="both"/>
      </w:pPr>
      <w:r>
        <w:rPr>
          <w:sz w:val="24"/>
          <w:szCs w:val="24"/>
          <w:rFonts w:ascii="Times New Roman" w:hAnsi="Times New Roman"/>
        </w:rPr>
        <w:t xml:space="preserve"/>
      </w:r>
    </w:p>
    <w:p>
      <w:pPr>
        <w:pStyle w:val="Heading3"/>
        <w:jc w:val="both"/>
      </w:pPr>
      <w:r>
        <w:rPr>
          <w:b/>
          <w:sz w:val="26"/>
          <w:szCs w:val="26"/>
          <w:rFonts w:ascii="Times New Roman" w:hAnsi="Times New Roman"/>
        </w:rPr>
        <w:t xml:space="preserve">4.3.1. Measurement of Density of Fluxes</w:t>
      </w:r>
    </w:p>
    <w:p>
      <w:pPr>
        <w:jc w:val="both"/>
      </w:pPr>
      <w:r>
        <w:rPr>
          <w:sz w:val="24"/>
          <w:szCs w:val="24"/>
          <w:rFonts w:ascii="Times New Roman" w:hAnsi="Times New Roman"/>
        </w:rPr>
        <w:t xml:space="preserve">The density measurements were made using tapped-density methodology, in which the flux powders have been placed into known cylindrical flasks (10 mL) with a known set of tapping, which ensures the uniformity of the particle distribution, and finally weighed using precise analytical balances [52]. The bulk density is a key property of flux flow ability and slag coverage [66]. Density calculation followed Equation (4.5):</w:t>
      </w:r>
    </w:p>
    <w:p>
      <w:pPr>
        <w:jc w:val="center"/>
      </w:pPr>
      <w:r>
        <w:rPr>
          <w:sz w:val="24"/>
          <w:szCs w:val="24"/>
          <w:rFonts w:ascii="Times New Roman" w:hAnsi="Times New Roman"/>
        </w:rPr>
        <w:t xml:space="preserve">ρ = Mass / Volume ... (Equation 4.5)</w:t>
      </w:r>
    </w:p>
    <w:p>
      <w:pPr>
        <w:jc w:val="both"/>
      </w:pPr>
      <w:r>
        <w:rPr>
          <w:sz w:val="24"/>
          <w:szCs w:val="24"/>
          <w:rFonts w:ascii="Times New Roman" w:hAnsi="Times New Roman"/>
        </w:rPr>
        <w:t xml:space="preserve"/>
      </w:r>
    </w:p>
    <w:p>
      <w:pPr>
        <w:jc w:val="both"/>
      </w:pPr>
      <w:r>
        <w:rPr>
          <w:sz w:val="24"/>
          <w:szCs w:val="24"/>
          <w:rFonts w:ascii="Times New Roman" w:hAnsi="Times New Roman"/>
        </w:rPr>
        <w:t xml:space="preserve">The thermophysical characterization of the 25 different SAW flux formulations showed a density range of 1.40 to 1.54 g/cm³ (Figure 4.3a), which shows good correlation with the literature values of such multicomponent flux systems [67]. Similar density range of 1.35-1.58 g/cm³ was reported by Sharma and Chhibber [68] in the CaO-SiO₂-CaF₂ flux system, and 1.42-1.56 g/cm³ was reported for TiO₂-SiO₂-MgO systems by Kowalski and Nowak [69].</w:t>
      </w:r>
    </w:p>
    <w:p>
      <w:pPr>
        <w:jc w:val="both"/>
      </w:pPr>
      <w:r>
        <w:rPr>
          <w:sz w:val="24"/>
          <w:szCs w:val="24"/>
          <w:rFonts w:ascii="Times New Roman" w:hAnsi="Times New Roman"/>
        </w:rPr>
        <w:t xml:space="preserve"/>
      </w:r>
    </w:p>
    <w:p>
      <w:pPr>
        <w:jc w:val="both"/>
      </w:pPr>
      <w:r>
        <w:rPr>
          <w:sz w:val="24"/>
          <w:szCs w:val="24"/>
          <w:rFonts w:ascii="Times New Roman" w:hAnsi="Times New Roman"/>
        </w:rPr>
        <w:t xml:space="preserve">Formulations enriched in high-density oxides such as BaO (ρ = 5.72 g/cm³) and MnO (ρ = 5.03 g/cm³) exhibited maximum density values (Flux 14–Flux 16 and Flux 23–Flux 25), consistent with theoretical predictions based on rule-of-mixtures calculations [70]. Singh et al. [71] demonstrated similar trends with R² correlation coefficients exceeding 0.85 between oxide density and flux bulk density. Conversely, silica-dominated (SiO₂, ρ = 2.65 g/cm³) and fluorspar-rich (CaF₂, ρ = 3.18 g/cm³) compositions displayed lower bulk densities (Flux 1–Flux 6). The mean density of 1.48 ± 0.04 g/cm³ lies in the optimal range determined by Kumar et al. [72], who found that SAW fluxes with density of 1.4-1.6 g/cm³ possess the best arc stability and slag detachability. The close density structure (coefficient of variation = 2.7%) points towards low porosity and high manufacturing reproducibility [73].</w:t>
      </w:r>
    </w:p>
    <w:p>
      <w:pPr>
        <w:jc w:val="both"/>
      </w:pPr>
      <w:r>
        <w:rPr>
          <w:sz w:val="24"/>
          <w:szCs w:val="24"/>
          <w:rFonts w:ascii="Times New Roman" w:hAnsi="Times New Roman"/>
        </w:rPr>
        <w:t xml:space="preserve"/>
      </w:r>
    </w:p>
    <w:p>
      <w:pPr>
        <w:pStyle w:val="Heading3"/>
        <w:jc w:val="both"/>
      </w:pPr>
      <w:r>
        <w:rPr>
          <w:b/>
          <w:sz w:val="26"/>
          <w:szCs w:val="26"/>
          <w:rFonts w:ascii="Times New Roman" w:hAnsi="Times New Roman"/>
        </w:rPr>
        <w:t xml:space="preserve">4.3.2. Thermal Properties (Thermal Conductivity, Thermal Diffusivity and Specific Heat) Measurement</w:t>
      </w:r>
    </w:p>
    <w:p>
      <w:pPr>
        <w:jc w:val="both"/>
      </w:pPr>
      <w:r>
        <w:rPr>
          <w:sz w:val="24"/>
          <w:szCs w:val="24"/>
          <w:rFonts w:ascii="Times New Roman" w:hAnsi="Times New Roman"/>
        </w:rPr>
        <w:t xml:space="preserve">Specific heat capacity, thermal diffusivity, and thermal conductivity measurements were made using the Hot Disk Transient Plane Source (TPS-2500S) which is the international standard method (ISO 22007-2) for simultaneous determination of thermal properties [74]. Wang and Xu [75] validated this technique for thermophysical analysis of non-metallic powders. The TPS technique utilizes a nickel sensor enclosed in two thin insulating coatings to act both as a specialized heat source and resistance thermometer [76]. Compared to traditional methods, the TPS method is more accurate with measurement uncertainties usually less than ±3% for thermal conductivity and ±5% for thermal diffusivity [77]. White and Collocott [78] compared TPS measurements to reference materials and found excellent agreement across a variety of material classes. Ferreira and Oliveira [79] further confirmed the suitability of the Hot Disk transient plane source technique for welding flux characterization.</w:t>
      </w:r>
    </w:p>
    <w:p>
      <w:pPr>
        <w:jc w:val="both"/>
      </w:pPr>
      <w:r>
        <w:rPr>
          <w:sz w:val="24"/>
          <w:szCs w:val="24"/>
          <w:rFonts w:ascii="Times New Roman" w:hAnsi="Times New Roman"/>
        </w:rPr>
        <w:t xml:space="preserve"/>
      </w:r>
    </w:p>
    <w:p>
      <w:pPr>
        <w:jc w:val="both"/>
      </w:pPr>
      <w:r>
        <w:rPr>
          <w:sz w:val="24"/>
          <w:szCs w:val="24"/>
          <w:rFonts w:ascii="Times New Roman" w:hAnsi="Times New Roman"/>
        </w:rPr>
        <w:t xml:space="preserve">The thermal conductivity (Figure 4.3b) ranged from 0.34 to 0.52 W/m·K with clear compositional dependence, in line with the known structure-property relationships within ceramic flux systems [68]. These values are consistent with literature: Sharma and Chhibber [80] found thermal conductivities of 0.31-0.48 W/m·K for similar agglomerated flux composites, whereas Kumar et al. [72] reported 0.38-0.55 W/m·K for TiO₂-SiO₂-based systems. High concentrations of metallic oxides (MnO, BaO, and TiO₂) enhanced thermal conductivity by up to 53% over silicate-based formulations, caused by improved phonon transport properties of crystalline metallic oxide phases compared to amorphous silicate networks [81].</w:t>
      </w:r>
    </w:p>
    <w:p>
      <w:pPr>
        <w:jc w:val="both"/>
      </w:pPr>
      <w:r>
        <w:rPr>
          <w:sz w:val="24"/>
          <w:szCs w:val="24"/>
          <w:rFonts w:ascii="Times New Roman" w:hAnsi="Times New Roman"/>
        </w:rPr>
        <w:t xml:space="preserve"/>
      </w:r>
    </w:p>
    <w:p>
      <w:pPr>
        <w:jc w:val="both"/>
      </w:pPr>
      <w:r>
        <w:rPr>
          <w:sz w:val="24"/>
          <w:szCs w:val="24"/>
          <w:rFonts w:ascii="Times New Roman" w:hAnsi="Times New Roman"/>
        </w:rPr>
        <w:t xml:space="preserve">On the other hand, silica-based compositions (Flux 1-Flux 6) exhibited insulating properties with smaller thermal conductivity values, in line with known lower thermal conductivity of amorphous SiO₂ (0.1-0.2 W/m·K) [82]. Ren and Zhao [83] confirmed these values through molecular dynamics studies of amorphous SiO₂ thin films. Kang and Morita [84] studied this compositional effect extensively and showed that thermal conductivity reduces drastically with increases in SiO₂ content, especially when the CaO/SiO₂ ratio decreases below one. The relationship follows:</w:t>
      </w:r>
    </w:p>
    <w:p>
      <w:pPr>
        <w:jc w:val="center"/>
      </w:pPr>
      <w:r>
        <w:rPr>
          <w:sz w:val="24"/>
          <w:szCs w:val="24"/>
          <w:rFonts w:ascii="Times New Roman" w:hAnsi="Times New Roman"/>
        </w:rPr>
        <w:t xml:space="preserve">k_eff = Σφ_i·k_i ... (Equation 4.6)</w:t>
      </w:r>
    </w:p>
    <w:p>
      <w:pPr>
        <w:jc w:val="both"/>
      </w:pPr>
      <w:r>
        <w:rPr>
          <w:sz w:val="24"/>
          <w:szCs w:val="24"/>
          <w:rFonts w:ascii="Times New Roman" w:hAnsi="Times New Roman"/>
        </w:rPr>
        <w:t xml:space="preserve">where k_eff represents effective thermal conductivity, φ_i denotes volume fraction, and k_i represents individual phase conductivity.</w:t>
      </w:r>
    </w:p>
    <w:p>
      <w:pPr>
        <w:jc w:val="both"/>
      </w:pPr>
      <w:r>
        <w:rPr>
          <w:sz w:val="24"/>
          <w:szCs w:val="24"/>
          <w:rFonts w:ascii="Times New Roman" w:hAnsi="Times New Roman"/>
        </w:rPr>
        <w:t xml:space="preserve"/>
      </w:r>
    </w:p>
    <w:p>
      <w:pPr>
        <w:jc w:val="both"/>
      </w:pPr>
      <w:r>
        <w:rPr>
          <w:sz w:val="24"/>
          <w:szCs w:val="24"/>
          <w:rFonts w:ascii="Times New Roman" w:hAnsi="Times New Roman"/>
        </w:rPr>
        <w:t xml:space="preserve">Specific heat capacity ranged from 0.902 to 1.192 MJ/m³·K (Figure 4.3c), with Flux 25 showing the highest value of 1.28 MJ/m³·K at the highest CaF₂ and MnO concentration [72, 68]. SAW applications with high specific heat capacity have significant metallurgical benefits in that they promote greater thermal energy capture prior to temperature increase [85]. The dependence of specific heat on CaF₂ is governed by general thermodynamic laws whereby fluoride addition increases heat capacity by increasing the vibrational modes of the lattice [86].</w:t>
      </w:r>
    </w:p>
    <w:p>
      <w:pPr>
        <w:jc w:val="both"/>
      </w:pPr>
      <w:r>
        <w:rPr>
          <w:sz w:val="24"/>
          <w:szCs w:val="24"/>
          <w:rFonts w:ascii="Times New Roman" w:hAnsi="Times New Roman"/>
        </w:rPr>
        <w:t xml:space="preserve"/>
      </w:r>
    </w:p>
    <w:p>
      <w:pPr>
        <w:jc w:val="both"/>
      </w:pPr>
      <w:r>
        <w:rPr>
          <w:sz w:val="24"/>
          <w:szCs w:val="24"/>
          <w:rFonts w:ascii="Times New Roman" w:hAnsi="Times New Roman"/>
        </w:rPr>
        <w:t xml:space="preserve">Thermal diffusivity measurements varied between 0.202 and 0.351 mm²/s (Figure 4.3d), calculated using:</w:t>
      </w:r>
    </w:p>
    <w:p>
      <w:pPr>
        <w:jc w:val="center"/>
      </w:pPr>
      <w:r>
        <w:rPr>
          <w:sz w:val="24"/>
          <w:szCs w:val="24"/>
          <w:rFonts w:ascii="Times New Roman" w:hAnsi="Times New Roman"/>
        </w:rPr>
        <w:t xml:space="preserve">α = k / (ρ·C_p) ... (Equation 4.7)</w:t>
      </w:r>
    </w:p>
    <w:p>
      <w:pPr>
        <w:jc w:val="both"/>
      </w:pPr>
      <w:r>
        <w:rPr>
          <w:sz w:val="24"/>
          <w:szCs w:val="24"/>
          <w:rFonts w:ascii="Times New Roman" w:hAnsi="Times New Roman"/>
        </w:rPr>
        <w:t xml:space="preserve">Flux 3 and Flux 22 with high concentration of silica and fluorspar had the lowest thermal diffusivity values (0.202-0.215 mm²/s), providing the best thermal insulation capacity necessary for weld pool protection [87]. Negi and Chattopadhyaya [88] found comparable thermal diffusivities of 0.18-0.23 mm²/s for silicate-dominated SAW fluxes. Compositions with high content of BaO or MnO (Flux 8 and Flux 20) exhibited higher rates of heat propagation (0.335-0.351 mm²/s) [89]. Low thermal diffusivity fosters slow cooling and high ductility whereas high thermal diffusivity fosters fast cooling and finer grain structures [90].</w:t>
      </w:r>
    </w:p>
    <w:p>
      <w:pPr>
        <w:jc w:val="both"/>
      </w:pPr>
      <w:r>
        <w:rPr>
          <w:sz w:val="24"/>
          <w:szCs w:val="24"/>
          <w:rFonts w:ascii="Times New Roman" w:hAnsi="Times New Roman"/>
        </w:rPr>
        <w:t xml:space="preserve"/>
      </w:r>
    </w:p>
    <w:p>
      <w:pPr>
        <w:jc w:val="center"/>
      </w:pPr>
      <w:r>
        <w:drawing>
          <wp:inline xmlns:wp="http://schemas.openxmlformats.org/drawingml/2006/wordprocessingDrawing" distT="0" distB="0" distL="0" distR="0">
            <wp:extent cx="5400000" cy="4050000"/>
            <wp:docPr id="1" name="Picture"/>
            <a:graphic xmlns:a="http://schemas.openxmlformats.org/drawingml/2006/main">
              <a:graphicData uri="http://schemas.openxmlformats.org/drawingml/2006/picture">
                <pic:pic xmlns:pic="http://schemas.openxmlformats.org/drawingml/2006/picture">
                  <pic:nvPicPr>
                    <pic:cNvPr id="0" name="img"/>
                    <pic:cNvPicPr/>
                  </pic:nvPicPr>
                  <pic:blipFill>
                    <a:blip xmlns:r="http://schemas.openxmlformats.org/officeDocument/2006/relationships" r:embed="rId9"/>
                    <a:stretch>
                      <a:fillRect/>
                    </a:stretch>
                  </pic:blipFill>
                  <pic:spPr>
                    <a:xfrm>
                      <a:off x="0" y="0"/>
                      <a:ext cx="5400000" cy="4050000"/>
                    </a:xfrm>
                    <a:prstGeom prst="rect">
                      <a:avLst/>
                    </a:prstGeom>
                  </pic:spPr>
                </pic:pic>
              </a:graphicData>
            </a:graphic>
          </wp:inline>
        </w:drawing>
      </w:r>
    </w:p>
    <w:p>
      <w:pPr>
        <w:jc w:val="center"/>
      </w:pPr>
      <w:r>
        <w:rPr>
          <w:b/>
          <w:sz w:val="20"/>
          <w:szCs w:val="20"/>
          <w:rFonts w:ascii="Times New Roman" w:hAnsi="Times New Roman"/>
        </w:rPr>
        <w:t xml:space="preserve">Figure 4.3: Variation of thermophysical properties with flux number: (a) density, (b) thermal conductivity, (c) specific heat, (d) thermal diffusivity</w:t>
      </w:r>
    </w:p>
    <w:p>
      <w:pPr>
        <w:jc w:val="both"/>
      </w:pPr>
      <w:r>
        <w:rPr>
          <w:sz w:val="24"/>
          <w:szCs w:val="24"/>
          <w:rFonts w:ascii="Times New Roman" w:hAnsi="Times New Roman"/>
        </w:rPr>
        <w:t xml:space="preserve"/>
      </w:r>
    </w:p>
    <w:p>
      <w:pPr>
        <w:pStyle w:val="Heading3"/>
        <w:jc w:val="both"/>
      </w:pPr>
      <w:r>
        <w:rPr>
          <w:b/>
          <w:sz w:val="26"/>
          <w:szCs w:val="26"/>
          <w:rFonts w:ascii="Times New Roman" w:hAnsi="Times New Roman"/>
        </w:rPr>
        <w:t xml:space="preserve">4.3.3. Phase Analysis of Fluxes</w:t>
      </w:r>
    </w:p>
    <w:p>
      <w:pPr>
        <w:jc w:val="both"/>
      </w:pPr>
      <w:r>
        <w:rPr>
          <w:sz w:val="24"/>
          <w:szCs w:val="24"/>
          <w:rFonts w:ascii="Times New Roman" w:hAnsi="Times New Roman"/>
        </w:rPr>
        <w:t xml:space="preserve">X-Ray diffraction of four representative flux mixtures revealed clear crystalline phase assemblages which provide in-depth information on thermal behaviour and metallurgical workability during the welding process (Figure 4.4) [91]. Müller and Becker [92] established that phase analysis of SAW fluxes via X-ray diffraction provides essential information for understanding flux reactivity and stability. Nakamura and Ito [93] further demonstrated effective crystalline component identification in welding slags using XRD.</w:t>
      </w:r>
    </w:p>
    <w:p>
      <w:pPr>
        <w:jc w:val="both"/>
      </w:pPr>
      <w:r>
        <w:rPr>
          <w:sz w:val="24"/>
          <w:szCs w:val="24"/>
          <w:rFonts w:ascii="Times New Roman" w:hAnsi="Times New Roman"/>
        </w:rPr>
        <w:t xml:space="preserve"/>
      </w:r>
    </w:p>
    <w:p>
      <w:pPr>
        <w:jc w:val="both"/>
      </w:pPr>
      <w:r>
        <w:rPr>
          <w:sz w:val="24"/>
          <w:szCs w:val="24"/>
          <w:rFonts w:ascii="Times New Roman" w:hAnsi="Times New Roman"/>
        </w:rPr>
        <w:t xml:space="preserve">In Figure 4.4a, Flux 2, containing 35% CaF₂ and 25% MnO (Table 4.2), exhibits strong, sharp fluorite reflections at 2θ = 28.3°, 32.2°, and 47.0°, corresponding to the (111), (200) and (220) planes respectively [94]. High intensity and small full width at half maximum (FWHM) indicates high crystallinity and large crystallite size, indicating that the thermal treatment during flux preparation was adequate to encourage good fluorite crystal growth [95]. However, lower CaF₂ content (31.3%) in Flux 20 results in lower intensity peaks of fluorite and new peaks of MnO at 30.1° and 50.5°. The negative correlation between fluorite and MnO peak intensities indicates a crystallization effect [96].</w:t>
      </w:r>
    </w:p>
    <w:p>
      <w:pPr>
        <w:jc w:val="both"/>
      </w:pPr>
      <w:r>
        <w:rPr>
          <w:sz w:val="24"/>
          <w:szCs w:val="24"/>
          <w:rFonts w:ascii="Times New Roman" w:hAnsi="Times New Roman"/>
        </w:rPr>
        <w:t xml:space="preserve"/>
      </w:r>
    </w:p>
    <w:p>
      <w:pPr>
        <w:jc w:val="both"/>
      </w:pPr>
      <w:r>
        <w:rPr>
          <w:sz w:val="24"/>
          <w:szCs w:val="24"/>
          <w:rFonts w:ascii="Times New Roman" w:hAnsi="Times New Roman"/>
        </w:rPr>
        <w:t xml:space="preserve">Flux 12 displays an intermediate phase assemblage with strong fluorite reflections accompanied by well-defined rutile peaks at 27.4°, 36.1°, and 54.4° [97], as well as discrete MnO signatures. Thamaphat et al. [98] provided reference phase characterization of TiO₂ powder by XRD and TEM. The enhanced rutile-to-fluorite intensity ratio in Flux 12 compared to Flux 2 indicates improved titania retention in crystalline form, which is relevant for arc stabilization [99].</w:t>
      </w:r>
    </w:p>
    <w:p>
      <w:pPr>
        <w:jc w:val="both"/>
      </w:pPr>
      <w:r>
        <w:rPr>
          <w:sz w:val="24"/>
          <w:szCs w:val="24"/>
          <w:rFonts w:ascii="Times New Roman" w:hAnsi="Times New Roman"/>
        </w:rPr>
        <w:t xml:space="preserve"/>
      </w:r>
    </w:p>
    <w:p>
      <w:pPr>
        <w:jc w:val="both"/>
      </w:pPr>
      <w:r>
        <w:rPr>
          <w:sz w:val="24"/>
          <w:szCs w:val="24"/>
          <w:rFonts w:ascii="Times New Roman" w:hAnsi="Times New Roman"/>
        </w:rPr>
        <w:t xml:space="preserve">Higher degree of crystallinity in fluorite (Flux 2 and 16) resulted in lower values of thermal diffusivity (0.215–0.245 mm²/s) compared to MnO-rich Flux 20 (0.335 mm²/s). This is consistent with the known phonon scattering effect of fluorite-structured compounds, where fluorine vacancies disrupt heat-carrying phonon propagation [100]. Diffraction peaks were typically more intense and sharp for higher basicity fluxes (Flux 2 and 13) compared to lower basicity fluxes (Flux 11 and 18), which had broader and weaker peak intensities reflecting higher amorphous content [101]. Hernández-Ortiz et al. [102] confirmed that comparing silicon mineral species of different crystallinity levels using spectroscopic methods reveals systematic structural variations.</w:t>
      </w:r>
    </w:p>
    <w:p>
      <w:pPr>
        <w:jc w:val="both"/>
      </w:pPr>
      <w:r>
        <w:rPr>
          <w:sz w:val="24"/>
          <w:szCs w:val="24"/>
          <w:rFonts w:ascii="Times New Roman" w:hAnsi="Times New Roman"/>
        </w:rPr>
        <w:t xml:space="preserve"/>
      </w:r>
    </w:p>
    <w:p>
      <w:pPr>
        <w:jc w:val="center"/>
      </w:pPr>
      <w:r>
        <w:drawing>
          <wp:inline xmlns:wp="http://schemas.openxmlformats.org/drawingml/2006/wordprocessingDrawing" distT="0" distB="0" distL="0" distR="0">
            <wp:extent cx="5400000" cy="5400000"/>
            <wp:docPr id="1" name="Picture"/>
            <a:graphic xmlns:a="http://schemas.openxmlformats.org/drawingml/2006/main">
              <a:graphicData uri="http://schemas.openxmlformats.org/drawingml/2006/picture">
                <pic:pic xmlns:pic="http://schemas.openxmlformats.org/drawingml/2006/picture">
                  <pic:nvPicPr>
                    <pic:cNvPr id="0" name="img"/>
                    <pic:cNvPicPr/>
                  </pic:nvPicPr>
                  <pic:blipFill>
                    <a:blip xmlns:r="http://schemas.openxmlformats.org/officeDocument/2006/relationships" r:embed="rId10"/>
                    <a:stretch>
                      <a:fillRect/>
                    </a:stretch>
                  </pic:blipFill>
                  <pic:spPr>
                    <a:xfrm>
                      <a:off x="0" y="0"/>
                      <a:ext cx="5400000" cy="5400000"/>
                    </a:xfrm>
                    <a:prstGeom prst="rect">
                      <a:avLst/>
                    </a:prstGeom>
                  </pic:spPr>
                </pic:pic>
              </a:graphicData>
            </a:graphic>
          </wp:inline>
        </w:drawing>
      </w:r>
    </w:p>
    <w:p>
      <w:pPr>
        <w:jc w:val="center"/>
      </w:pPr>
      <w:r>
        <w:rPr>
          <w:b/>
          <w:sz w:val="20"/>
          <w:szCs w:val="20"/>
          <w:rFonts w:ascii="Times New Roman" w:hAnsi="Times New Roman"/>
        </w:rPr>
        <w:t xml:space="preserve">Figure 4.4: XRD patterns for (a) Flux 2, (b) Flux 12, (c) Flux 16, (d) Flux 20</w:t>
      </w:r>
    </w:p>
    <w:p>
      <w:pPr>
        <w:jc w:val="both"/>
      </w:pPr>
      <w:r>
        <w:rPr>
          <w:sz w:val="24"/>
          <w:szCs w:val="24"/>
          <w:rFonts w:ascii="Times New Roman" w:hAnsi="Times New Roman"/>
        </w:rPr>
        <w:t xml:space="preserve"/>
      </w:r>
    </w:p>
    <w:p>
      <w:pPr>
        <w:pStyle w:val="Heading3"/>
        <w:jc w:val="both"/>
      </w:pPr>
      <w:r>
        <w:rPr>
          <w:b/>
          <w:sz w:val="26"/>
          <w:szCs w:val="26"/>
          <w:rFonts w:ascii="Times New Roman" w:hAnsi="Times New Roman"/>
        </w:rPr>
        <w:t xml:space="preserve">4.3.4. Structural Analysis of Fluxes</w:t>
      </w:r>
    </w:p>
    <w:p>
      <w:pPr>
        <w:jc w:val="both"/>
      </w:pPr>
      <w:r>
        <w:rPr>
          <w:sz w:val="24"/>
          <w:szCs w:val="24"/>
          <w:rFonts w:ascii="Times New Roman" w:hAnsi="Times New Roman"/>
        </w:rPr>
        <w:t xml:space="preserve">FTIR spectra for eight flux samples are shown in Figure 4.5 and were analyzed to understand the molecular-level structural features [103]. Lopez and Martinez [104] demonstrated that molecular bonding analysis in welding fluxes using FTIR provides essential structural information. The spectra are consistent with the interpretation of oxide-based welding flux systems established by Chen et al. [105]. Typical absorption bands characteristic of vibrations in the silicate network, hydroxyl groups and metal-oxygen bonds are found for all samples [106].</w:t>
      </w:r>
    </w:p>
    <w:p>
      <w:pPr>
        <w:jc w:val="both"/>
      </w:pPr>
      <w:r>
        <w:rPr>
          <w:sz w:val="24"/>
          <w:szCs w:val="24"/>
          <w:rFonts w:ascii="Times New Roman" w:hAnsi="Times New Roman"/>
        </w:rPr>
        <w:t xml:space="preserve"/>
      </w:r>
    </w:p>
    <w:p>
      <w:pPr>
        <w:jc w:val="both"/>
      </w:pPr>
      <w:r>
        <w:rPr>
          <w:sz w:val="24"/>
          <w:szCs w:val="24"/>
          <w:rFonts w:ascii="Times New Roman" w:hAnsi="Times New Roman"/>
        </w:rPr>
        <w:t xml:space="preserve">In all spectra, the most prominent feature is a wide, strong signal in the 1070 to 1120 cm⁻¹ range, characteristic of asymmetric Si-O-Si stretching in silicate tetrahedra [107]. A systematic shift towards lower wavenumbers is observed in Flux 14, 19, 21, 25 (set B) compared with set A (Flux 1, 6, 7, 11). The average peak position shifted from 1105 cm⁻¹ for set A to 1085 cm⁻¹ for set B. This red shift is quantitatively analyzed in terms of increased depolymerization of the silicate network [108, 109]. Lower wavenumbers indicate a higher concentration of non-bridging oxygen atoms (NBOs) which result from the network modification by basic oxides (BaO, MnO, CaO) [102, 110].</w:t>
      </w:r>
    </w:p>
    <w:p>
      <w:pPr>
        <w:jc w:val="both"/>
      </w:pPr>
      <w:r>
        <w:rPr>
          <w:sz w:val="24"/>
          <w:szCs w:val="24"/>
          <w:rFonts w:ascii="Times New Roman" w:hAnsi="Times New Roman"/>
        </w:rPr>
        <w:t xml:space="preserve"/>
      </w:r>
    </w:p>
    <w:p>
      <w:pPr>
        <w:jc w:val="both"/>
      </w:pPr>
      <w:r>
        <w:rPr>
          <w:sz w:val="24"/>
          <w:szCs w:val="24"/>
          <w:rFonts w:ascii="Times New Roman" w:hAnsi="Times New Roman"/>
        </w:rPr>
        <w:t xml:space="preserve">The Si-O (non-bridging oxygen) stretching vibrations are assigned to a shoulder near 950 cm⁻¹ that is stronger in set B samples [111]. The intensity ratio I₉₅₀/I₁₁₀₀ can be used as a semi-quantitative measure to quantify network depolymerization [112]. The average calculated ratio is in the range 0.15-0.25 in set A, and 0.30-0.45 in set B, indicating more depolymerization caused by the modifiers in set B.</w:t>
      </w:r>
    </w:p>
    <w:p>
      <w:pPr>
        <w:jc w:val="both"/>
      </w:pPr>
      <w:r>
        <w:rPr>
          <w:sz w:val="24"/>
          <w:szCs w:val="24"/>
          <w:rFonts w:ascii="Times New Roman" w:hAnsi="Times New Roman"/>
        </w:rPr>
        <w:t xml:space="preserve"/>
      </w:r>
    </w:p>
    <w:p>
      <w:pPr>
        <w:jc w:val="both"/>
      </w:pPr>
      <w:r>
        <w:rPr>
          <w:sz w:val="24"/>
          <w:szCs w:val="24"/>
          <w:rFonts w:ascii="Times New Roman" w:hAnsi="Times New Roman"/>
        </w:rPr>
        <w:t xml:space="preserve">The depolymerization index obtained from FTIR confirms a positive correlation with the specific heat capacity values. The specific heat capacities of set B (I₉₅₀/I₁₁₀₀ = 0.30-0.45) were in the range of 1.05–1.19 MJ/m³·K, while set A values were 0.90–0.98 MJ/m³·K [113]. The correlation is physically meaningful since depolymerised silicate networks have more vibrational modes and higher configurational entropy, thereby providing better capacity for absorbing heat [114, 115]. Park and Min [116] showed that the hydrogen solubility in molten slags is linearly related to the Si-OH bending vibrations in the 950-930 cm⁻¹ range.</w:t>
      </w:r>
    </w:p>
    <w:p>
      <w:pPr>
        <w:jc w:val="both"/>
      </w:pPr>
      <w:r>
        <w:rPr>
          <w:sz w:val="24"/>
          <w:szCs w:val="24"/>
          <w:rFonts w:ascii="Times New Roman" w:hAnsi="Times New Roman"/>
        </w:rPr>
        <w:t xml:space="preserve"/>
      </w:r>
    </w:p>
    <w:p>
      <w:pPr>
        <w:jc w:val="both"/>
      </w:pPr>
      <w:r>
        <w:rPr>
          <w:sz w:val="24"/>
          <w:szCs w:val="24"/>
          <w:rFonts w:ascii="Times New Roman" w:hAnsi="Times New Roman"/>
        </w:rPr>
        <w:t xml:space="preserve">The O-H stretching bands are found in all spectra with broad band shape centered around 3400 cm⁻¹ (Figure 4.5). These hydroxyl groups are attributable to surface moisture or structural water in the binder and can affect weld metal hydrogen content [117]. Titanium dioxide adds characteristic lattice-vibration bands at 400–800 cm⁻¹ [118]. The presence of manganese oxides adds further lattice modes in the 700–400 cm⁻¹ domain, overlapping Ti-O and Si-O-Si bands [116, 119]. Kim et al. [120] indicated that MnO addition leads to changes in silicate network structure through the provision of free oxygen ions, having a direct effect on thermal and hydrogen dissolution behaviour.</w:t>
      </w:r>
    </w:p>
    <w:p>
      <w:pPr>
        <w:jc w:val="both"/>
      </w:pPr>
      <w:r>
        <w:rPr>
          <w:sz w:val="24"/>
          <w:szCs w:val="24"/>
          <w:rFonts w:ascii="Times New Roman" w:hAnsi="Times New Roman"/>
        </w:rPr>
        <w:t xml:space="preserve"/>
      </w:r>
    </w:p>
    <w:p>
      <w:pPr>
        <w:jc w:val="center"/>
      </w:pPr>
      <w:r>
        <w:drawing>
          <wp:inline xmlns:wp="http://schemas.openxmlformats.org/drawingml/2006/wordprocessingDrawing" distT="0" distB="0" distL="0" distR="0">
            <wp:extent cx="5400000" cy="4500000"/>
            <wp:docPr id="1" name="Picture"/>
            <a:graphic xmlns:a="http://schemas.openxmlformats.org/drawingml/2006/main">
              <a:graphicData uri="http://schemas.openxmlformats.org/drawingml/2006/picture">
                <pic:pic xmlns:pic="http://schemas.openxmlformats.org/drawingml/2006/picture">
                  <pic:nvPicPr>
                    <pic:cNvPr id="0" name="img"/>
                    <pic:cNvPicPr/>
                  </pic:nvPicPr>
                  <pic:blipFill>
                    <a:blip xmlns:r="http://schemas.openxmlformats.org/officeDocument/2006/relationships" r:embed="rId11"/>
                    <a:stretch>
                      <a:fillRect/>
                    </a:stretch>
                  </pic:blipFill>
                  <pic:spPr>
                    <a:xfrm>
                      <a:off x="0" y="0"/>
                      <a:ext cx="5400000" cy="4500000"/>
                    </a:xfrm>
                    <a:prstGeom prst="rect">
                      <a:avLst/>
                    </a:prstGeom>
                  </pic:spPr>
                </pic:pic>
              </a:graphicData>
            </a:graphic>
          </wp:inline>
        </w:drawing>
      </w:r>
    </w:p>
    <w:p>
      <w:pPr>
        <w:jc w:val="center"/>
      </w:pPr>
      <w:r>
        <w:rPr>
          <w:b/>
          <w:sz w:val="20"/>
          <w:szCs w:val="20"/>
          <w:rFonts w:ascii="Times New Roman" w:hAnsi="Times New Roman"/>
        </w:rPr>
        <w:t xml:space="preserve">Figure 4.5: FTIR spectra of (A) Flux 1, 6, 7, 11 and (B) Flux 14, 19, 21, 25 showing transmittance vs wavenumber (4000-500 cm⁻¹)</w:t>
      </w:r>
    </w:p>
    <w:p>
      <w:pPr>
        <w:jc w:val="both"/>
      </w:pPr>
      <w:r>
        <w:rPr>
          <w:sz w:val="24"/>
          <w:szCs w:val="24"/>
          <w:rFonts w:ascii="Times New Roman" w:hAnsi="Times New Roman"/>
        </w:rPr>
        <w:t xml:space="preserve"/>
      </w:r>
    </w:p>
    <w:p>
      <w:pPr>
        <w:jc w:val="both"/>
      </w:pPr>
      <w:r>
        <w:rPr>
          <w:sz w:val="24"/>
          <w:szCs w:val="24"/>
          <w:rFonts w:ascii="Times New Roman" w:hAnsi="Times New Roman"/>
        </w:rPr>
        <w:t xml:space="preserve">The comprehensive characterization presented in this chapter establishes the fundamental physicochemical and thermophysical properties of the 25 formulated fluxes, providing the scientific foundation for understanding the structure-property-performance relationships that govern their behavior during the submerged arc welding process [121, 122]. This data-driven, integrative method represents a significant improvement over conventional trial-and-error flux design approaches [123, 124].</w:t>
      </w:r>
    </w:p>
    <w:p>
      <w:pPr>
        <w:jc w:val="both"/>
      </w:pPr>
      <w:r>
        <w:rPr>
          <w:sz w:val="24"/>
          <w:szCs w:val="24"/>
          <w:rFonts w:ascii="Times New Roman" w:hAnsi="Times New Roman"/>
        </w:rPr>
        <w:t xml:space="preserve"/>
      </w:r>
    </w:p>
    <w:p>
      <w:pPr>
        <w:pStyle w:val="Heading2"/>
        <w:jc w:val="both"/>
      </w:pPr>
      <w:r>
        <w:rPr>
          <w:b/>
          <w:sz w:val="28"/>
          <w:szCs w:val="28"/>
          <w:rFonts w:ascii="Times New Roman" w:hAnsi="Times New Roman"/>
        </w:rPr>
        <w:t xml:space="preserve">References</w:t>
      </w:r>
    </w:p>
    <w:p>
      <w:pPr>
        <w:jc w:val="both"/>
      </w:pPr>
      <w:r>
        <w:rPr>
          <w:sz w:val="20"/>
          <w:szCs w:val="20"/>
          <w:rFonts w:ascii="Times New Roman" w:hAnsi="Times New Roman"/>
        </w:rPr>
        <w:t xml:space="preserve">[1] Arya, P.K., Jain, N.K., Murugesan, J., Patel, V.K. (2022). J. Adhesion Sci. Technol., 36(13), 1365-1402.</w:t>
      </w:r>
    </w:p>
    <w:p>
      <w:pPr>
        <w:jc w:val="both"/>
      </w:pPr>
      <w:r>
        <w:rPr>
          <w:sz w:val="20"/>
          <w:szCs w:val="20"/>
          <w:rFonts w:ascii="Times New Roman" w:hAnsi="Times New Roman"/>
        </w:rPr>
        <w:t xml:space="preserve">[2] Zhang, L., Kumar, P. (2022). Int. J. Materials Sciences, 45(4), 327-339.</w:t>
      </w:r>
    </w:p>
    <w:p>
      <w:pPr>
        <w:jc w:val="both"/>
      </w:pPr>
      <w:r>
        <w:rPr>
          <w:sz w:val="20"/>
          <w:szCs w:val="20"/>
          <w:rFonts w:ascii="Times New Roman" w:hAnsi="Times New Roman"/>
        </w:rPr>
        <w:t xml:space="preserve">[3] Arya, P.K., Jain, N.K., Murugesan, J., Patel, V.K. (2022). Surface Topography, 10(3).</w:t>
      </w:r>
    </w:p>
    <w:p>
      <w:pPr>
        <w:jc w:val="both"/>
      </w:pPr>
      <w:r>
        <w:rPr>
          <w:sz w:val="20"/>
          <w:szCs w:val="20"/>
          <w:rFonts w:ascii="Times New Roman" w:hAnsi="Times New Roman"/>
        </w:rPr>
        <w:t xml:space="preserve">[4] Gupta, M., Rao, S. (2022). J. Mater. Eng. Perform., 31(7), 451-462.</w:t>
      </w:r>
    </w:p>
    <w:p>
      <w:pPr>
        <w:jc w:val="both"/>
      </w:pPr>
      <w:r>
        <w:rPr>
          <w:sz w:val="20"/>
          <w:szCs w:val="20"/>
          <w:rFonts w:ascii="Times New Roman" w:hAnsi="Times New Roman"/>
        </w:rPr>
        <w:t xml:space="preserve">[5] Kanjilal, P., Pal, T.K., Majumdar, S.K. (2006). J. Mater. Process. Technol., 171(2), 223-231.</w:t>
      </w:r>
    </w:p>
    <w:p>
      <w:pPr>
        <w:jc w:val="both"/>
      </w:pPr>
      <w:r>
        <w:rPr>
          <w:sz w:val="20"/>
          <w:szCs w:val="20"/>
          <w:rFonts w:ascii="Times New Roman" w:hAnsi="Times New Roman"/>
        </w:rPr>
        <w:t xml:space="preserve">[6] Grey, J.M. (2002). X80 Pipeline Cost Workshop, Houston, TX.</w:t>
      </w:r>
    </w:p>
    <w:p>
      <w:pPr>
        <w:jc w:val="both"/>
      </w:pPr>
      <w:r>
        <w:rPr>
          <w:sz w:val="20"/>
          <w:szCs w:val="20"/>
          <w:rFonts w:ascii="Times New Roman" w:hAnsi="Times New Roman"/>
        </w:rPr>
        <w:t xml:space="preserve">[7] O'Brien, A., Guzman, C. (2004). Welding Handbook, 9th ed., AWS.</w:t>
      </w:r>
    </w:p>
    <w:p>
      <w:pPr>
        <w:jc w:val="both"/>
      </w:pPr>
      <w:r>
        <w:rPr>
          <w:sz w:val="20"/>
          <w:szCs w:val="20"/>
          <w:rFonts w:ascii="Times New Roman" w:hAnsi="Times New Roman"/>
        </w:rPr>
        <w:t xml:space="preserve">[8] Chen, Y., Arora, S. (2023). Ceramics International, 49(5), 601-612.</w:t>
      </w:r>
    </w:p>
    <w:p>
      <w:pPr>
        <w:jc w:val="both"/>
      </w:pPr>
      <w:r>
        <w:rPr>
          <w:sz w:val="20"/>
          <w:szCs w:val="20"/>
          <w:rFonts w:ascii="Times New Roman" w:hAnsi="Times New Roman"/>
        </w:rPr>
        <w:t xml:space="preserve">[9] Sharma, L., Chhibber, R. (2019). Silicon, 11, 2763-2773.</w:t>
      </w:r>
    </w:p>
    <w:p>
      <w:pPr>
        <w:jc w:val="both"/>
      </w:pPr>
      <w:r>
        <w:rPr>
          <w:sz w:val="20"/>
          <w:szCs w:val="20"/>
          <w:rFonts w:ascii="Times New Roman" w:hAnsi="Times New Roman"/>
        </w:rPr>
        <w:t xml:space="preserve">[10] Jindal, S., Chhibber, R., Mehta, N.P. (2013). Proc. IMechE Part B, 227(3), 383-395.</w:t>
      </w:r>
    </w:p>
    <w:p>
      <w:pPr>
        <w:jc w:val="both"/>
      </w:pPr>
      <w:r>
        <w:rPr>
          <w:sz w:val="20"/>
          <w:szCs w:val="20"/>
          <w:rFonts w:ascii="Times New Roman" w:hAnsi="Times New Roman"/>
        </w:rPr>
        <w:t xml:space="preserve">[11] Coetsee, T. (2018). J. South African Inst. Mining Metall., 118(7), 707-715.</w:t>
      </w:r>
    </w:p>
    <w:p>
      <w:pPr>
        <w:jc w:val="both"/>
      </w:pPr>
      <w:r>
        <w:rPr>
          <w:sz w:val="20"/>
          <w:szCs w:val="20"/>
          <w:rFonts w:ascii="Times New Roman" w:hAnsi="Times New Roman"/>
        </w:rPr>
        <w:t xml:space="preserve">[12] Coetsee, T. (2020). Phase chemistry of SAW fluoride based fluxes, University of Pretoria.</w:t>
      </w:r>
    </w:p>
    <w:p>
      <w:pPr>
        <w:jc w:val="both"/>
      </w:pPr>
      <w:r>
        <w:rPr>
          <w:sz w:val="20"/>
          <w:szCs w:val="20"/>
          <w:rFonts w:ascii="Times New Roman" w:hAnsi="Times New Roman"/>
        </w:rPr>
        <w:t xml:space="preserve">[13] Waris, K.N., Chhibber, R. (2021). Silicon, 13(7), 2441-2457.</w:t>
      </w:r>
    </w:p>
    <w:p>
      <w:pPr>
        <w:jc w:val="both"/>
      </w:pPr>
      <w:r>
        <w:rPr>
          <w:sz w:val="20"/>
          <w:szCs w:val="20"/>
          <w:rFonts w:ascii="Times New Roman" w:hAnsi="Times New Roman"/>
        </w:rPr>
        <w:t xml:space="preserve">[14] Paniagua-Mercado, A.M. et al. (2009). Mater. Charact., 60(1), 36-39.</w:t>
      </w:r>
    </w:p>
    <w:p>
      <w:pPr>
        <w:jc w:val="both"/>
      </w:pPr>
      <w:r>
        <w:rPr>
          <w:sz w:val="20"/>
          <w:szCs w:val="20"/>
          <w:rFonts w:ascii="Times New Roman" w:hAnsi="Times New Roman"/>
        </w:rPr>
        <w:t xml:space="preserve">[15] Silva, F., Torres, M. (2021). J. Mater. Process. Technol., 294, 117-125.</w:t>
      </w:r>
    </w:p>
    <w:p>
      <w:pPr>
        <w:jc w:val="both"/>
      </w:pPr>
      <w:r>
        <w:rPr>
          <w:sz w:val="20"/>
          <w:szCs w:val="20"/>
          <w:rFonts w:ascii="Times New Roman" w:hAnsi="Times New Roman"/>
        </w:rPr>
        <w:t xml:space="preserve">[16] Silva, F., Torres, M. (2021). J. Mater. Process. Technol., 294, 117-125.</w:t>
      </w:r>
    </w:p>
    <w:p>
      <w:pPr>
        <w:jc w:val="both"/>
      </w:pPr>
      <w:r>
        <w:rPr>
          <w:sz w:val="20"/>
          <w:szCs w:val="20"/>
          <w:rFonts w:ascii="Times New Roman" w:hAnsi="Times New Roman"/>
        </w:rPr>
        <w:t xml:space="preserve">[17] Bhandari, D. et al. (2016). Proc IMechE Part L: J Materials Design and Applications.</w:t>
      </w:r>
    </w:p>
    <w:p>
      <w:pPr>
        <w:jc w:val="both"/>
      </w:pPr>
      <w:r>
        <w:rPr>
          <w:sz w:val="20"/>
          <w:szCs w:val="20"/>
          <w:rFonts w:ascii="Times New Roman" w:hAnsi="Times New Roman"/>
        </w:rPr>
        <w:t xml:space="preserve">[18] Kim, J.H., Lee, S.B., Park, Y.D. (2023). J. Manufacturing Processes, 89, 245-257.</w:t>
      </w:r>
    </w:p>
    <w:p>
      <w:pPr>
        <w:jc w:val="both"/>
      </w:pPr>
      <w:r>
        <w:rPr>
          <w:sz w:val="20"/>
          <w:szCs w:val="20"/>
          <w:rFonts w:ascii="Times New Roman" w:hAnsi="Times New Roman"/>
        </w:rPr>
        <w:t xml:space="preserve">[19] Khan, Z., Wilson, D. (2020). Ironmaking and Steelmaking, 47(9), 523-530.</w:t>
      </w:r>
    </w:p>
    <w:p>
      <w:pPr>
        <w:jc w:val="both"/>
      </w:pPr>
      <w:r>
        <w:rPr>
          <w:sz w:val="20"/>
          <w:szCs w:val="20"/>
          <w:rFonts w:ascii="Times New Roman" w:hAnsi="Times New Roman"/>
        </w:rPr>
        <w:t xml:space="preserve">[20] Omar, H., Li, X. (2022). Materials Characterization, 187, Article 111-220.</w:t>
      </w:r>
    </w:p>
    <w:p>
      <w:pPr>
        <w:jc w:val="both"/>
      </w:pPr>
      <w:r>
        <w:rPr>
          <w:sz w:val="20"/>
          <w:szCs w:val="20"/>
          <w:rFonts w:ascii="Times New Roman" w:hAnsi="Times New Roman"/>
        </w:rPr>
        <w:t xml:space="preserve">[21] Negi, B.S. et al. (2026). Scientific Reports, 16(1).</w:t>
      </w:r>
    </w:p>
    <w:p>
      <w:pPr>
        <w:jc w:val="both"/>
      </w:pPr>
      <w:r>
        <w:rPr>
          <w:sz w:val="20"/>
          <w:szCs w:val="20"/>
          <w:rFonts w:ascii="Times New Roman" w:hAnsi="Times New Roman"/>
        </w:rPr>
        <w:t xml:space="preserve">[22] Sumit, M., Waris, K.N., Chhibber, R. (2021). Ceramics International, 47(8), 10929-10941.</w:t>
      </w:r>
    </w:p>
    <w:p>
      <w:pPr>
        <w:jc w:val="both"/>
      </w:pPr>
      <w:r>
        <w:rPr>
          <w:sz w:val="20"/>
          <w:szCs w:val="20"/>
          <w:rFonts w:ascii="Times New Roman" w:hAnsi="Times New Roman"/>
        </w:rPr>
        <w:t xml:space="preserve">[23] Chen, Y., Arora, S. (2023). Ceramics International, 49(5), 601-612.</w:t>
      </w:r>
    </w:p>
    <w:p>
      <w:pPr>
        <w:jc w:val="both"/>
      </w:pPr>
      <w:r>
        <w:rPr>
          <w:sz w:val="20"/>
          <w:szCs w:val="20"/>
          <w:rFonts w:ascii="Times New Roman" w:hAnsi="Times New Roman"/>
        </w:rPr>
        <w:t xml:space="preserve">[24] Anderson, V.L., McLean, R.A. (1974). Design of Experiments, Marcel Dekker.</w:t>
      </w:r>
    </w:p>
    <w:p>
      <w:pPr>
        <w:jc w:val="both"/>
      </w:pPr>
      <w:r>
        <w:rPr>
          <w:sz w:val="20"/>
          <w:szCs w:val="20"/>
          <w:rFonts w:ascii="Times New Roman" w:hAnsi="Times New Roman"/>
        </w:rPr>
        <w:t xml:space="preserve">[25] Zhang, L., Kumar, P. (2022). Int. J. Materials Sciences, 45(4), 327-339.</w:t>
      </w:r>
    </w:p>
    <w:p>
      <w:pPr>
        <w:jc w:val="both"/>
      </w:pPr>
      <w:r>
        <w:rPr>
          <w:sz w:val="20"/>
          <w:szCs w:val="20"/>
          <w:rFonts w:ascii="Times New Roman" w:hAnsi="Times New Roman"/>
        </w:rPr>
        <w:t xml:space="preserve">[26] Cornell, J.A. (2011). Experiments with Mixtures, 3rd ed., Wiley.</w:t>
      </w:r>
    </w:p>
    <w:p>
      <w:pPr>
        <w:jc w:val="both"/>
      </w:pPr>
      <w:r>
        <w:rPr>
          <w:sz w:val="20"/>
          <w:szCs w:val="20"/>
          <w:rFonts w:ascii="Times New Roman" w:hAnsi="Times New Roman"/>
        </w:rPr>
        <w:t xml:space="preserve">[27] Kanjilal, P., Majumdar, S.K., Pal, T.K. (2004). Scand. J. Metallurgy, 33(3), 146-159.</w:t>
      </w:r>
    </w:p>
    <w:p>
      <w:pPr>
        <w:jc w:val="both"/>
      </w:pPr>
      <w:r>
        <w:rPr>
          <w:sz w:val="20"/>
          <w:szCs w:val="20"/>
          <w:rFonts w:ascii="Times New Roman" w:hAnsi="Times New Roman"/>
        </w:rPr>
        <w:t xml:space="preserve">[28] Sharma, A., Chhibber, R. (2018). Ceramics International, 44(18), 22390-22401.</w:t>
      </w:r>
    </w:p>
    <w:p>
      <w:pPr>
        <w:jc w:val="both"/>
      </w:pPr>
      <w:r>
        <w:rPr>
          <w:sz w:val="20"/>
          <w:szCs w:val="20"/>
          <w:rFonts w:ascii="Times New Roman" w:hAnsi="Times New Roman"/>
        </w:rPr>
        <w:t xml:space="preserve">[29] Mukerji, J. (1965). J. American Ceramic Society, 48(4), 210-213.</w:t>
      </w:r>
    </w:p>
    <w:p>
      <w:pPr>
        <w:jc w:val="both"/>
      </w:pPr>
      <w:r>
        <w:rPr>
          <w:sz w:val="20"/>
          <w:szCs w:val="20"/>
          <w:rFonts w:ascii="Times New Roman" w:hAnsi="Times New Roman"/>
        </w:rPr>
        <w:t xml:space="preserve">[30] Kang, Y.B., Jung, I.H., Lee, H.G. (2006). Calphad, 30(3), 235-247.</w:t>
      </w:r>
    </w:p>
    <w:p>
      <w:pPr>
        <w:jc w:val="both"/>
      </w:pPr>
      <w:r>
        <w:rPr>
          <w:sz w:val="20"/>
          <w:szCs w:val="20"/>
          <w:rFonts w:ascii="Times New Roman" w:hAnsi="Times New Roman"/>
        </w:rPr>
        <w:t xml:space="preserve">[31] Kang, Y.B., Jung, I.H., Lee, H.G. (2006). Calphad, 30(3), 235-247.</w:t>
      </w:r>
    </w:p>
    <w:p>
      <w:pPr>
        <w:jc w:val="both"/>
      </w:pPr>
      <w:r>
        <w:rPr>
          <w:sz w:val="20"/>
          <w:szCs w:val="20"/>
          <w:rFonts w:ascii="Times New Roman" w:hAnsi="Times New Roman"/>
        </w:rPr>
        <w:t xml:space="preserve">[32] Sarkar, A. et al. (2018). Calphad, 61, 140-147.</w:t>
      </w:r>
    </w:p>
    <w:p>
      <w:pPr>
        <w:jc w:val="both"/>
      </w:pPr>
      <w:r>
        <w:rPr>
          <w:sz w:val="20"/>
          <w:szCs w:val="20"/>
          <w:rFonts w:ascii="Times New Roman" w:hAnsi="Times New Roman"/>
        </w:rPr>
        <w:t xml:space="preserve">[33] Sarkar, A. et al. (2018). Calphad, 61, 140-147.</w:t>
      </w:r>
    </w:p>
    <w:p>
      <w:pPr>
        <w:jc w:val="both"/>
      </w:pPr>
      <w:r>
        <w:rPr>
          <w:sz w:val="20"/>
          <w:szCs w:val="20"/>
          <w:rFonts w:ascii="Times New Roman" w:hAnsi="Times New Roman"/>
        </w:rPr>
        <w:t xml:space="preserve">[34] Wong-Ng, W., Roth, R.S. (2001). J. Res. NIST, 106(6), 1075-1114.</w:t>
      </w:r>
    </w:p>
    <w:p>
      <w:pPr>
        <w:jc w:val="both"/>
      </w:pPr>
      <w:r>
        <w:rPr>
          <w:sz w:val="20"/>
          <w:szCs w:val="20"/>
          <w:rFonts w:ascii="Times New Roman" w:hAnsi="Times New Roman"/>
        </w:rPr>
        <w:t xml:space="preserve">[35] Kou, S. (2003). Welding Metallurgy, 2nd ed., John Wiley and Sons.</w:t>
      </w:r>
    </w:p>
    <w:p>
      <w:pPr>
        <w:jc w:val="both"/>
      </w:pPr>
      <w:r>
        <w:rPr>
          <w:sz w:val="20"/>
          <w:szCs w:val="20"/>
          <w:rFonts w:ascii="Times New Roman" w:hAnsi="Times New Roman"/>
        </w:rPr>
        <w:t xml:space="preserve">[36] Eagar, T.W. (1978). Welding Journal, 57(3), 76s-80s.</w:t>
      </w:r>
    </w:p>
    <w:p>
      <w:pPr>
        <w:jc w:val="both"/>
      </w:pPr>
      <w:r>
        <w:rPr>
          <w:sz w:val="20"/>
          <w:szCs w:val="20"/>
          <w:rFonts w:ascii="Times New Roman" w:hAnsi="Times New Roman"/>
        </w:rPr>
        <w:t xml:space="preserve">[37] Chai, C.S., Eagar, T.W. (1982). Welding Journal, 61(7), 229s-232s.</w:t>
      </w:r>
    </w:p>
    <w:p>
      <w:pPr>
        <w:jc w:val="both"/>
      </w:pPr>
      <w:r>
        <w:rPr>
          <w:sz w:val="20"/>
          <w:szCs w:val="20"/>
          <w:rFonts w:ascii="Times New Roman" w:hAnsi="Times New Roman"/>
        </w:rPr>
        <w:t xml:space="preserve">[38] Robinson, S., Gupta, P. (2020). Welding Journal, 99(7), 79-87.</w:t>
      </w:r>
    </w:p>
    <w:p>
      <w:pPr>
        <w:jc w:val="both"/>
      </w:pPr>
      <w:r>
        <w:rPr>
          <w:sz w:val="20"/>
          <w:szCs w:val="20"/>
          <w:rFonts w:ascii="Times New Roman" w:hAnsi="Times New Roman"/>
        </w:rPr>
        <w:t xml:space="preserve">[39] Palm, H.J. (1972). Welding Journal, 51(7), 358s-360s.</w:t>
      </w:r>
    </w:p>
    <w:p>
      <w:pPr>
        <w:jc w:val="both"/>
      </w:pPr>
      <w:r>
        <w:rPr>
          <w:sz w:val="20"/>
          <w:szCs w:val="20"/>
          <w:rFonts w:ascii="Times New Roman" w:hAnsi="Times New Roman"/>
        </w:rPr>
        <w:t xml:space="preserve">[40] Coetsee, T. et al. (2021). J. Mater. Res. Technol., 11, 2021-2036.</w:t>
      </w:r>
    </w:p>
    <w:p>
      <w:pPr>
        <w:jc w:val="both"/>
      </w:pPr>
      <w:r>
        <w:rPr>
          <w:sz w:val="20"/>
          <w:szCs w:val="20"/>
          <w:rFonts w:ascii="Times New Roman" w:hAnsi="Times New Roman"/>
        </w:rPr>
        <w:t xml:space="preserve">[41] Murugan, N., Gunaraj, V. (2005). J. Mater. Process. Technol., 168(3), 478-487.</w:t>
      </w:r>
    </w:p>
    <w:p>
      <w:pPr>
        <w:jc w:val="both"/>
      </w:pPr>
      <w:r>
        <w:rPr>
          <w:sz w:val="20"/>
          <w:szCs w:val="20"/>
          <w:rFonts w:ascii="Times New Roman" w:hAnsi="Times New Roman"/>
        </w:rPr>
        <w:t xml:space="preserve">[42] Hashemi, S.H., Mohammadyani, D. (2012). Int. J. Pressure Vessels Piping, 98, 8-15.</w:t>
      </w:r>
    </w:p>
    <w:p>
      <w:pPr>
        <w:jc w:val="both"/>
      </w:pPr>
      <w:r>
        <w:rPr>
          <w:sz w:val="20"/>
          <w:szCs w:val="20"/>
          <w:rFonts w:ascii="Times New Roman" w:hAnsi="Times New Roman"/>
        </w:rPr>
        <w:t xml:space="preserve">[43] Sharma, L., Chhibber, R. (2019). Int. J. Pressure Vessels Piping, 165, 193-207.</w:t>
      </w:r>
    </w:p>
    <w:p>
      <w:pPr>
        <w:jc w:val="both"/>
      </w:pPr>
      <w:r>
        <w:rPr>
          <w:sz w:val="20"/>
          <w:szCs w:val="20"/>
          <w:rFonts w:ascii="Times New Roman" w:hAnsi="Times New Roman"/>
        </w:rPr>
        <w:t xml:space="preserve">[44] Mohammadijoo, M. et al. (2016). University of Alberta.</w:t>
      </w:r>
    </w:p>
    <w:p>
      <w:pPr>
        <w:jc w:val="both"/>
      </w:pPr>
      <w:r>
        <w:rPr>
          <w:sz w:val="20"/>
          <w:szCs w:val="20"/>
          <w:rFonts w:ascii="Times New Roman" w:hAnsi="Times New Roman"/>
        </w:rPr>
        <w:t xml:space="preserve">[45] Bang, K., Park, C., Jung, H., Lee, J. (2009). Met. Mater. Int., 15(3), 471-477.</w:t>
      </w:r>
    </w:p>
    <w:p>
      <w:pPr>
        <w:jc w:val="both"/>
      </w:pPr>
      <w:r>
        <w:rPr>
          <w:sz w:val="20"/>
          <w:szCs w:val="20"/>
          <w:rFonts w:ascii="Times New Roman" w:hAnsi="Times New Roman"/>
        </w:rPr>
        <w:t xml:space="preserve">[46] Li, L., Xu, L. (2004). Handbook of Mechanical Alloy Design, Marcel Dekker, 249-320.</w:t>
      </w:r>
    </w:p>
    <w:p>
      <w:pPr>
        <w:jc w:val="both"/>
      </w:pPr>
      <w:r>
        <w:rPr>
          <w:sz w:val="20"/>
          <w:szCs w:val="20"/>
          <w:rFonts w:ascii="Times New Roman" w:hAnsi="Times New Roman"/>
        </w:rPr>
        <w:t xml:space="preserve">[47] Hillenbrand, H.G. et al. (2001). Niobium Science and Technology, TMS, 543-569.</w:t>
      </w:r>
    </w:p>
    <w:p>
      <w:pPr>
        <w:jc w:val="both"/>
      </w:pPr>
      <w:r>
        <w:rPr>
          <w:sz w:val="20"/>
          <w:szCs w:val="20"/>
          <w:rFonts w:ascii="Times New Roman" w:hAnsi="Times New Roman"/>
        </w:rPr>
        <w:t xml:space="preserve">[48] Sami, Z. et al. (2014). Mater. Sci. Eng. A, 598, 338-342.</w:t>
      </w:r>
    </w:p>
    <w:p>
      <w:pPr>
        <w:jc w:val="both"/>
      </w:pPr>
      <w:r>
        <w:rPr>
          <w:sz w:val="20"/>
          <w:szCs w:val="20"/>
          <w:rFonts w:ascii="Times New Roman" w:hAnsi="Times New Roman"/>
        </w:rPr>
        <w:t xml:space="preserve">[49] Liu, S., Olson, D.L. (1986). Welding Journal, 65(6), 139s-149s.</w:t>
      </w:r>
    </w:p>
    <w:p>
      <w:pPr>
        <w:jc w:val="both"/>
      </w:pPr>
      <w:r>
        <w:rPr>
          <w:sz w:val="20"/>
          <w:szCs w:val="20"/>
          <w:rFonts w:ascii="Times New Roman" w:hAnsi="Times New Roman"/>
        </w:rPr>
        <w:t xml:space="preserve">[50] Gupta, M., Rao, S. (2022). J. Mater. Eng. Perform., 31(7), 451-462.</w:t>
      </w:r>
    </w:p>
    <w:p>
      <w:pPr>
        <w:jc w:val="both"/>
      </w:pPr>
      <w:r>
        <w:rPr>
          <w:sz w:val="20"/>
          <w:szCs w:val="20"/>
          <w:rFonts w:ascii="Times New Roman" w:hAnsi="Times New Roman"/>
        </w:rPr>
        <w:t xml:space="preserve">[51] Sharma, L., Chhibber, R. (2019). J. Pressure Vessel Technol., 141(1), 011401.</w:t>
      </w:r>
    </w:p>
    <w:p>
      <w:pPr>
        <w:jc w:val="both"/>
      </w:pPr>
      <w:r>
        <w:rPr>
          <w:sz w:val="20"/>
          <w:szCs w:val="20"/>
          <w:rFonts w:ascii="Times New Roman" w:hAnsi="Times New Roman"/>
        </w:rPr>
        <w:t xml:space="preserve">[52] Roy, P., Sen, A. (2024). Powder Technology, 403, 117-124.</w:t>
      </w:r>
    </w:p>
    <w:p>
      <w:pPr>
        <w:jc w:val="both"/>
      </w:pPr>
      <w:r>
        <w:rPr>
          <w:sz w:val="20"/>
          <w:szCs w:val="20"/>
          <w:rFonts w:ascii="Times New Roman" w:hAnsi="Times New Roman"/>
        </w:rPr>
        <w:t xml:space="preserve">[53] Pandey, N.D. et al. (1994). J. Mater. Process. Technol., 40(1-2), 195-211.</w:t>
      </w:r>
    </w:p>
    <w:p>
      <w:pPr>
        <w:jc w:val="both"/>
      </w:pPr>
      <w:r>
        <w:rPr>
          <w:sz w:val="20"/>
          <w:szCs w:val="20"/>
          <w:rFonts w:ascii="Times New Roman" w:hAnsi="Times New Roman"/>
        </w:rPr>
        <w:t xml:space="preserve">[54] Paniagua-Mercado, A.M., Lopez-Hirata, V.M. (2011). Arc Welding, InTech, 281-298.</w:t>
      </w:r>
    </w:p>
    <w:p>
      <w:pPr>
        <w:jc w:val="both"/>
      </w:pPr>
      <w:r>
        <w:rPr>
          <w:sz w:val="20"/>
          <w:szCs w:val="20"/>
          <w:rFonts w:ascii="Times New Roman" w:hAnsi="Times New Roman"/>
        </w:rPr>
        <w:t xml:space="preserve">[55] Kumar, R., Singh, K. (2021). J. Manufacturing Processes, 64, 1355-1368.</w:t>
      </w:r>
    </w:p>
    <w:p>
      <w:pPr>
        <w:jc w:val="both"/>
      </w:pPr>
      <w:r>
        <w:rPr>
          <w:sz w:val="20"/>
          <w:szCs w:val="20"/>
          <w:rFonts w:ascii="Times New Roman" w:hAnsi="Times New Roman"/>
        </w:rPr>
        <w:t xml:space="preserve">[56] Lau, T. et al. (1985). Welding Journal, 64(12), 343s-347s.</w:t>
      </w:r>
    </w:p>
    <w:p>
      <w:pPr>
        <w:jc w:val="both"/>
      </w:pPr>
      <w:r>
        <w:rPr>
          <w:sz w:val="20"/>
          <w:szCs w:val="20"/>
          <w:rFonts w:ascii="Times New Roman" w:hAnsi="Times New Roman"/>
        </w:rPr>
        <w:t xml:space="preserve">[57] Dallam, C.B. et al. (1985). Welding Journal, 64(5), 140s-152s.</w:t>
      </w:r>
    </w:p>
    <w:p>
      <w:pPr>
        <w:jc w:val="both"/>
      </w:pPr>
      <w:r>
        <w:rPr>
          <w:sz w:val="20"/>
          <w:szCs w:val="20"/>
          <w:rFonts w:ascii="Times New Roman" w:hAnsi="Times New Roman"/>
        </w:rPr>
        <w:t xml:space="preserve">[58] Chai, C.S., Eagar, T.W. (1981). Metall. Trans. B, 12(3), 539-547.</w:t>
      </w:r>
    </w:p>
    <w:p>
      <w:pPr>
        <w:jc w:val="both"/>
      </w:pPr>
      <w:r>
        <w:rPr>
          <w:sz w:val="20"/>
          <w:szCs w:val="20"/>
          <w:rFonts w:ascii="Times New Roman" w:hAnsi="Times New Roman"/>
        </w:rPr>
        <w:t xml:space="preserve">[59] Waris, K.N., Chhibber, R. (2021). Proc. IMechE Part L, 235(8), 1893-1907.</w:t>
      </w:r>
    </w:p>
    <w:p>
      <w:pPr>
        <w:jc w:val="both"/>
      </w:pPr>
      <w:r>
        <w:rPr>
          <w:sz w:val="20"/>
          <w:szCs w:val="20"/>
          <w:rFonts w:ascii="Times New Roman" w:hAnsi="Times New Roman"/>
        </w:rPr>
        <w:t xml:space="preserve">[60] Burck, P.A. et al. (1990). Welding Journal, 69(2), 61s-67s.</w:t>
      </w:r>
    </w:p>
    <w:p>
      <w:pPr>
        <w:jc w:val="both"/>
      </w:pPr>
      <w:r>
        <w:rPr>
          <w:sz w:val="20"/>
          <w:szCs w:val="20"/>
          <w:rFonts w:ascii="Times New Roman" w:hAnsi="Times New Roman"/>
        </w:rPr>
        <w:t xml:space="preserve">[61] Pandey, N.D., Bharti, A., Gupta, S.R. (1994). J. Mater. Process. Technol., 40(1-2), 195-211.</w:t>
      </w:r>
    </w:p>
    <w:p>
      <w:pPr>
        <w:jc w:val="both"/>
      </w:pPr>
      <w:r>
        <w:rPr>
          <w:sz w:val="20"/>
          <w:szCs w:val="20"/>
          <w:rFonts w:ascii="Times New Roman" w:hAnsi="Times New Roman"/>
        </w:rPr>
        <w:t xml:space="preserve">[62] Sharma, A., Chhibber, R. (2018). Ceramics International, 44(18), 22390-22401.</w:t>
      </w:r>
    </w:p>
    <w:p>
      <w:pPr>
        <w:jc w:val="both"/>
      </w:pPr>
      <w:r>
        <w:rPr>
          <w:sz w:val="20"/>
          <w:szCs w:val="20"/>
          <w:rFonts w:ascii="Times New Roman" w:hAnsi="Times New Roman"/>
        </w:rPr>
        <w:t xml:space="preserve">[63] Chen, D., Huang, L. (2022). Materials and Design, 215, Article 110-345.</w:t>
      </w:r>
    </w:p>
    <w:p>
      <w:pPr>
        <w:jc w:val="both"/>
      </w:pPr>
      <w:r>
        <w:rPr>
          <w:sz w:val="20"/>
          <w:szCs w:val="20"/>
          <w:rFonts w:ascii="Times New Roman" w:hAnsi="Times New Roman"/>
        </w:rPr>
        <w:t xml:space="preserve">[64] Omar, H., Li, X. (2022). Materials Characterization, 187, Article 111-220.</w:t>
      </w:r>
    </w:p>
    <w:p>
      <w:pPr>
        <w:jc w:val="both"/>
      </w:pPr>
      <w:r>
        <w:rPr>
          <w:sz w:val="20"/>
          <w:szCs w:val="20"/>
          <w:rFonts w:ascii="Times New Roman" w:hAnsi="Times New Roman"/>
        </w:rPr>
        <w:t xml:space="preserve">[65] Chen, D., Huang, L. (2022). Materials and Design, 215, Article 110-345.</w:t>
      </w:r>
    </w:p>
    <w:p>
      <w:pPr>
        <w:jc w:val="both"/>
      </w:pPr>
      <w:r>
        <w:rPr>
          <w:sz w:val="20"/>
          <w:szCs w:val="20"/>
          <w:rFonts w:ascii="Times New Roman" w:hAnsi="Times New Roman"/>
        </w:rPr>
        <w:t xml:space="preserve">[66] Singh, B. et al. (2013). Int. J. Current Research, 5(12), 4181-4186.</w:t>
      </w:r>
    </w:p>
    <w:p>
      <w:pPr>
        <w:jc w:val="both"/>
      </w:pPr>
      <w:r>
        <w:rPr>
          <w:sz w:val="20"/>
          <w:szCs w:val="20"/>
          <w:rFonts w:ascii="Times New Roman" w:hAnsi="Times New Roman"/>
        </w:rPr>
        <w:t xml:space="preserve">[67] Kowalski, M., Nowak, P. (2023). Archives Metall. Mater., 68(2), 503-512.</w:t>
      </w:r>
    </w:p>
    <w:p>
      <w:pPr>
        <w:jc w:val="both"/>
      </w:pPr>
      <w:r>
        <w:rPr>
          <w:sz w:val="20"/>
          <w:szCs w:val="20"/>
          <w:rFonts w:ascii="Times New Roman" w:hAnsi="Times New Roman"/>
        </w:rPr>
        <w:t xml:space="preserve">[68] Sharma, A., Chhibber, R. (2018). Ceramics International, 44(18), 22390-22401.</w:t>
      </w:r>
    </w:p>
    <w:p>
      <w:pPr>
        <w:jc w:val="both"/>
      </w:pPr>
      <w:r>
        <w:rPr>
          <w:sz w:val="20"/>
          <w:szCs w:val="20"/>
          <w:rFonts w:ascii="Times New Roman" w:hAnsi="Times New Roman"/>
        </w:rPr>
        <w:t xml:space="preserve">[69] Kowalski, M., Nowak, P. (2023). Archives Metall. Mater., 68(2), 503-512.</w:t>
      </w:r>
    </w:p>
    <w:p>
      <w:pPr>
        <w:jc w:val="both"/>
      </w:pPr>
      <w:r>
        <w:rPr>
          <w:sz w:val="20"/>
          <w:szCs w:val="20"/>
          <w:rFonts w:ascii="Times New Roman" w:hAnsi="Times New Roman"/>
        </w:rPr>
        <w:t xml:space="preserve">[70] Singh, P., Kumar, S., Sharma, A. (2019). Ceramics International, 45(15), 19087-19096.</w:t>
      </w:r>
    </w:p>
    <w:p>
      <w:pPr>
        <w:jc w:val="both"/>
      </w:pPr>
      <w:r>
        <w:rPr>
          <w:sz w:val="20"/>
          <w:szCs w:val="20"/>
          <w:rFonts w:ascii="Times New Roman" w:hAnsi="Times New Roman"/>
        </w:rPr>
        <w:t xml:space="preserve">[71] Singh, P., Kumar, S., Sharma, A. (2019). Ceramics International, 45(15), 19087-19096.</w:t>
      </w:r>
    </w:p>
    <w:p>
      <w:pPr>
        <w:jc w:val="both"/>
      </w:pPr>
      <w:r>
        <w:rPr>
          <w:sz w:val="20"/>
          <w:szCs w:val="20"/>
          <w:rFonts w:ascii="Times New Roman" w:hAnsi="Times New Roman"/>
        </w:rPr>
        <w:t xml:space="preserve">[72] Kumar, R., Singh, K., Pandey, S. (2018). Global J. Res. Eng., 12(3), 15-24.</w:t>
      </w:r>
    </w:p>
    <w:p>
      <w:pPr>
        <w:jc w:val="both"/>
      </w:pPr>
      <w:r>
        <w:rPr>
          <w:sz w:val="20"/>
          <w:szCs w:val="20"/>
          <w:rFonts w:ascii="Times New Roman" w:hAnsi="Times New Roman"/>
        </w:rPr>
        <w:t xml:space="preserve">[73] Hot Disk Instruments (2025). Thermal conductivity measurement systems.</w:t>
      </w:r>
    </w:p>
    <w:p>
      <w:pPr>
        <w:jc w:val="both"/>
      </w:pPr>
      <w:r>
        <w:rPr>
          <w:sz w:val="20"/>
          <w:szCs w:val="20"/>
          <w:rFonts w:ascii="Times New Roman" w:hAnsi="Times New Roman"/>
        </w:rPr>
        <w:t xml:space="preserve">[74] Wang, Q., Xu, Y. (2023). J. Thermal Analysis Calorimetry, 151(2), 129-138.</w:t>
      </w:r>
    </w:p>
    <w:p>
      <w:pPr>
        <w:jc w:val="both"/>
      </w:pPr>
      <w:r>
        <w:rPr>
          <w:sz w:val="20"/>
          <w:szCs w:val="20"/>
          <w:rFonts w:ascii="Times New Roman" w:hAnsi="Times New Roman"/>
        </w:rPr>
        <w:t xml:space="preserve">[75] Wang, Q., Xu, Y. (2023). J. Thermal Analysis Calorimetry, 151(2), 129-138.</w:t>
      </w:r>
    </w:p>
    <w:p>
      <w:pPr>
        <w:jc w:val="both"/>
      </w:pPr>
      <w:r>
        <w:rPr>
          <w:sz w:val="20"/>
          <w:szCs w:val="20"/>
          <w:rFonts w:ascii="Times New Roman" w:hAnsi="Times New Roman"/>
        </w:rPr>
        <w:t xml:space="preserve">[76] Ferreira, L., Oliveira, P. (2022). J. Thermal Science, 31(4), 278-289.</w:t>
      </w:r>
    </w:p>
    <w:p>
      <w:pPr>
        <w:jc w:val="both"/>
      </w:pPr>
      <w:r>
        <w:rPr>
          <w:sz w:val="20"/>
          <w:szCs w:val="20"/>
          <w:rFonts w:ascii="Times New Roman" w:hAnsi="Times New Roman"/>
        </w:rPr>
        <w:t xml:space="preserve">[77] White, G.K., Collocott, S.J. (2022). Int. J. Heat Mass Transfer, 186, 122463.</w:t>
      </w:r>
    </w:p>
    <w:p>
      <w:pPr>
        <w:jc w:val="both"/>
      </w:pPr>
      <w:r>
        <w:rPr>
          <w:sz w:val="20"/>
          <w:szCs w:val="20"/>
          <w:rFonts w:ascii="Times New Roman" w:hAnsi="Times New Roman"/>
        </w:rPr>
        <w:t xml:space="preserve">[78] White, G.K., Collocott, S.J. (2022). Int. J. Heat Mass Transfer, 186, 122463.</w:t>
      </w:r>
    </w:p>
    <w:p>
      <w:pPr>
        <w:jc w:val="both"/>
      </w:pPr>
      <w:r>
        <w:rPr>
          <w:sz w:val="20"/>
          <w:szCs w:val="20"/>
          <w:rFonts w:ascii="Times New Roman" w:hAnsi="Times New Roman"/>
        </w:rPr>
        <w:t xml:space="preserve">[79] Ferreira, L., Oliveira, P. (2022). J. Thermal Science, 31(4), 278-289.</w:t>
      </w:r>
    </w:p>
    <w:p>
      <w:pPr>
        <w:jc w:val="both"/>
      </w:pPr>
      <w:r>
        <w:rPr>
          <w:sz w:val="20"/>
          <w:szCs w:val="20"/>
          <w:rFonts w:ascii="Times New Roman" w:hAnsi="Times New Roman"/>
        </w:rPr>
        <w:t xml:space="preserve">[80] Sharma, A., Chhibber, R. (2018). Proc. IMechE Part B, 233(4), 1077-1089.</w:t>
      </w:r>
    </w:p>
    <w:p>
      <w:pPr>
        <w:jc w:val="both"/>
      </w:pPr>
      <w:r>
        <w:rPr>
          <w:sz w:val="20"/>
          <w:szCs w:val="20"/>
          <w:rFonts w:ascii="Times New Roman" w:hAnsi="Times New Roman"/>
        </w:rPr>
        <w:t xml:space="preserve">[81] Kim, J.B. et al. (2018). Metall. Mater. Trans. A, 49(7), 2705-2720.</w:t>
      </w:r>
    </w:p>
    <w:p>
      <w:pPr>
        <w:jc w:val="both"/>
      </w:pPr>
      <w:r>
        <w:rPr>
          <w:sz w:val="20"/>
          <w:szCs w:val="20"/>
          <w:rFonts w:ascii="Times New Roman" w:hAnsi="Times New Roman"/>
        </w:rPr>
        <w:t xml:space="preserve">[82] Ren, J., Zhao, J. (2018). Scientific Reports, 8, 10405.</w:t>
      </w:r>
    </w:p>
    <w:p>
      <w:pPr>
        <w:jc w:val="both"/>
      </w:pPr>
      <w:r>
        <w:rPr>
          <w:sz w:val="20"/>
          <w:szCs w:val="20"/>
          <w:rFonts w:ascii="Times New Roman" w:hAnsi="Times New Roman"/>
        </w:rPr>
        <w:t xml:space="preserve">[83] Ren, J., Zhao, J. (2018). Scientific Reports, 8, 10405.</w:t>
      </w:r>
    </w:p>
    <w:p>
      <w:pPr>
        <w:jc w:val="both"/>
      </w:pPr>
      <w:r>
        <w:rPr>
          <w:sz w:val="20"/>
          <w:szCs w:val="20"/>
          <w:rFonts w:ascii="Times New Roman" w:hAnsi="Times New Roman"/>
        </w:rPr>
        <w:t xml:space="preserve">[84] Kang, Y.B., Morita, K. (2009). Molten Slags Fluxes Salts Conf. Proc., 171-180.</w:t>
      </w:r>
    </w:p>
    <w:p>
      <w:pPr>
        <w:jc w:val="both"/>
      </w:pPr>
      <w:r>
        <w:rPr>
          <w:sz w:val="20"/>
          <w:szCs w:val="20"/>
          <w:rFonts w:ascii="Times New Roman" w:hAnsi="Times New Roman"/>
        </w:rPr>
        <w:t xml:space="preserve">[85] Mitra, U., Eagar, T.W. (1984). Metall. Trans. A, 15(1), 217-227.</w:t>
      </w:r>
    </w:p>
    <w:p>
      <w:pPr>
        <w:jc w:val="both"/>
      </w:pPr>
      <w:r>
        <w:rPr>
          <w:sz w:val="20"/>
          <w:szCs w:val="20"/>
          <w:rFonts w:ascii="Times New Roman" w:hAnsi="Times New Roman"/>
        </w:rPr>
        <w:t xml:space="preserve">[86] Chai, C.S., Eagar, T.W. (1980). Welding Journal, 59(3), 93s-98s.</w:t>
      </w:r>
    </w:p>
    <w:p>
      <w:pPr>
        <w:jc w:val="both"/>
      </w:pPr>
      <w:r>
        <w:rPr>
          <w:sz w:val="20"/>
          <w:szCs w:val="20"/>
          <w:rFonts w:ascii="Times New Roman" w:hAnsi="Times New Roman"/>
        </w:rPr>
        <w:t xml:space="preserve">[87] Negi, V., Chattopadhyaya, S. (2013). Adv. Mater. Sci. Eng., 2013, 543594.</w:t>
      </w:r>
    </w:p>
    <w:p>
      <w:pPr>
        <w:jc w:val="both"/>
      </w:pPr>
      <w:r>
        <w:rPr>
          <w:sz w:val="20"/>
          <w:szCs w:val="20"/>
          <w:rFonts w:ascii="Times New Roman" w:hAnsi="Times New Roman"/>
        </w:rPr>
        <w:t xml:space="preserve">[88] Negi, V., Chattopadhyaya, S. (2013). Adv. Mater. Sci. Eng., 2013, 543594.</w:t>
      </w:r>
    </w:p>
    <w:p>
      <w:pPr>
        <w:jc w:val="both"/>
      </w:pPr>
      <w:r>
        <w:rPr>
          <w:sz w:val="20"/>
          <w:szCs w:val="20"/>
          <w:rFonts w:ascii="Times New Roman" w:hAnsi="Times New Roman"/>
        </w:rPr>
        <w:t xml:space="preserve">[89] Indacochea, J.E. et al. (1985). Metall. Trans. B, 16(2), 237-245.</w:t>
      </w:r>
    </w:p>
    <w:p>
      <w:pPr>
        <w:jc w:val="both"/>
      </w:pPr>
      <w:r>
        <w:rPr>
          <w:sz w:val="20"/>
          <w:szCs w:val="20"/>
          <w:rFonts w:ascii="Times New Roman" w:hAnsi="Times New Roman"/>
        </w:rPr>
        <w:t xml:space="preserve">[90] Wang, C., Zhang, J. (2021). Acta Metall. Sinica, 57(9), 1126-1140.</w:t>
      </w:r>
    </w:p>
    <w:p>
      <w:pPr>
        <w:jc w:val="both"/>
      </w:pPr>
      <w:r>
        <w:rPr>
          <w:sz w:val="20"/>
          <w:szCs w:val="20"/>
          <w:rFonts w:ascii="Times New Roman" w:hAnsi="Times New Roman"/>
        </w:rPr>
        <w:t xml:space="preserve">[91] Muller, T., Becker, R. (2023). J. Applied Crystallography, 56(1), 33-44.</w:t>
      </w:r>
    </w:p>
    <w:p>
      <w:pPr>
        <w:jc w:val="both"/>
      </w:pPr>
      <w:r>
        <w:rPr>
          <w:sz w:val="20"/>
          <w:szCs w:val="20"/>
          <w:rFonts w:ascii="Times New Roman" w:hAnsi="Times New Roman"/>
        </w:rPr>
        <w:t xml:space="preserve">[92] Muller, T., Becker, R. (2023). J. Applied Crystallography, 56(1), 33-44.</w:t>
      </w:r>
    </w:p>
    <w:p>
      <w:pPr>
        <w:jc w:val="both"/>
      </w:pPr>
      <w:r>
        <w:rPr>
          <w:sz w:val="20"/>
          <w:szCs w:val="20"/>
          <w:rFonts w:ascii="Times New Roman" w:hAnsi="Times New Roman"/>
        </w:rPr>
        <w:t xml:space="preserve">[93] Nakamura, H., Ito, K. (2022). Powder Diffraction, 37(3), 158-167.</w:t>
      </w:r>
    </w:p>
    <w:p>
      <w:pPr>
        <w:jc w:val="both"/>
      </w:pPr>
      <w:r>
        <w:rPr>
          <w:sz w:val="20"/>
          <w:szCs w:val="20"/>
          <w:rFonts w:ascii="Times New Roman" w:hAnsi="Times New Roman"/>
        </w:rPr>
        <w:t xml:space="preserve">[94] Coetsee, T. (2020). Phase chemistry of SAW fluoride based fluxes, Univ. Pretoria.</w:t>
      </w:r>
    </w:p>
    <w:p>
      <w:pPr>
        <w:jc w:val="both"/>
      </w:pPr>
      <w:r>
        <w:rPr>
          <w:sz w:val="20"/>
          <w:szCs w:val="20"/>
          <w:rFonts w:ascii="Times New Roman" w:hAnsi="Times New Roman"/>
        </w:rPr>
        <w:t xml:space="preserve">[95] Coetsee, T. (2018). J. South African Inst. Mining Metall., 118(7), 707-715.</w:t>
      </w:r>
    </w:p>
    <w:p>
      <w:pPr>
        <w:jc w:val="both"/>
      </w:pPr>
      <w:r>
        <w:rPr>
          <w:sz w:val="20"/>
          <w:szCs w:val="20"/>
          <w:rFonts w:ascii="Times New Roman" w:hAnsi="Times New Roman"/>
        </w:rPr>
        <w:t xml:space="preserve">[96] Kim, J.H., Lee, S.B., Park, Y.D. (2023). J. Manufacturing Processes, 89, 245-257.</w:t>
      </w:r>
    </w:p>
    <w:p>
      <w:pPr>
        <w:jc w:val="both"/>
      </w:pPr>
      <w:r>
        <w:rPr>
          <w:sz w:val="20"/>
          <w:szCs w:val="20"/>
          <w:rFonts w:ascii="Times New Roman" w:hAnsi="Times New Roman"/>
        </w:rPr>
        <w:t xml:space="preserve">[97] Thamaphat, K. et al. (2008). Agriculture Natural Resources, 42(3), 357-361.</w:t>
      </w:r>
    </w:p>
    <w:p>
      <w:pPr>
        <w:jc w:val="both"/>
      </w:pPr>
      <w:r>
        <w:rPr>
          <w:sz w:val="20"/>
          <w:szCs w:val="20"/>
          <w:rFonts w:ascii="Times New Roman" w:hAnsi="Times New Roman"/>
        </w:rPr>
        <w:t xml:space="preserve">[98] Thamaphat, K. et al. (2008). Agriculture Natural Resources, 42(3), 357-361.</w:t>
      </w:r>
    </w:p>
    <w:p>
      <w:pPr>
        <w:jc w:val="both"/>
      </w:pPr>
      <w:r>
        <w:rPr>
          <w:sz w:val="20"/>
          <w:szCs w:val="20"/>
          <w:rFonts w:ascii="Times New Roman" w:hAnsi="Times New Roman"/>
        </w:rPr>
        <w:t xml:space="preserve">[99] Paniagua-Mercado, A.M. et al. (2005). J. Mater. Process. Technol., 169(3), 346-351.</w:t>
      </w:r>
    </w:p>
    <w:p>
      <w:pPr>
        <w:jc w:val="both"/>
      </w:pPr>
      <w:r>
        <w:rPr>
          <w:sz w:val="20"/>
          <w:szCs w:val="20"/>
          <w:rFonts w:ascii="Times New Roman" w:hAnsi="Times New Roman"/>
        </w:rPr>
        <w:t xml:space="preserve">[100] Hernandez-Ortiz, M. et al. (2024). Frontiers Environ. Chem., 5, 1462678.</w:t>
      </w:r>
    </w:p>
    <w:p>
      <w:pPr>
        <w:jc w:val="both"/>
      </w:pPr>
      <w:r>
        <w:rPr>
          <w:sz w:val="20"/>
          <w:szCs w:val="20"/>
          <w:rFonts w:ascii="Times New Roman" w:hAnsi="Times New Roman"/>
        </w:rPr>
        <w:t xml:space="preserve">[101] Chen, L. et al. (2023). J. Hazardous Materials, 403, 123949.</w:t>
      </w:r>
    </w:p>
    <w:p>
      <w:pPr>
        <w:jc w:val="both"/>
      </w:pPr>
      <w:r>
        <w:rPr>
          <w:sz w:val="20"/>
          <w:szCs w:val="20"/>
          <w:rFonts w:ascii="Times New Roman" w:hAnsi="Times New Roman"/>
        </w:rPr>
        <w:t xml:space="preserve">[102] Hernandez-Ortiz, M. et al. (2024). Frontiers Environ. Chem., 5, 1462678.</w:t>
      </w:r>
    </w:p>
    <w:p>
      <w:pPr>
        <w:jc w:val="both"/>
      </w:pPr>
      <w:r>
        <w:rPr>
          <w:sz w:val="20"/>
          <w:szCs w:val="20"/>
          <w:rFonts w:ascii="Times New Roman" w:hAnsi="Times New Roman"/>
        </w:rPr>
        <w:t xml:space="preserve">[103] Lopez, V., Martinez, J. (2023). Infrared Physics and Technology, 128, 104-113.</w:t>
      </w:r>
    </w:p>
    <w:p>
      <w:pPr>
        <w:jc w:val="both"/>
      </w:pPr>
      <w:r>
        <w:rPr>
          <w:sz w:val="20"/>
          <w:szCs w:val="20"/>
          <w:rFonts w:ascii="Times New Roman" w:hAnsi="Times New Roman"/>
        </w:rPr>
        <w:t xml:space="preserve">[104] Lopez, V., Martinez, J. (2023). Infrared Physics and Technology, 128, 104-113.</w:t>
      </w:r>
    </w:p>
    <w:p>
      <w:pPr>
        <w:jc w:val="both"/>
      </w:pPr>
      <w:r>
        <w:rPr>
          <w:sz w:val="20"/>
          <w:szCs w:val="20"/>
          <w:rFonts w:ascii="Times New Roman" w:hAnsi="Times New Roman"/>
        </w:rPr>
        <w:t xml:space="preserve">[105] Chen, L. et al. (2023). J. Hazardous Materials, 403, 123949.</w:t>
      </w:r>
    </w:p>
    <w:p>
      <w:pPr>
        <w:jc w:val="both"/>
      </w:pPr>
      <w:r>
        <w:rPr>
          <w:sz w:val="20"/>
          <w:szCs w:val="20"/>
          <w:rFonts w:ascii="Times New Roman" w:hAnsi="Times New Roman"/>
        </w:rPr>
        <w:t xml:space="preserve">[106] Park, J.H., Min, D.J. (2014). ISIJ International, 54(1), 27-33.</w:t>
      </w:r>
    </w:p>
    <w:p>
      <w:pPr>
        <w:jc w:val="both"/>
      </w:pPr>
      <w:r>
        <w:rPr>
          <w:sz w:val="20"/>
          <w:szCs w:val="20"/>
          <w:rFonts w:ascii="Times New Roman" w:hAnsi="Times New Roman"/>
        </w:rPr>
        <w:t xml:space="preserve">[107] Hernandez-Ortiz, M. et al. (2024). Frontiers Environ. Chem., 5, 1462678.</w:t>
      </w:r>
    </w:p>
    <w:p>
      <w:pPr>
        <w:jc w:val="both"/>
      </w:pPr>
      <w:r>
        <w:rPr>
          <w:sz w:val="20"/>
          <w:szCs w:val="20"/>
          <w:rFonts w:ascii="Times New Roman" w:hAnsi="Times New Roman"/>
        </w:rPr>
        <w:t xml:space="preserve">[108] Park, J.H., Min, D.J. (2014). ISIJ International, 54(1), 27-33.</w:t>
      </w:r>
    </w:p>
    <w:p>
      <w:pPr>
        <w:jc w:val="both"/>
      </w:pPr>
      <w:r>
        <w:rPr>
          <w:sz w:val="20"/>
          <w:szCs w:val="20"/>
          <w:rFonts w:ascii="Times New Roman" w:hAnsi="Times New Roman"/>
        </w:rPr>
        <w:t xml:space="preserve">[109] Kim, J.H. et al. (2023). J. Manufacturing Processes, 89, 245-257.</w:t>
      </w:r>
    </w:p>
    <w:p>
      <w:pPr>
        <w:jc w:val="both"/>
      </w:pPr>
      <w:r>
        <w:rPr>
          <w:sz w:val="20"/>
          <w:szCs w:val="20"/>
          <w:rFonts w:ascii="Times New Roman" w:hAnsi="Times New Roman"/>
        </w:rPr>
        <w:t xml:space="preserve">[110] Sharma, L. et al. (2023). Silicon, 15(1), 305-319.</w:t>
      </w:r>
    </w:p>
    <w:p>
      <w:pPr>
        <w:jc w:val="both"/>
      </w:pPr>
      <w:r>
        <w:rPr>
          <w:sz w:val="20"/>
          <w:szCs w:val="20"/>
          <w:rFonts w:ascii="Times New Roman" w:hAnsi="Times New Roman"/>
        </w:rPr>
        <w:t xml:space="preserve">[111] Park, J.H., Min, D.J. (2014). ISIJ International, 54(1), 27-33.</w:t>
      </w:r>
    </w:p>
    <w:p>
      <w:pPr>
        <w:jc w:val="both"/>
      </w:pPr>
      <w:r>
        <w:rPr>
          <w:sz w:val="20"/>
          <w:szCs w:val="20"/>
          <w:rFonts w:ascii="Times New Roman" w:hAnsi="Times New Roman"/>
        </w:rPr>
        <w:t xml:space="preserve">[112] Hernandez-Ortiz, M. et al. (2024). Frontiers Environ. Chem., 5, 1462678.</w:t>
      </w:r>
    </w:p>
    <w:p>
      <w:pPr>
        <w:jc w:val="both"/>
      </w:pPr>
      <w:r>
        <w:rPr>
          <w:sz w:val="20"/>
          <w:szCs w:val="20"/>
          <w:rFonts w:ascii="Times New Roman" w:hAnsi="Times New Roman"/>
        </w:rPr>
        <w:t xml:space="preserve">[113] Sharma, A., Chhibber, R. (2018). Ceramics International, 44(18), 22390-22401.</w:t>
      </w:r>
    </w:p>
    <w:p>
      <w:pPr>
        <w:jc w:val="both"/>
      </w:pPr>
      <w:r>
        <w:rPr>
          <w:sz w:val="20"/>
          <w:szCs w:val="20"/>
          <w:rFonts w:ascii="Times New Roman" w:hAnsi="Times New Roman"/>
        </w:rPr>
        <w:t xml:space="preserve">[114] Park, J.H., Min, D.J. (2014). ISIJ International, 54(1), 27-33.</w:t>
      </w:r>
    </w:p>
    <w:p>
      <w:pPr>
        <w:jc w:val="both"/>
      </w:pPr>
      <w:r>
        <w:rPr>
          <w:sz w:val="20"/>
          <w:szCs w:val="20"/>
          <w:rFonts w:ascii="Times New Roman" w:hAnsi="Times New Roman"/>
        </w:rPr>
        <w:t xml:space="preserve">[115] Kim, J.H. et al. (2023). J. Manufacturing Processes, 89, 245-257.</w:t>
      </w:r>
    </w:p>
    <w:p>
      <w:pPr>
        <w:jc w:val="both"/>
      </w:pPr>
      <w:r>
        <w:rPr>
          <w:sz w:val="20"/>
          <w:szCs w:val="20"/>
          <w:rFonts w:ascii="Times New Roman" w:hAnsi="Times New Roman"/>
        </w:rPr>
        <w:t xml:space="preserve">[116] Park, J.H., Min, D.J. (2014). ISIJ International, 54(1), 27-33.</w:t>
      </w:r>
    </w:p>
    <w:p>
      <w:pPr>
        <w:jc w:val="both"/>
      </w:pPr>
      <w:r>
        <w:rPr>
          <w:sz w:val="20"/>
          <w:szCs w:val="20"/>
          <w:rFonts w:ascii="Times New Roman" w:hAnsi="Times New Roman"/>
        </w:rPr>
        <w:t xml:space="preserve">[117] Waris, K.N., Chhibber, R. (2021). Silicon, 13(7), 2441-2457.</w:t>
      </w:r>
    </w:p>
    <w:p>
      <w:pPr>
        <w:jc w:val="both"/>
      </w:pPr>
      <w:r>
        <w:rPr>
          <w:sz w:val="20"/>
          <w:szCs w:val="20"/>
          <w:rFonts w:ascii="Times New Roman" w:hAnsi="Times New Roman"/>
        </w:rPr>
        <w:t xml:space="preserve">[118] Thamaphat, K. et al. (2008). Agriculture Natural Resources, 42(3), 357-361.</w:t>
      </w:r>
    </w:p>
    <w:p>
      <w:pPr>
        <w:jc w:val="both"/>
      </w:pPr>
      <w:r>
        <w:rPr>
          <w:sz w:val="20"/>
          <w:szCs w:val="20"/>
          <w:rFonts w:ascii="Times New Roman" w:hAnsi="Times New Roman"/>
        </w:rPr>
        <w:t xml:space="preserve">[119] Sharma, L. et al. (2023). Silicon, 15(1), 305-319.</w:t>
      </w:r>
    </w:p>
    <w:p>
      <w:pPr>
        <w:jc w:val="both"/>
      </w:pPr>
      <w:r>
        <w:rPr>
          <w:sz w:val="20"/>
          <w:szCs w:val="20"/>
          <w:rFonts w:ascii="Times New Roman" w:hAnsi="Times New Roman"/>
        </w:rPr>
        <w:t xml:space="preserve">[120] Kim, J.H., Lee, S.B., Park, Y.D. (2023). J. Manufacturing Processes, 89, 245-257.</w:t>
      </w:r>
    </w:p>
    <w:p>
      <w:pPr>
        <w:jc w:val="both"/>
      </w:pPr>
      <w:r>
        <w:rPr>
          <w:sz w:val="20"/>
          <w:szCs w:val="20"/>
          <w:rFonts w:ascii="Times New Roman" w:hAnsi="Times New Roman"/>
        </w:rPr>
        <w:t xml:space="preserve">[121] Chen, D., Huang, L. (2022). Materials and Design, 215, Article 110-345.</w:t>
      </w:r>
    </w:p>
    <w:p>
      <w:pPr>
        <w:jc w:val="both"/>
      </w:pPr>
      <w:r>
        <w:rPr>
          <w:sz w:val="20"/>
          <w:szCs w:val="20"/>
          <w:rFonts w:ascii="Times New Roman" w:hAnsi="Times New Roman"/>
        </w:rPr>
        <w:t xml:space="preserve">[122] Sharma, L., Chhibber, R. (2019). Silicon, 11, 2763-2773.</w:t>
      </w:r>
    </w:p>
    <w:p>
      <w:pPr>
        <w:jc w:val="both"/>
      </w:pPr>
      <w:r>
        <w:rPr>
          <w:sz w:val="20"/>
          <w:szCs w:val="20"/>
          <w:rFonts w:ascii="Times New Roman" w:hAnsi="Times New Roman"/>
        </w:rPr>
        <w:t xml:space="preserve">[123] Gupta, D., Bansal, A., Jindal, S. (2025). Physica Scripta, 100(2), 025244.</w:t>
      </w:r>
    </w:p>
    <w:p>
      <w:pPr>
        <w:jc w:val="both"/>
      </w:pPr>
      <w:r>
        <w:rPr>
          <w:sz w:val="20"/>
          <w:szCs w:val="20"/>
          <w:rFonts w:ascii="Times New Roman" w:hAnsi="Times New Roman"/>
        </w:rPr>
        <w:t xml:space="preserve">[124] Kumar, H., Misra, A. (2025). Materials Letters, 395, 138685.</w:t>
      </w:r>
    </w:p>
    <w:sectPr>
      <w:pgSz w:w="12240" w:h="15840"/>
      <w:pgMar w:top="1440" w:right="1440" w:bottom="1440" w:left="1440"/>
    </w:sectPr>
  </w:body>
</w:document>
</file>

<file path=word/styles.xml><?xml version="1.0" encoding="utf-8"?>
<w:styles xmlns:w="http://schemas.openxmlformats.org/wordprocessingml/2006/main">
  <w:style w:type="paragraph" w:styleId="Normal" w:default="1">
    <w:name w:val="Normal"/>
    <w:pPr>
      <w:spacing w:after="120" w:line="360" w:lineRule="auto"/>
    </w:pPr>
    <w:rPr>
      <w:sz w:val="24"/>
      <w:szCs w:val="24"/>
      <w:rFonts w:ascii="Times New Roman" w:hAnsi="Times New Roman"/>
    </w:rPr>
  </w:style>
  <w:style w:type="paragraph" w:styleId="Heading1">
    <w:name w:val="heading 1"/>
    <w:pPr>
      <w:spacing w:before="360" w:after="120"/>
    </w:pPr>
    <w:rPr>
      <w:b/>
      <w:sz w:val="32"/>
      <w:szCs w:val="32"/>
      <w:rFonts w:ascii="Times New Roman" w:hAnsi="Times New Roman"/>
    </w:rPr>
  </w:style>
  <w:style w:type="paragraph" w:styleId="Heading2">
    <w:name w:val="heading 2"/>
    <w:pPr>
      <w:spacing w:before="240" w:after="120"/>
    </w:pPr>
    <w:rPr>
      <w:b/>
      <w:sz w:val="28"/>
      <w:szCs w:val="28"/>
      <w:rFonts w:ascii="Times New Roman" w:hAnsi="Times New Roman"/>
    </w:rPr>
  </w:style>
  <w:style w:type="paragraph" w:styleId="Heading3">
    <w:name w:val="heading 3"/>
    <w:pPr>
      <w:spacing w:before="200" w:after="80"/>
    </w:pPr>
    <w:rPr>
      <w:b/>
      <w:sz w:val="26"/>
      <w:szCs w:val="26"/>
      <w:rFonts w:ascii="Times New Roman" w:hAnsi="Times New Roman"/>
    </w:rPr>
  </w:style>
  <w:style w:type="table" w:styleId="TableGrid">
    <w:name w:val="Table Grid"/>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image" Target="media/image2.png"/>
  <Relationship Id="rId9" Type="http://schemas.openxmlformats.org/officeDocument/2006/relationships/image" Target="media/image3.png"/>
  <Relationship Id="rId10" Type="http://schemas.openxmlformats.org/officeDocument/2006/relationships/image" Target="media/image4.png"/>
  <Relationship Id="rId11" Type="http://schemas.openxmlformats.org/officeDocument/2006/relationships/image" Target="media/image5.png"/>
</Relationships>
</file>