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7. AI in Drug Toxicology and Safety</w:t>
      </w:r>
    </w:p>
    <w:p>
      <w:pPr>
        <w:pStyle w:val="Heading1"/>
      </w:pPr>
      <w:r>
        <w:t xml:space="preserve">Abstract</w:t>
      </w:r>
    </w:p>
    <w:p>
      <w:pPr>
        <w:pStyle w:val="Abstract"/>
      </w:pPr>
      <w:r>
        <w:t xml:space="preserve">The assessment of drug safety and toxicity is among the most consequential and resource-intensive activities in pharmaceutical research, and adverse safety findings remain a leading cause of failure across every stage of drug development, from early discovery through to post-marketing surveillance. Traditional toxicology relies on a carefully sequenced battery of in vitro assays, animal studies, and clinical monitoring, each of which is expensive, time-consuming, and ethically or logistically constrained. The emergence of artificial intelligence (AI) and machine learning (ML) has introduced a set of complementary computational tools that can anticipate toxic liabilities earlier, prioritise safer chemical matter, and extract safety signals from data of a scale and heterogeneity that defeat manual analysis. This chapter provides a comprehensive examination of how AI is reshaping drug toxicology and safety across three interconnected domains. First, it explores the prediction of drug-induced toxicity directly from chemical structure and biological readouts, encompassing endpoints such as hepatotoxicity, cardiotoxicity, mutagenicity, and organ-specific injury, and it examines the molecular representations, learning algorithms, and validation practices that determine whether such predictions can be trusted. Second, it examines AI-based prediction of drug–drug interactions, where the combinatorial explosion of possible co-medications makes computational triage indispensable and where methods ranging from similarity-based inference to knowledge-graph and deep-learning approaches are increasingly deployed. Third, it details the application of machine learning across the preclinical and clinical safety continuum, including the analysis of high-content and omics data, the mining of electronic health records and spontaneous reporting systems for pharmacovigilance signals, and the integration of diverse evidence into safety decision-making. Throughout, the chapter emphasises the practical realities that distinguish safety-critical machine learning from other applications, including the severe consequences of false negatives, the imbalanced and noisy nature of toxicity data, the imperative of interpretability and uncertainty quantification, and the evolving regulatory expectations for computational safety evidence. The overarching argument is that AI functions most effectively not as a replacement for established toxicological science but as an augmenting layer that sharpens hazard identification, accelerates decision-making, and supports the ethical goal of reducing reliance on animal testing, while remaining firmly accountable to mechanistic understanding and rigorous validation.</w:t>
      </w:r>
    </w:p>
    <w:p>
      <w:pPr>
        <w:pStyle w:val="Heading1"/>
      </w:pPr>
      <w:r>
        <w:t xml:space="preserve">7.1 Prediction of Drug-Induced Toxicity</w:t>
      </w:r>
    </w:p>
    <w:p>
      <w:pPr>
        <w:pStyle w:val="Heading2"/>
      </w:pPr>
      <w:r>
        <w:t xml:space="preserve">7.1.1 The Toxicological Challenge and the Rationale for Computational Prediction</w:t>
      </w:r>
    </w:p>
    <w:p>
      <w:pPr>
        <w:pStyle w:val="Normal"/>
      </w:pPr>
      <w:r>
        <w:t xml:space="preserve">Drug-induced toxicity encompasses an enormously diverse set of adverse biological effects, ranging from acute organ injury to subtle, delayed, and idiosyncratic reactions that may manifest only in a small fraction of exposed individuals. Historically, safety-related liabilities have been responsible for a substantial share of attrition throughout drug development, and toxicity discovered late in the process — during expensive clinical trials or, worse, after market approval — carries costs that dwarf those of an early laboratory finding [1]. This asymmetry between the cost of early and late detection provides the fundamental economic and ethical motivation for computational toxicity prediction: if a serious liability can be flagged when a compound exists only as a structure on a chemist's screen, it can be designed out or deprioritised before any resources are committed to its synthesis and testing [2].</w:t>
      </w:r>
    </w:p>
    <w:p>
      <w:pPr>
        <w:pStyle w:val="Normal"/>
      </w:pPr>
      <w:r>
        <w:t xml:space="preserve">The scientific premise underlying predictive toxicology mirrors that of quantitative structure–activity relationship modelling more broadly, namely that the toxic potential of a molecule is, to a meaningful degree, a function of its chemical structure and the biological interactions that structure enables [3]. Certain structural motifs, known as structural alerts, have long been recognised as associated with particular toxicities, such as the reactive functional groups implicated in mutagenicity or the substructures linked to metabolic activation and covalent protein binding [4]. Machine learning extends this expert-knowledge tradition by learning far more complex and subtle relationships between structure and toxicity than any human-curated set of alerts could encode, and by integrating structural information with biological assay data, gene expression profiles, and other high-dimensional readouts [5]. Table 7.1 summarises the principal categories of drug-induced toxicity commonly addressed by AI models, together with the data sources and the characteristic modelling difficulties associated with each.</w:t>
      </w:r>
    </w:p>
    <w:p>
      <w:pPr>
        <w:pStyle w:val="Normal"/>
      </w:pPr>
      <w:r>
        <w:t xml:space="preserve">It is worth dwelling on why toxicity is intrinsically harder to predict than many other molecular properties. A property such as aqueous solubility is a relatively direct physical consequence of molecular structure, whereas toxicity is the endpoint of a long and often branching chain of biological events: a molecule must reach a target tissue at sufficient concentration, interact with one or more biological macromolecules, initiate a cascade of downstream perturbations, and overwhelm the compensatory and repair mechanisms of the organism before an adverse outcome manifests. Each link in this chain introduces variability, and the same parent molecule may produce toxicity in one individual and none in another because of differences in metabolism, genetics, disease state, or concurrent medication [2]. A predictive model confronted with such a phenomenon must either learn this complexity implicitly from data that only imperfectly capture it or be structured to represent the intervening biological steps explicitly, and the tension between these strategies pervades the field [15].</w:t>
      </w:r>
    </w:p>
    <w:p>
      <w:pPr>
        <w:pStyle w:val="Normal"/>
      </w:pPr>
      <w:r>
        <w:t xml:space="preserve">A further and distinctive complication of toxicology is that the relationship between a drug and its toxic effect is frequently mediated by metabolism. Many compounds are not themselves toxic but are converted by metabolic enzymes into reactive intermediates that damage cellular components, a phenomenon known as metabolic activation [4]. A model that considers only the structure of the administered parent compound may therefore entirely miss a toxicity that arises from a metabolite, and accurate prediction in such cases requires anticipating the metabolic fate of the molecule as well as the toxicity of its products. This coupling between metabolism and toxicity is one reason hepatotoxicity, which frequently involves reactive metabolites generated in the liver, remains so stubbornly difficult to predict from structure alone [1].</w:t>
      </w:r>
    </w:p>
    <w:p>
      <w:pPr>
        <w:pStyle w:val="TableCaption"/>
      </w:pPr>
      <w:r>
        <w:t xml:space="preserve">Table 7.1. Major categories of drug-induced toxicity addressed by machine learning models.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shd w:val="clear" w:color="auto" w:fill="D9E2F3"/>
          </w:tcPr>
          <w:p>
            <w:pPr>
              <w:jc w:val="left"/>
              <w:spacing w:after="40"/>
            </w:pPr>
            <w:r>
              <w:rPr>
                <w:b/>
              </w:rPr>
              <w:t xml:space="preserve">Toxicity endpoint</w:t>
            </w:r>
          </w:p>
        </w:tc>
        <w:tc>
          <w:tcPr>
            <w:shd w:val="clear" w:color="auto" w:fill="D9E2F3"/>
          </w:tcPr>
          <w:p>
            <w:pPr>
              <w:jc w:val="left"/>
              <w:spacing w:after="40"/>
            </w:pPr>
            <w:r>
              <w:rPr>
                <w:b/>
              </w:rPr>
              <w:t xml:space="preserve">Primary concern</w:t>
            </w:r>
          </w:p>
        </w:tc>
        <w:tc>
          <w:tcPr>
            <w:shd w:val="clear" w:color="auto" w:fill="D9E2F3"/>
          </w:tcPr>
          <w:p>
            <w:pPr>
              <w:jc w:val="left"/>
              <w:spacing w:after="40"/>
            </w:pPr>
            <w:r>
              <w:rPr>
                <w:b/>
              </w:rPr>
              <w:t xml:space="preserve">Typical data sources</w:t>
            </w:r>
          </w:p>
        </w:tc>
        <w:tc>
          <w:tcPr>
            <w:shd w:val="clear" w:color="auto" w:fill="D9E2F3"/>
          </w:tcPr>
          <w:p>
            <w:pPr>
              <w:jc w:val="left"/>
              <w:spacing w:after="40"/>
            </w:pPr>
            <w:r>
              <w:rPr>
                <w:b/>
              </w:rPr>
              <w:t xml:space="preserve">Principal modelling difficulty</w:t>
            </w:r>
          </w:p>
        </w:tc>
      </w:tr>
      <w:tr>
        <w:tc>
          <w:p>
            <w:pPr>
              <w:jc w:val="left"/>
              <w:spacing w:after="40"/>
            </w:pPr>
            <w:r>
              <w:t xml:space="preserve">Hepatotoxicity</w:t>
            </w:r>
          </w:p>
        </w:tc>
        <w:tc>
          <w:p>
            <w:pPr>
              <w:jc w:val="left"/>
              <w:spacing w:after="40"/>
            </w:pPr>
            <w:r>
              <w:t xml:space="preserve">Drug-induced liver injury</w:t>
            </w:r>
          </w:p>
        </w:tc>
        <w:tc>
          <w:p>
            <w:pPr>
              <w:jc w:val="left"/>
              <w:spacing w:after="40"/>
            </w:pPr>
            <w:r>
              <w:t xml:space="preserve">Clinical records, in vitro assays, imaging</w:t>
            </w:r>
          </w:p>
        </w:tc>
        <w:tc>
          <w:p>
            <w:pPr>
              <w:jc w:val="left"/>
              <w:spacing w:after="40"/>
            </w:pPr>
            <w:r>
              <w:t xml:space="preserve">Idiosyncratic, multifactorial, rare</w:t>
            </w:r>
          </w:p>
        </w:tc>
      </w:tr>
      <w:tr>
        <w:tc>
          <w:p>
            <w:pPr>
              <w:jc w:val="left"/>
              <w:spacing w:after="40"/>
            </w:pPr>
            <w:r>
              <w:t xml:space="preserve">Cardiotoxicity</w:t>
            </w:r>
          </w:p>
        </w:tc>
        <w:tc>
          <w:p>
            <w:pPr>
              <w:jc w:val="left"/>
              <w:spacing w:after="40"/>
            </w:pPr>
            <w:r>
              <w:t xml:space="preserve">hERG channel block, arrhythmia</w:t>
            </w:r>
          </w:p>
        </w:tc>
        <w:tc>
          <w:p>
            <w:pPr>
              <w:jc w:val="left"/>
              <w:spacing w:after="40"/>
            </w:pPr>
            <w:r>
              <w:t xml:space="preserve">Ion channel assays, ECG data</w:t>
            </w:r>
          </w:p>
        </w:tc>
        <w:tc>
          <w:p>
            <w:pPr>
              <w:jc w:val="left"/>
              <w:spacing w:after="40"/>
            </w:pPr>
            <w:r>
              <w:t xml:space="preserve">Indirect structure–effect relationship</w:t>
            </w:r>
          </w:p>
        </w:tc>
      </w:tr>
      <w:tr>
        <w:tc>
          <w:p>
            <w:pPr>
              <w:jc w:val="left"/>
              <w:spacing w:after="40"/>
            </w:pPr>
            <w:r>
              <w:t xml:space="preserve">Mutagenicity and genotoxicity</w:t>
            </w:r>
          </w:p>
        </w:tc>
        <w:tc>
          <w:p>
            <w:pPr>
              <w:jc w:val="left"/>
              <w:spacing w:after="40"/>
            </w:pPr>
            <w:r>
              <w:t xml:space="preserve">DNA damage, carcinogenic risk</w:t>
            </w:r>
          </w:p>
        </w:tc>
        <w:tc>
          <w:p>
            <w:pPr>
              <w:jc w:val="left"/>
              <w:spacing w:after="40"/>
            </w:pPr>
            <w:r>
              <w:t xml:space="preserve">Ames test, in vitro genotoxicity panels</w:t>
            </w:r>
          </w:p>
        </w:tc>
        <w:tc>
          <w:p>
            <w:pPr>
              <w:jc w:val="left"/>
              <w:spacing w:after="40"/>
            </w:pPr>
            <w:r>
              <w:t xml:space="preserve">Requires metabolic activation context</w:t>
            </w:r>
          </w:p>
        </w:tc>
      </w:tr>
      <w:tr>
        <w:tc>
          <w:p>
            <w:pPr>
              <w:jc w:val="left"/>
              <w:spacing w:after="40"/>
            </w:pPr>
            <w:r>
              <w:t xml:space="preserve">Nephrotoxicity</w:t>
            </w:r>
          </w:p>
        </w:tc>
        <w:tc>
          <w:p>
            <w:pPr>
              <w:jc w:val="left"/>
              <w:spacing w:after="40"/>
            </w:pPr>
            <w:r>
              <w:t xml:space="preserve">Kidney injury</w:t>
            </w:r>
          </w:p>
        </w:tc>
        <w:tc>
          <w:p>
            <w:pPr>
              <w:jc w:val="left"/>
              <w:spacing w:after="40"/>
            </w:pPr>
            <w:r>
              <w:t xml:space="preserve">Biomarkers, histopathology</w:t>
            </w:r>
          </w:p>
        </w:tc>
        <w:tc>
          <w:p>
            <w:pPr>
              <w:jc w:val="left"/>
              <w:spacing w:after="40"/>
            </w:pPr>
            <w:r>
              <w:t xml:space="preserve">Sparse, heterogeneous data</w:t>
            </w:r>
          </w:p>
        </w:tc>
      </w:tr>
      <w:tr>
        <w:tc>
          <w:p>
            <w:pPr>
              <w:jc w:val="left"/>
              <w:spacing w:after="40"/>
            </w:pPr>
            <w:r>
              <w:t xml:space="preserve">Immunotoxicity and hypersensitivity</w:t>
            </w:r>
          </w:p>
        </w:tc>
        <w:tc>
          <w:p>
            <w:pPr>
              <w:jc w:val="left"/>
              <w:spacing w:after="40"/>
            </w:pPr>
            <w:r>
              <w:t xml:space="preserve">Idiosyncratic immune reactions</w:t>
            </w:r>
          </w:p>
        </w:tc>
        <w:tc>
          <w:p>
            <w:pPr>
              <w:jc w:val="left"/>
              <w:spacing w:after="40"/>
            </w:pPr>
            <w:r>
              <w:t xml:space="preserve">Clinical reports, HLA associations</w:t>
            </w:r>
          </w:p>
        </w:tc>
        <w:tc>
          <w:p>
            <w:pPr>
              <w:jc w:val="left"/>
              <w:spacing w:after="40"/>
            </w:pPr>
            <w:r>
              <w:t xml:space="preserve">Very rare, patient-dependent</w:t>
            </w:r>
          </w:p>
        </w:tc>
      </w:tr>
    </w:tbl>
    <w:p/>
    <w:p>
      <w:pPr>
        <w:pStyle w:val="Heading2"/>
      </w:pPr>
      <w:r>
        <w:t xml:space="preserve">7.1.2 Data, Representations, and Endpoints</w:t>
      </w:r>
    </w:p>
    <w:p>
      <w:pPr>
        <w:pStyle w:val="Normal"/>
      </w:pPr>
      <w:r>
        <w:t xml:space="preserve">The performance of any toxicity prediction model is bounded by the quantity, quality, and relevance of the data on which it is trained, and toxicological data present particularly acute versions of the challenges that afflict pharmaceutical machine learning generally [6]. Toxicity datasets are frequently small relative to the diversity of chemical space they attempt to cover, they are often severely imbalanced because toxic compounds are typically far outnumbered by non-toxic ones, and they are aggregated from heterogeneous assays whose protocols and endpoints differ in ways that introduce systematic noise [7]. The establishment of curated public resources, including large collections of assay results generated through coordinated toxicity-screening initiatives, has been transformative in enabling the development and benchmarking of predictive models, providing standardised endpoints against which methods can be compared [8].</w:t>
      </w:r>
    </w:p>
    <w:p>
      <w:pPr>
        <w:pStyle w:val="Normal"/>
      </w:pPr>
      <w:r>
        <w:t xml:space="preserve">As in other areas of molecular machine learning, the choice of representation is pivotal. Structural fingerprints and physicochemical descriptors remain widely used and, on the modestly sized datasets typical of toxicology, frequently perform competitively [9]. Graph neural networks that learn representations directly from molecular structure have achieved strong results on several toxicity benchmarks, particularly where sufficient data are available, and their ability to identify the substructures driving a prediction offers a natural bridge to the structural-alert tradition [10]. A distinctive and increasingly important feature of toxicity modelling is the integration of biological descriptors alongside chemical ones. Because toxicity is ultimately a biological phenomenon, incorporating data such as gene expression signatures, high-content imaging features, or the results of targeted bioassays can substantially improve predictive performance, especially for complex endpoints that are poorly captured by structure alone [11]. Figure 7.1 depicts a representative multi-modal toxicity prediction framework in which chemical structure and biological readouts are combined within a machine learning model to predict a spectrum of toxicity endpoints. The framework shown in Figure 7.1 also makes explicit the point that a single model architecture can be trained to output several endpoints at once, exploiting the biological correlations among them.</w:t>
      </w:r>
    </w:p>
    <w:p>
      <w:pPr>
        <w:pStyle w:val="FigureImage"/>
      </w:pPr>
      <w:r>
        <w:drawing>
          <wp:inline xmlns:wp="http://schemas.openxmlformats.org/drawingml/2006/wordprocessingDrawing" distT="0" distB="0" distL="0" distR="0">
            <wp:extent cx="5486400" cy="3465094"/>
            <wp:effectExtent l="0" t="0" r="0" b="0"/>
            <wp:docPr id="10" name="Figure_7_1_Multimodal_Toxi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_7_1_Multimodal_Toxicity.png"/>
                    <pic:cNvPicPr/>
                  </pic:nvPicPr>
                  <pic:blipFill>
                    <a:blip r:embed="rId10"/>
                    <a:stretch>
                      <a:fillRect/>
                    </a:stretch>
                  </pic:blipFill>
                  <pic:spPr>
                    <a:xfrm>
                      <a:off x="0" y="0"/>
                      <a:ext cx="5486400" cy="3465094"/>
                    </a:xfrm>
                    <a:prstGeom prst="rect">
                      <a:avLst/>
                    </a:prstGeom>
                  </pic:spPr>
                </pic:pic>
              </a:graphicData>
            </a:graphic>
          </wp:inline>
        </w:drawing>
      </w:r>
    </w:p>
    <w:p>
      <w:pPr>
        <w:pStyle w:val="FigureCaption"/>
      </w:pPr>
      <w:r>
        <w:t xml:space="preserve">Figure 7.1. Multi-modal toxicity prediction framework integrating chemical structure and biological assay data to predict multiple toxicity endpoints.</w:t>
      </w:r>
    </w:p>
    <w:p>
      <w:pPr>
        <w:pStyle w:val="Normal"/>
      </w:pPr>
      <w:r>
        <w:t xml:space="preserve">Among the individual endpoints, some have proven considerably more tractable than others. Mutagenicity, for which large and relatively standardised datasets exist and for which the underlying mechanism of DNA reactivity is comparatively well understood, is predicted with useful accuracy by a range of methods, and computational mutagenicity assessment is now an accepted component of regulatory frameworks [4]. Cardiotoxicity mediated by blockade of the hERG potassium channel is likewise a heavily studied endpoint for which practical predictive models exist, reflecting both its clinical importance and the availability of relevant assay data [12]. Hepatotoxicity, by contrast, remains one of the most difficult endpoints to predict, because drug-induced liver injury arises through multiple mechanisms, often depends on metabolic activation, and frequently exhibits idiosyncratic, patient-specific patterns that structure alone cannot explain [1]. This spectrum of difficulty, from mechanistically well-defined and data-rich endpoints to complex and idiosyncratic ones, shapes realistic expectations of what computational toxicology can and cannot deliver.</w:t>
      </w:r>
    </w:p>
    <w:p>
      <w:pPr>
        <w:pStyle w:val="Normal"/>
      </w:pPr>
      <w:r>
        <w:t xml:space="preserve">The case of hERG-mediated cardiotoxicity repays closer attention because it illustrates both the promise and the subtlety of computational toxicology. The human ether-à-go-go-related gene encodes a potassium channel critical to the electrical repolarisation of the heart, and its inadvertent blockade by a drug can prolong the cardiac QT interval and precipitate potentially fatal arrhythmias. Because this liability has caused the withdrawal of several marketed drugs, screening for hERG activity has become a routine and heavily invested part of safety assessment, generating the substantial datasets that make the endpoint attractive for machine learning [12]. Yet even here, the relationship between structure and effect is indirect, since blockade depends on the three-dimensional interaction between the drug and the channel's binding site rather than on any single structural feature, and models must therefore learn a nuanced structure–activity relationship rather than merely flagging a structural alert. The most useful hERG models combine strong predictive performance with an ability to highlight the molecular features responsible for a prediction, allowing chemists to modify a liability while retaining the desired pharmacology.</w:t>
      </w:r>
    </w:p>
    <w:p>
      <w:pPr>
        <w:pStyle w:val="Normal"/>
      </w:pPr>
      <w:r>
        <w:t xml:space="preserve">Immunologically mediated and idiosyncratic toxicities occupy the far end of the difficulty spectrum. Reactions such as drug-induced hypersensitivity or certain severe cutaneous adverse events may depend on a patient's specific immune genetics, notably particular human leukocyte antigen alleles, and occur so rarely that the data available to train a model are correspondingly sparse [1]. For such endpoints, purely structure-based prediction is of limited value, and progress depends on integrating genetic, immunological, and clinical information, an integration that machine learning is well suited to perform but that is constrained by the scarcity of the relevant data. The realistic conclusion is that computational toxicology delivers its greatest value for mechanistically defined, data-rich endpoints and offers progressively less as endpoints become rarer, more idiosyncratic, and more dependent on host factors beyond the molecule itself.</w:t>
      </w:r>
    </w:p>
    <w:p>
      <w:pPr>
        <w:pStyle w:val="Heading2"/>
      </w:pPr>
      <w:r>
        <w:t xml:space="preserve">7.1.3 Learning Algorithms and Mechanistic Integration</w:t>
      </w:r>
    </w:p>
    <w:p>
      <w:pPr>
        <w:pStyle w:val="Normal"/>
      </w:pPr>
      <w:r>
        <w:t xml:space="preserve">Whichever endpoint from Table 7.1 is being modelled, the choice of learning algorithm materially affects both accuracy and interpretability. A broad range of learning algorithms has been applied to toxicity prediction, and, as elsewhere in molecular machine learning, tree-based ensemble methods such as random forests and gradient-boosted trees provide durable and competitive baselines that are difficult to surpass on small tabular datasets [9]. These methods offer the additional benefit of feature-importance estimation, which supports the identification of the structural or biological features most strongly associated with a predicted toxicity, thereby contributing to interpretability [13]. Deep learning approaches, including multitask neural networks that predict many toxicity endpoints simultaneously, exploit correlations among related endpoints to improve performance, and this multitask paradigm proved especially effective in large collaborative toxicity-prediction challenges where diverse assays were modelled jointly [5].</w:t>
      </w:r>
    </w:p>
    <w:p>
      <w:pPr>
        <w:pStyle w:val="Normal"/>
      </w:pPr>
      <w:r>
        <w:t xml:space="preserve">A particularly valuable direction in toxicological machine learning is the explicit integration of mechanistic knowledge, which distinguishes it somewhat from purely data-driven applications elsewhere. The adverse outcome pathway framework, which organises toxicological knowledge as a causal sequence linking an initial molecular interaction through intermediate biological events to an adverse outcome, provides a scaffold onto which machine learning predictions can be mapped [14]. Rather than predicting a distal toxic outcome directly, a model may predict a proximal molecular initiating event, such as binding to a specific receptor or inhibition of a particular enzyme, that is mechanistically upstream of the toxicity, yielding predictions that are both more accurate and more interpretable because they are grounded in a causal understanding [15]. This mechanistic anchoring addresses one of the principal criticisms of black-box toxicity models, namely that a prediction unaccompanied by a mechanistic rationale is difficult to trust and difficult to act upon when patient safety is at stake [16].</w:t>
      </w:r>
    </w:p>
    <w:p>
      <w:pPr>
        <w:pStyle w:val="Normal"/>
      </w:pPr>
      <w:r>
        <w:t xml:space="preserve">A related and increasingly influential technique is read-across, in which the toxicity of an untested compound is inferred from that of structurally similar compounds whose toxicity is known. Traditionally a manual and expert-driven exercise, read-across has been substantially strengthened by machine learning, which can systematically identify the most relevant analogues, weigh their similarity along multiple dimensions, and quantify the confidence of the resulting inference [34]. This data-driven form of read-across has been shown, in large-scale analyses, to reproduce experimental toxicity classifications with a reliability that in some cases approaches or exceeds the reproducibility of the animal tests themselves, a striking finding that carries significant implications for the reduction of animal testing [34]. The appeal of read-across lies partly in its transparency: because a prediction is justified by reference to specific, identifiable analogue compounds, it is far easier to scrutinise and defend than an opaque numerical output, aligning it naturally with the interpretability demands of safety assessment.</w:t>
      </w:r>
    </w:p>
    <w:p>
      <w:pPr>
        <w:pStyle w:val="Normal"/>
      </w:pPr>
      <w:r>
        <w:t xml:space="preserve">The integration of biological data into toxicity models, alluded to earlier, deserves emphasis as a defining characteristic of modern computational toxicology. Purely structure-based models are inherently limited by the fact that toxicity is a biological rather than a chemical phenomenon, and the incorporation of biological readouts — the response of cells to a compound as captured by high-content imaging, the perturbation of gene expression revealed by transcriptomics, or the activity of a compound across a panel of targeted assays — can supply exactly the mechanistic information that structure alone lacks [11]. Models that combine chemical and biological descriptors frequently outperform those relying on either modality alone, particularly for complex endpoints, because the biological data capture the consequences of the compound's interactions with living systems that its structure can only imply [32].</w:t>
      </w:r>
    </w:p>
    <w:p>
      <w:pPr>
        <w:pStyle w:val="Heading2"/>
      </w:pPr>
      <w:r>
        <w:t xml:space="preserve">7.1.4 Validation, Imbalance, and the Cost of Error</w:t>
      </w:r>
    </w:p>
    <w:p>
      <w:pPr>
        <w:pStyle w:val="Normal"/>
      </w:pPr>
      <w:r>
        <w:t xml:space="preserve">The validation of toxicity prediction models demands particular rigour because of the asymmetric and severe consequences of prediction error in a safety context. A false negative — a genuinely toxic compound predicted to be safe — is far more dangerous than a false positive, since it may allow a hazardous molecule to advance while a false positive merely results in the unnecessary deprioritisation of a safe one [7]. This asymmetry means that conventional accuracy metrics, which weight both error types equally, can be profoundly misleading, and appropriate evaluation must instead emphasise measures such as sensitivity, negative predictive value, and the area under the receiver operating characteristic curve, interpreted in light of the specific costs of each error type [17]. The severe class imbalance typical of toxicity data compounds this difficulty, as a model that simply predicts every compound to be non-toxic may achieve high nominal accuracy while being useless or dangerous in practice [7]. The comparison of approaches in Table 7.2 should therefore be read with these safety-specific priorities in mind, since a method that is attractive on conventional accuracy grounds may be unsuitable once the asymmetric costs of error and the demand for interpretability are taken into account.</w:t>
      </w:r>
    </w:p>
    <w:p>
      <w:pPr>
        <w:pStyle w:val="Normal"/>
      </w:pPr>
      <w:r>
        <w:t xml:space="preserve">As with other structure-based models, the manner in which data are partitioned for validation exerts a decisive influence on the realism of reported performance. Random splits that place structurally similar compounds in both training and test sets flatter a model's apparent accuracy, whereas scaffold-based or cluster-based splits that enforce structural separation provide a far more honest estimate of how the model will perform on the novel chemical matter it will actually encounter [6]. The concept of the applicability domain is especially critical in toxicology, because a confident but unreliable prediction for a compound lying outside the region of chemical space the model has learned could have serious safety consequences [16]. Consequently, reliable estimation of when a prediction should not be trusted, accompanied by calibrated uncertainty, is regarded as an essential rather than optional feature of a deployable toxicity model [18]. Table 7.2 contrasts several categories of learning approach used in toxicity prediction across dimensions relevant to their safety-critical application.</w:t>
      </w:r>
    </w:p>
    <w:p>
      <w:pPr>
        <w:pStyle w:val="Normal"/>
      </w:pPr>
      <w:r>
        <w:t xml:space="preserve">The distinction between hazard and risk is a further conceptual subtlety that computational toxicology must respect. A hazard is an intrinsic capacity to cause harm, whereas risk additionally accounts for the exposure required for that harm to occur. A compound may pose a genuine hazard at high concentrations yet present negligible risk at the exposures achieved during therapeutic use, and a prediction that flags a hazard without reference to exposure can therefore be misleading if interpreted as a statement about risk [7]. The most useful toxicity assessments integrate a prediction of intrinsic hazard with an estimate of the exposure a compound will achieve, drawing the pharmacokinetic considerations of the preceding chapter into direct contact with the toxicological ones of the present one. This integration of hazard and exposure into a unified assessment of risk is a natural point of convergence between predictive pharmacokinetics and predictive toxicology, and machine learning contributes to both halves of the equation.</w:t>
      </w:r>
    </w:p>
    <w:p>
      <w:pPr>
        <w:pStyle w:val="Normal"/>
      </w:pPr>
      <w:r>
        <w:t xml:space="preserve">Approaches to the class-imbalance problem itself constitute an active methodological literature. Techniques such as the resampling of the minority class, the assignment of higher misclassification costs to toxic compounds, and the use of evaluation metrics robust to imbalance all help to ensure that a model attends adequately to the rare but critical toxic cases rather than being overwhelmed by the abundant non-toxic majority [17]. The choice among these techniques depends on the specific endpoint and the relative costs of the two error types, and thoughtful handling of imbalance is one of the practical skills that distinguishes competent from naive application of machine learning to safety data [7].</w:t>
      </w:r>
    </w:p>
    <w:p>
      <w:pPr>
        <w:pStyle w:val="TableCaption"/>
      </w:pPr>
      <w:r>
        <w:t xml:space="preserve">Table 7.2. Comparison of machine learning approaches used in drug-induced toxicity prediction.</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trPr>
        <w:tc>
          <w:tcPr>
            <w:shd w:val="clear" w:color="auto" w:fill="D9E2F3"/>
          </w:tcPr>
          <w:p>
            <w:pPr>
              <w:jc w:val="left"/>
              <w:spacing w:after="40"/>
            </w:pPr>
            <w:r>
              <w:rPr>
                <w:b/>
              </w:rPr>
              <w:t xml:space="preserve">Approach</w:t>
            </w:r>
          </w:p>
        </w:tc>
        <w:tc>
          <w:tcPr>
            <w:shd w:val="clear" w:color="auto" w:fill="D9E2F3"/>
          </w:tcPr>
          <w:p>
            <w:pPr>
              <w:jc w:val="left"/>
              <w:spacing w:after="40"/>
            </w:pPr>
            <w:r>
              <w:rPr>
                <w:b/>
              </w:rPr>
              <w:t xml:space="preserve">Data suitability</w:t>
            </w:r>
          </w:p>
        </w:tc>
        <w:tc>
          <w:tcPr>
            <w:shd w:val="clear" w:color="auto" w:fill="D9E2F3"/>
          </w:tcPr>
          <w:p>
            <w:pPr>
              <w:jc w:val="left"/>
              <w:spacing w:after="40"/>
            </w:pPr>
            <w:r>
              <w:rPr>
                <w:b/>
              </w:rPr>
              <w:t xml:space="preserve">Interpretability</w:t>
            </w:r>
          </w:p>
        </w:tc>
        <w:tc>
          <w:tcPr>
            <w:shd w:val="clear" w:color="auto" w:fill="D9E2F3"/>
          </w:tcPr>
          <w:p>
            <w:pPr>
              <w:jc w:val="left"/>
              <w:spacing w:after="40"/>
            </w:pPr>
            <w:r>
              <w:rPr>
                <w:b/>
              </w:rPr>
              <w:t xml:space="preserve">Key strength</w:t>
            </w:r>
          </w:p>
        </w:tc>
        <w:tc>
          <w:tcPr>
            <w:shd w:val="clear" w:color="auto" w:fill="D9E2F3"/>
          </w:tcPr>
          <w:p>
            <w:pPr>
              <w:jc w:val="left"/>
              <w:spacing w:after="40"/>
            </w:pPr>
            <w:r>
              <w:rPr>
                <w:b/>
              </w:rPr>
              <w:t xml:space="preserve">Key limitation</w:t>
            </w:r>
          </w:p>
        </w:tc>
      </w:tr>
      <w:tr>
        <w:tc>
          <w:p>
            <w:pPr>
              <w:jc w:val="left"/>
              <w:spacing w:after="40"/>
            </w:pPr>
            <w:r>
              <w:t xml:space="preserve">Structural alerts and rules</w:t>
            </w:r>
          </w:p>
        </w:tc>
        <w:tc>
          <w:p>
            <w:pPr>
              <w:jc w:val="left"/>
              <w:spacing w:after="40"/>
            </w:pPr>
            <w:r>
              <w:t xml:space="preserve">Small, expert-curated</w:t>
            </w:r>
          </w:p>
        </w:tc>
        <w:tc>
          <w:p>
            <w:pPr>
              <w:jc w:val="left"/>
              <w:spacing w:after="40"/>
            </w:pPr>
            <w:r>
              <w:t xml:space="preserve">Very high</w:t>
            </w:r>
          </w:p>
        </w:tc>
        <w:tc>
          <w:p>
            <w:pPr>
              <w:jc w:val="left"/>
              <w:spacing w:after="40"/>
            </w:pPr>
            <w:r>
              <w:t xml:space="preserve">Transparent, mechanistically grounded</w:t>
            </w:r>
          </w:p>
        </w:tc>
        <w:tc>
          <w:p>
            <w:pPr>
              <w:jc w:val="left"/>
              <w:spacing w:after="40"/>
            </w:pPr>
            <w:r>
              <w:t xml:space="preserve">Limited coverage, brittle</w:t>
            </w:r>
          </w:p>
        </w:tc>
      </w:tr>
      <w:tr>
        <w:tc>
          <w:p>
            <w:pPr>
              <w:jc w:val="left"/>
              <w:spacing w:after="40"/>
            </w:pPr>
            <w:r>
              <w:t xml:space="preserve">Tree-based ensembles</w:t>
            </w:r>
          </w:p>
        </w:tc>
        <w:tc>
          <w:p>
            <w:pPr>
              <w:jc w:val="left"/>
              <w:spacing w:after="40"/>
            </w:pPr>
            <w:r>
              <w:t xml:space="preserve">Small to medium tabular</w:t>
            </w:r>
          </w:p>
        </w:tc>
        <w:tc>
          <w:p>
            <w:pPr>
              <w:jc w:val="left"/>
              <w:spacing w:after="40"/>
            </w:pPr>
            <w:r>
              <w:t xml:space="preserve">Moderate</w:t>
            </w:r>
          </w:p>
        </w:tc>
        <w:tc>
          <w:p>
            <w:pPr>
              <w:jc w:val="left"/>
              <w:spacing w:after="40"/>
            </w:pPr>
            <w:r>
              <w:t xml:space="preserve">Robust, feature importance</w:t>
            </w:r>
          </w:p>
        </w:tc>
        <w:tc>
          <w:p>
            <w:pPr>
              <w:jc w:val="left"/>
              <w:spacing w:after="40"/>
            </w:pPr>
            <w:r>
              <w:t xml:space="preserve">Limited for complex structure</w:t>
            </w:r>
          </w:p>
        </w:tc>
      </w:tr>
      <w:tr>
        <w:tc>
          <w:p>
            <w:pPr>
              <w:jc w:val="left"/>
              <w:spacing w:after="40"/>
            </w:pPr>
            <w:r>
              <w:t xml:space="preserve">Graph neural networks</w:t>
            </w:r>
          </w:p>
        </w:tc>
        <w:tc>
          <w:p>
            <w:pPr>
              <w:jc w:val="left"/>
              <w:spacing w:after="40"/>
            </w:pPr>
            <w:r>
              <w:t xml:space="preserve">Medium to large</w:t>
            </w:r>
          </w:p>
        </w:tc>
        <w:tc>
          <w:p>
            <w:pPr>
              <w:jc w:val="left"/>
              <w:spacing w:after="40"/>
            </w:pPr>
            <w:r>
              <w:t xml:space="preserve">Low to moderate</w:t>
            </w:r>
          </w:p>
        </w:tc>
        <w:tc>
          <w:p>
            <w:pPr>
              <w:jc w:val="left"/>
              <w:spacing w:after="40"/>
            </w:pPr>
            <w:r>
              <w:t xml:space="preserve">Learns structural features</w:t>
            </w:r>
          </w:p>
        </w:tc>
        <w:tc>
          <w:p>
            <w:pPr>
              <w:jc w:val="left"/>
              <w:spacing w:after="40"/>
            </w:pPr>
            <w:r>
              <w:t xml:space="preserve">Data hungry, opaque</w:t>
            </w:r>
          </w:p>
        </w:tc>
      </w:tr>
      <w:tr>
        <w:tc>
          <w:p>
            <w:pPr>
              <w:jc w:val="left"/>
              <w:spacing w:after="40"/>
            </w:pPr>
            <w:r>
              <w:t xml:space="preserve">Multitask deep networks</w:t>
            </w:r>
          </w:p>
        </w:tc>
        <w:tc>
          <w:p>
            <w:pPr>
              <w:jc w:val="left"/>
              <w:spacing w:after="40"/>
            </w:pPr>
            <w:r>
              <w:t xml:space="preserve">Large, multi-endpoint</w:t>
            </w:r>
          </w:p>
        </w:tc>
        <w:tc>
          <w:p>
            <w:pPr>
              <w:jc w:val="left"/>
              <w:spacing w:after="40"/>
            </w:pPr>
            <w:r>
              <w:t xml:space="preserve">Low</w:t>
            </w:r>
          </w:p>
        </w:tc>
        <w:tc>
          <w:p>
            <w:pPr>
              <w:jc w:val="left"/>
              <w:spacing w:after="40"/>
            </w:pPr>
            <w:r>
              <w:t xml:space="preserve">Exploits endpoint correlations</w:t>
            </w:r>
          </w:p>
        </w:tc>
        <w:tc>
          <w:p>
            <w:pPr>
              <w:jc w:val="left"/>
              <w:spacing w:after="40"/>
            </w:pPr>
            <w:r>
              <w:t xml:space="preserve">Requires large datasets</w:t>
            </w:r>
          </w:p>
        </w:tc>
      </w:tr>
      <w:tr>
        <w:tc>
          <w:p>
            <w:pPr>
              <w:jc w:val="left"/>
              <w:spacing w:after="40"/>
            </w:pPr>
            <w:r>
              <w:t xml:space="preserve">Mechanism-informed models</w:t>
            </w:r>
          </w:p>
        </w:tc>
        <w:tc>
          <w:p>
            <w:pPr>
              <w:jc w:val="left"/>
              <w:spacing w:after="40"/>
            </w:pPr>
            <w:r>
              <w:t xml:space="preserve">Variable</w:t>
            </w:r>
          </w:p>
        </w:tc>
        <w:tc>
          <w:p>
            <w:pPr>
              <w:jc w:val="left"/>
              <w:spacing w:after="40"/>
            </w:pPr>
            <w:r>
              <w:t xml:space="preserve">High</w:t>
            </w:r>
          </w:p>
        </w:tc>
        <w:tc>
          <w:p>
            <w:pPr>
              <w:jc w:val="left"/>
              <w:spacing w:after="40"/>
            </w:pPr>
            <w:r>
              <w:t xml:space="preserve">Causal grounding, trustworthy</w:t>
            </w:r>
          </w:p>
        </w:tc>
        <w:tc>
          <w:p>
            <w:pPr>
              <w:jc w:val="left"/>
              <w:spacing w:after="40"/>
            </w:pPr>
            <w:r>
              <w:t xml:space="preserve">Requires mechanistic knowledge</w:t>
            </w:r>
          </w:p>
        </w:tc>
      </w:tr>
    </w:tbl>
    <w:p/>
    <w:p>
      <w:pPr>
        <w:pStyle w:val="Heading1"/>
      </w:pPr>
      <w:r>
        <w:t xml:space="preserve">7.2 AI-Based Drug–Drug Interaction Prediction</w:t>
      </w:r>
    </w:p>
    <w:p>
      <w:pPr>
        <w:pStyle w:val="Heading2"/>
      </w:pPr>
      <w:r>
        <w:t xml:space="preserve">7.2.1 The Combinatorial Problem of Drug–Drug Interactions</w:t>
      </w:r>
    </w:p>
    <w:p>
      <w:pPr>
        <w:pStyle w:val="Normal"/>
      </w:pPr>
      <w:r>
        <w:t xml:space="preserve">Drug–drug interactions occur when one drug alters the pharmacokinetics or pharmacodynamics of another, potentially diminishing efficacy or precipitating toxicity, and they represent a major source of preventable adverse events, particularly among elderly patients and others subject to polypharmacy [19]. The scale of the problem is fundamentally combinatorial: with thousands of approved drugs, the number of possible pairwise combinations runs into the millions, and the number of higher-order combinations is effectively unbounded, so that exhaustive experimental characterisation of all clinically relevant interactions is impossible [20]. This combinatorial explosion is precisely the circumstance in which computational prediction becomes not merely helpful but indispensable, enabling the systematic triage of vast interaction spaces to identify the combinations most deserving of experimental or clinical scrutiny [21]. The clinical urgency of the problem is heightened by demographic trends, as ageing populations and the increasing prevalence of chronic disease mean that a growing proportion of patients take multiple medications concurrently, multiplying the opportunities for harmful interactions and placing a premium on the ability to anticipate them before they cause injury [19].</w:t>
      </w:r>
    </w:p>
    <w:p>
      <w:pPr>
        <w:pStyle w:val="Normal"/>
      </w:pPr>
      <w:r>
        <w:t xml:space="preserve">Mechanistically, drug–drug interactions divide broadly into pharmacokinetic interactions, in which one drug alters the absorption, distribution, metabolism, or excretion of another — most commonly through the inhibition or induction of metabolising enzymes or transporters — and pharmacodynamic interactions, in which drugs acting on the same or related physiological pathways produce additive, synergistic, or antagonistic effects [19]. This mechanistic diversity has important implications for computational prediction, because different interaction types are best captured by different kinds of data and different modelling strategies. A pharmacokinetic interaction mediated by inhibition of a specific metabolic enzyme may be predictable from knowledge of the enzymes involved in each drug's metabolism, whereas a pharmacodynamic interaction may require an understanding of the biological pathways each drug affects [22]. Figure 7.2 illustrates the principal mechanistic categories of drug–drug interactions alongside the corresponding computational approaches used to predict them.</w:t>
      </w:r>
    </w:p>
    <w:p>
      <w:pPr>
        <w:pStyle w:val="Normal"/>
      </w:pPr>
      <w:r>
        <w:t xml:space="preserve">The clinical significance of these mechanistic categories differs markedly. Pharmacokinetic interactions arising from the inhibition of a major metabolising enzyme can raise the plasma concentration of an affected drug several-fold, transforming a therapeutic dose into a toxic one, and such interactions are among the best characterised precisely because their mechanism is comparatively well understood and experimentally accessible [19]. Interactions involving drug transporters, which govern the movement of drugs across membranes in the gut, liver, and kidney, are increasingly recognised as clinically important but are harder to predict because transporter expression and activity vary considerably among individuals. Pharmacodynamic interactions, meanwhile, may not alter drug concentrations at all yet produce serious harm through the convergence of effects on a shared physiological system, as when two drugs each prolonging the cardiac QT interval are combined. The mapping of mechanism to prediction strategy shown in Figure 7.2 is thus not merely an organisational convenience but reflects genuine differences in the data and reasoning required for each category.</w:t>
      </w:r>
    </w:p>
    <w:p>
      <w:pPr>
        <w:pStyle w:val="FigureImage"/>
      </w:pPr>
      <w:r>
        <w:drawing>
          <wp:inline xmlns:wp="http://schemas.openxmlformats.org/drawingml/2006/wordprocessingDrawing" distT="0" distB="0" distL="0" distR="0">
            <wp:extent cx="5486400" cy="3465094"/>
            <wp:effectExtent l="0" t="0" r="0" b="0"/>
            <wp:docPr id="11" name="Figure_7_2_DDI_Mechanis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_7_2_DDI_Mechanisms.png"/>
                    <pic:cNvPicPr/>
                  </pic:nvPicPr>
                  <pic:blipFill>
                    <a:blip r:embed="rId11"/>
                    <a:stretch>
                      <a:fillRect/>
                    </a:stretch>
                  </pic:blipFill>
                  <pic:spPr>
                    <a:xfrm>
                      <a:off x="0" y="0"/>
                      <a:ext cx="5486400" cy="3465094"/>
                    </a:xfrm>
                    <a:prstGeom prst="rect">
                      <a:avLst/>
                    </a:prstGeom>
                  </pic:spPr>
                </pic:pic>
              </a:graphicData>
            </a:graphic>
          </wp:inline>
        </w:drawing>
      </w:r>
    </w:p>
    <w:p>
      <w:pPr>
        <w:pStyle w:val="FigureCaption"/>
      </w:pPr>
      <w:r>
        <w:t xml:space="preserve">Figure 7.2. Mechanistic categories of drug–drug interactions and the corresponding computational prediction strategies.</w:t>
      </w:r>
    </w:p>
    <w:p>
      <w:pPr>
        <w:pStyle w:val="Heading2"/>
      </w:pPr>
      <w:r>
        <w:t xml:space="preserve">7.2.2 Computational Approaches to Interaction Prediction</w:t>
      </w:r>
    </w:p>
    <w:p>
      <w:pPr>
        <w:pStyle w:val="Normal"/>
      </w:pPr>
      <w:r>
        <w:t xml:space="preserve">The earliest and conceptually simplest computational approach to drug–drug interaction prediction rests on the principle of similarity: if two drugs are similar in some respect — whether in chemical structure, in their known targets, in their side-effect profiles, or in their indications — then a drug known to interact with one may plausibly interact with the other [21]. Similarity-based methods construct measures of drug likeness across one or several such dimensions and infer novel interactions by propagating known ones across similar drugs. Despite their simplicity, these methods have proven surprisingly effective and remain a strong baseline, in part because they align well with the biological reality that similar drugs frequently share interaction mechanisms [23]. As Table 7.3 indicates, such similarity-based inference demands relatively little beyond feature profiles for the drugs concerned, which accounts for both its accessibility and its enduring popularity as a point of comparison for more elaborate methods.</w:t>
      </w:r>
    </w:p>
    <w:p>
      <w:pPr>
        <w:pStyle w:val="Normal"/>
      </w:pPr>
      <w:r>
        <w:t xml:space="preserve">A related family of methods treats the collection of known interactions as an incomplete matrix, in which rows and columns correspond to drugs and entries indicate whether an interaction is known to exist, and applies matrix factorisation to recover the latent structure of this matrix and thereby predict the missing entries. This formulation is well suited to the sparse and incomplete nature of interaction data, since it does not require negative examples to be explicitly identified and instead learns from the pattern of observed positives. Matrix factorisation and its extensions have been widely applied and provide a useful bridge between the intuitive similarity-based methods and the more expressive network-based approaches that followed [22].</w:t>
      </w:r>
    </w:p>
    <w:p>
      <w:pPr>
        <w:pStyle w:val="Normal"/>
      </w:pPr>
      <w:r>
        <w:t xml:space="preserve">A substantial advance came with the framing of drug–drug interaction prediction as a problem in network and knowledge-graph analysis. In this formulation, drugs, proteins, genes, diseases, and other biomedical entities are represented as nodes in a large heterogeneous graph, with edges encoding the diverse relationships among them, and the prediction of an unknown interaction becomes a matter of inferring a missing edge from the structure of the surrounding network [24]. Knowledge-graph embedding methods learn low-dimensional vector representations of entities and relationships that preserve the graph's structure, enabling the prediction of plausible new links, while graph neural networks propagate information across the network to learn context-aware representations [25]. These approaches are powerful precisely because they integrate many heterogeneous sources of biomedical evidence into a unified representation, allowing an interaction prediction to draw upon structural, functional, and clinical information simultaneously [26]. Table 7.3 summarises the major computational paradigms for drug–drug interaction prediction together with their data requirements and characteristic strengths.</w:t>
      </w:r>
    </w:p>
    <w:p>
      <w:pPr>
        <w:pStyle w:val="TableCaption"/>
      </w:pPr>
      <w:r>
        <w:t xml:space="preserve">Table 7.3. Computational paradigms for drug–drug interaction prediction.</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shd w:val="clear" w:color="auto" w:fill="D9E2F3"/>
          </w:tcPr>
          <w:p>
            <w:pPr>
              <w:jc w:val="left"/>
              <w:spacing w:after="40"/>
            </w:pPr>
            <w:r>
              <w:rPr>
                <w:b/>
              </w:rPr>
              <w:t xml:space="preserve">Paradigm</w:t>
            </w:r>
          </w:p>
        </w:tc>
        <w:tc>
          <w:tcPr>
            <w:shd w:val="clear" w:color="auto" w:fill="D9E2F3"/>
          </w:tcPr>
          <w:p>
            <w:pPr>
              <w:jc w:val="left"/>
              <w:spacing w:after="40"/>
            </w:pPr>
            <w:r>
              <w:rPr>
                <w:b/>
              </w:rPr>
              <w:t xml:space="preserve">Basis of prediction</w:t>
            </w:r>
          </w:p>
        </w:tc>
        <w:tc>
          <w:tcPr>
            <w:shd w:val="clear" w:color="auto" w:fill="D9E2F3"/>
          </w:tcPr>
          <w:p>
            <w:pPr>
              <w:jc w:val="left"/>
              <w:spacing w:after="40"/>
            </w:pPr>
            <w:r>
              <w:rPr>
                <w:b/>
              </w:rPr>
              <w:t xml:space="preserve">Data requirements</w:t>
            </w:r>
          </w:p>
        </w:tc>
        <w:tc>
          <w:tcPr>
            <w:shd w:val="clear" w:color="auto" w:fill="D9E2F3"/>
          </w:tcPr>
          <w:p>
            <w:pPr>
              <w:jc w:val="left"/>
              <w:spacing w:after="40"/>
            </w:pPr>
            <w:r>
              <w:rPr>
                <w:b/>
              </w:rPr>
              <w:t xml:space="preserve">Characteristic strength</w:t>
            </w:r>
          </w:p>
        </w:tc>
      </w:tr>
      <w:tr>
        <w:tc>
          <w:p>
            <w:pPr>
              <w:jc w:val="left"/>
              <w:spacing w:after="40"/>
            </w:pPr>
            <w:r>
              <w:t xml:space="preserve">Similarity-based inference</w:t>
            </w:r>
          </w:p>
        </w:tc>
        <w:tc>
          <w:p>
            <w:pPr>
              <w:jc w:val="left"/>
              <w:spacing w:after="40"/>
            </w:pPr>
            <w:r>
              <w:t xml:space="preserve">Shared structure, targets, or effects</w:t>
            </w:r>
          </w:p>
        </w:tc>
        <w:tc>
          <w:p>
            <w:pPr>
              <w:jc w:val="left"/>
              <w:spacing w:after="40"/>
            </w:pPr>
            <w:r>
              <w:t xml:space="preserve">Drug feature profiles</w:t>
            </w:r>
          </w:p>
        </w:tc>
        <w:tc>
          <w:p>
            <w:pPr>
              <w:jc w:val="left"/>
              <w:spacing w:after="40"/>
            </w:pPr>
            <w:r>
              <w:t xml:space="preserve">Simple, interpretable, strong baseline</w:t>
            </w:r>
          </w:p>
        </w:tc>
      </w:tr>
      <w:tr>
        <w:tc>
          <w:p>
            <w:pPr>
              <w:jc w:val="left"/>
              <w:spacing w:after="40"/>
            </w:pPr>
            <w:r>
              <w:t xml:space="preserve">Matrix factorisation</w:t>
            </w:r>
          </w:p>
        </w:tc>
        <w:tc>
          <w:p>
            <w:pPr>
              <w:jc w:val="left"/>
              <w:spacing w:after="40"/>
            </w:pPr>
            <w:r>
              <w:t xml:space="preserve">Latent factors of interaction matrix</w:t>
            </w:r>
          </w:p>
        </w:tc>
        <w:tc>
          <w:p>
            <w:pPr>
              <w:jc w:val="left"/>
              <w:spacing w:after="40"/>
            </w:pPr>
            <w:r>
              <w:t xml:space="preserve">Known interaction pairs</w:t>
            </w:r>
          </w:p>
        </w:tc>
        <w:tc>
          <w:p>
            <w:pPr>
              <w:jc w:val="left"/>
              <w:spacing w:after="40"/>
            </w:pPr>
            <w:r>
              <w:t xml:space="preserve">Handles sparse interaction data</w:t>
            </w:r>
          </w:p>
        </w:tc>
      </w:tr>
      <w:tr>
        <w:tc>
          <w:p>
            <w:pPr>
              <w:jc w:val="left"/>
              <w:spacing w:after="40"/>
            </w:pPr>
            <w:r>
              <w:t xml:space="preserve">Knowledge-graph embedding</w:t>
            </w:r>
          </w:p>
        </w:tc>
        <w:tc>
          <w:p>
            <w:pPr>
              <w:jc w:val="left"/>
              <w:spacing w:after="40"/>
            </w:pPr>
            <w:r>
              <w:t xml:space="preserve">Structure of biomedical network</w:t>
            </w:r>
          </w:p>
        </w:tc>
        <w:tc>
          <w:p>
            <w:pPr>
              <w:jc w:val="left"/>
              <w:spacing w:after="40"/>
            </w:pPr>
            <w:r>
              <w:t xml:space="preserve">Heterogeneous linked data</w:t>
            </w:r>
          </w:p>
        </w:tc>
        <w:tc>
          <w:p>
            <w:pPr>
              <w:jc w:val="left"/>
              <w:spacing w:after="40"/>
            </w:pPr>
            <w:r>
              <w:t xml:space="preserve">Integrates diverse evidence</w:t>
            </w:r>
          </w:p>
        </w:tc>
      </w:tr>
      <w:tr>
        <w:tc>
          <w:p>
            <w:pPr>
              <w:jc w:val="left"/>
              <w:spacing w:after="40"/>
            </w:pPr>
            <w:r>
              <w:t xml:space="preserve">Graph neural networks</w:t>
            </w:r>
          </w:p>
        </w:tc>
        <w:tc>
          <w:p>
            <w:pPr>
              <w:jc w:val="left"/>
              <w:spacing w:after="40"/>
            </w:pPr>
            <w:r>
              <w:t xml:space="preserve">Message passing over networks</w:t>
            </w:r>
          </w:p>
        </w:tc>
        <w:tc>
          <w:p>
            <w:pPr>
              <w:jc w:val="left"/>
              <w:spacing w:after="40"/>
            </w:pPr>
            <w:r>
              <w:t xml:space="preserve">Large relational datasets</w:t>
            </w:r>
          </w:p>
        </w:tc>
        <w:tc>
          <w:p>
            <w:pPr>
              <w:jc w:val="left"/>
              <w:spacing w:after="40"/>
            </w:pPr>
            <w:r>
              <w:t xml:space="preserve">Context-aware representations</w:t>
            </w:r>
          </w:p>
        </w:tc>
      </w:tr>
      <w:tr>
        <w:tc>
          <w:p>
            <w:pPr>
              <w:jc w:val="left"/>
              <w:spacing w:after="40"/>
            </w:pPr>
            <w:r>
              <w:t xml:space="preserve">Deep multimodal models</w:t>
            </w:r>
          </w:p>
        </w:tc>
        <w:tc>
          <w:p>
            <w:pPr>
              <w:jc w:val="left"/>
              <w:spacing w:after="40"/>
            </w:pPr>
            <w:r>
              <w:t xml:space="preserve">Learned fusion of feature types</w:t>
            </w:r>
          </w:p>
        </w:tc>
        <w:tc>
          <w:p>
            <w:pPr>
              <w:jc w:val="left"/>
              <w:spacing w:after="40"/>
            </w:pPr>
            <w:r>
              <w:t xml:space="preserve">Multiple aligned data sources</w:t>
            </w:r>
          </w:p>
        </w:tc>
        <w:tc>
          <w:p>
            <w:pPr>
              <w:jc w:val="left"/>
              <w:spacing w:after="40"/>
            </w:pPr>
            <w:r>
              <w:t xml:space="preserve">Captures complex interactions</w:t>
            </w:r>
          </w:p>
        </w:tc>
      </w:tr>
    </w:tbl>
    <w:p/>
    <w:p>
      <w:pPr>
        <w:pStyle w:val="Heading2"/>
      </w:pPr>
      <w:r>
        <w:t xml:space="preserve">7.2.3 Deep Learning, Multimodality, and Interaction Outcomes</w:t>
      </w:r>
    </w:p>
    <w:p>
      <w:pPr>
        <w:pStyle w:val="Normal"/>
      </w:pPr>
      <w:r>
        <w:t xml:space="preserve">Deep learning has expanded the scope of drug–drug interaction prediction from the binary question of whether two drugs interact toward the richer and more clinically useful task of predicting the specific type and severity of an interaction and its likely clinical consequence [27]. Multimodal deep-learning architectures learn to fuse diverse representations of each drug — its molecular structure, its target profile, its pathway involvement, and its documented side effects — into an integrated prediction that can distinguish, for instance, an interaction that increases bleeding risk from one that reduces the efficacy of an antihypertensive [28]. This capacity to predict the nature of an interaction, rather than merely its existence, is of considerable clinical value, since the appropriate response to a predicted interaction depends entirely on its mechanism and severity [29].</w:t>
      </w:r>
    </w:p>
    <w:p>
      <w:pPr>
        <w:pStyle w:val="Normal"/>
      </w:pPr>
      <w:r>
        <w:t xml:space="preserve">An especially promising refinement decomposes drugs into their constituent substructures and models an interaction as arising from the interplay between specific substructures of the two molecules, an approach that mirrors the chemical reality that interactions are often driven by particular functional groups rather than by the molecules as undifferentiated wholes [31]. Such substructure-aware models not only improve predictive accuracy but also yield a form of interpretability that is valuable in a safety context, because they can indicate which parts of the two molecules are responsible for a predicted interaction, offering a mechanistic hypothesis that can be experimentally tested. This convergence of predictive performance and mechanistic transparency exemplifies the direction in which the most useful drug–drug interaction models are evolving [29].</w:t>
      </w:r>
    </w:p>
    <w:p>
      <w:pPr>
        <w:pStyle w:val="Normal"/>
      </w:pPr>
      <w:r>
        <w:t xml:space="preserve">The prediction of drug–food and drug–herb interactions represents a natural and clinically important extension of the same computational machinery, since foods and herbal products contain bioactive constituents that can inhibit or induce the same enzymes and transporters implicated in conventional drug–drug interactions [27]. Because these interactions are far less systematically documented than those between approved drugs, the ability of computational methods to generate hypotheses about them is particularly valuable, filling a gap that experimental characterisation has scarcely begun to address.</w:t>
      </w:r>
    </w:p>
    <w:p>
      <w:pPr>
        <w:pStyle w:val="Normal"/>
      </w:pPr>
      <w:r>
        <w:t xml:space="preserve">Nevertheless, several persistent challenges temper the practical deployment of these methods. Much of the training data available for drug–drug interaction prediction is derived from databases of known interactions that are themselves incomplete and biased, in that well-studied drugs accumulate documented interactions while less-studied ones appear artificially safe simply because their interactions have not been investigated [20]. This reporting bias can lead models to conflate the absence of a documented interaction with the absence of an actual one, a conflation with obvious safety implications [30]. Furthermore, the great majority of computational work addresses pairwise interactions, whereas real-world polypharmacy involves the simultaneous administration of many drugs, and the prediction of higher-order interactions among three or more drugs remains a formidable and comparatively underdeveloped challenge [31]. Honest appraisal of these limitations is essential to the responsible use of interaction predictions, which are best regarded as tools for prioritising clinical attention rather than as definitive determinations of safety [29].</w:t>
      </w:r>
    </w:p>
    <w:p>
      <w:pPr>
        <w:pStyle w:val="Heading1"/>
      </w:pPr>
      <w:r>
        <w:t xml:space="preserve">7.3 Machine Learning for Preclinical and Clinical Safety Assessment</w:t>
      </w:r>
    </w:p>
    <w:p>
      <w:pPr>
        <w:pStyle w:val="Heading2"/>
      </w:pPr>
      <w:r>
        <w:t xml:space="preserve">7.3.1 Machine Learning in Preclinical Safety Evaluation</w:t>
      </w:r>
    </w:p>
    <w:p>
      <w:pPr>
        <w:pStyle w:val="Normal"/>
      </w:pPr>
      <w:r>
        <w:t xml:space="preserve">Preclinical safety assessment traditionally relies on a combination of in vitro assays and in vivo animal studies designed to characterise a candidate drug's toxicological profile before it is administered to humans, and machine learning is increasingly woven into every stage of this process [2]. In the analysis of in vitro data, high-content screening generates rich, high-dimensional readouts — often thousands of cellular features extracted from automated microscopy — that are ideally suited to machine learning analysis, which can identify subtle phenotypic signatures of toxicity that would elude conventional analysis [11]. Similarly, toxicogenomic approaches that measure genome-wide changes in gene expression following drug exposure produce data of a dimensionality that demands computational methods to interpret, and machine learning models trained on such data can classify compounds by mechanism of toxicity and predict in vivo outcomes from in vitro molecular signatures [32].</w:t>
      </w:r>
    </w:p>
    <w:p>
      <w:pPr>
        <w:pStyle w:val="Normal"/>
      </w:pPr>
      <w:r>
        <w:t xml:space="preserve">The value of these high-dimensional readouts lies in their capacity to reveal the mechanism of a toxic effect rather than merely its occurrence. A transcriptomic signature, for instance, can indicate which biological pathways a compound perturbs, allowing compounds to be grouped by shared mechanism and enabling the early recognition that a novel candidate resembles, at the molecular level, a compound with a known toxic liability. This mechanistic insight is precisely what supports the mapping of empirical observations onto the adverse outcome pathway framework introduced earlier, connecting a measurable early event to a predicted downstream outcome. Machine learning serves as the essential analytical layer that renders these vast and noisy datasets interpretable, distilling thousands of molecular measurements into actionable toxicological conclusions [15].</w:t>
      </w:r>
    </w:p>
    <w:p>
      <w:pPr>
        <w:pStyle w:val="Normal"/>
      </w:pPr>
      <w:r>
        <w:t xml:space="preserve">An especially significant driver of machine learning adoption in preclinical toxicology is the ethical and scientific imperative to reduce, refine, and replace animal testing, a principle enshrined in regulatory and scientific consensus and increasingly reflected in legislative change [33]. Computational models that can predict the outcomes of animal studies from in vitro and in silico data offer a direct route toward this goal, potentially replacing certain animal experiments entirely and refining others by better targeting the questions they address [34]. The scientific case for this transition rests not only on ethical grounds but also on the recognition that animal models are themselves imperfect predictors of human toxicity, so that a well-validated computational model grounded in human-relevant biology may in some circumstances offer predictions of comparable or superior reliability. The observation that machine-learning-based read-across can match the reproducibility of certain animal assays lends concrete support to this argument, suggesting that the ceiling on predictive accuracy is sometimes set by the variability of the animal test rather than by any deficiency of the computational method [34]. New approach methodologies, which encompass in vitro, in silico, and other non-animal techniques, increasingly rely on machine learning as an integrating and predictive layer, and their acceptance by regulatory bodies, though gradual, is expanding as their reliability is demonstrated [35]. Figure 7.3 presents the continuum of machine learning applications across the preclinical and clinical safety pipeline, from early in silico screening through preclinical characterisation to clinical trial monitoring and post-marketing surveillance. As Figure 7.3 makes clear, safety assessment is not a single event but a continuous process in which evidence accumulates and predictions are progressively refined as a compound advances, so that a liability flagged computationally at the earliest stage can be tracked, tested, and either confirmed or dismissed as more informative data become available.</w:t>
      </w:r>
    </w:p>
    <w:p>
      <w:pPr>
        <w:pStyle w:val="FigureImage"/>
      </w:pPr>
      <w:r>
        <w:drawing>
          <wp:inline xmlns:wp="http://schemas.openxmlformats.org/drawingml/2006/wordprocessingDrawing" distT="0" distB="0" distL="0" distR="0">
            <wp:extent cx="5486400" cy="3392905"/>
            <wp:effectExtent l="0" t="0" r="0" b="0"/>
            <wp:docPr id="12" name="Figure_7_3_Safety_Continu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_7_3_Safety_Continuum.png"/>
                    <pic:cNvPicPr/>
                  </pic:nvPicPr>
                  <pic:blipFill>
                    <a:blip r:embed="rId12"/>
                    <a:stretch>
                      <a:fillRect/>
                    </a:stretch>
                  </pic:blipFill>
                  <pic:spPr>
                    <a:xfrm>
                      <a:off x="0" y="0"/>
                      <a:ext cx="5486400" cy="3392905"/>
                    </a:xfrm>
                    <a:prstGeom prst="rect">
                      <a:avLst/>
                    </a:prstGeom>
                  </pic:spPr>
                </pic:pic>
              </a:graphicData>
            </a:graphic>
          </wp:inline>
        </w:drawing>
      </w:r>
    </w:p>
    <w:p>
      <w:pPr>
        <w:pStyle w:val="FigureCaption"/>
      </w:pPr>
      <w:r>
        <w:t xml:space="preserve">Figure 7.3. The continuum of machine learning applications across the preclinical and clinical drug safety pipeline.</w:t>
      </w:r>
    </w:p>
    <w:p>
      <w:pPr>
        <w:pStyle w:val="Heading2"/>
      </w:pPr>
      <w:r>
        <w:t xml:space="preserve">7.3.2 Clinical Safety, Pharmacovigilance, and Real-World Data</w:t>
      </w:r>
    </w:p>
    <w:p>
      <w:pPr>
        <w:pStyle w:val="Normal"/>
      </w:pPr>
      <w:r>
        <w:t xml:space="preserve">Once a drug enters clinical development and, subsequently, the market, the focus of safety assessment shifts toward the detection and characterisation of adverse events in human populations, a domain in which machine learning has found some of its most impactful applications [36]. Clinical trials generate structured safety data whose analysis can be enhanced by machine learning methods capable of detecting patterns and predicting which patients are at elevated risk of particular adverse events, supporting more targeted monitoring and safer trial conduct [37]. Such risk prediction can inform the design of trials themselves, guiding the selection of monitoring schedules and the identification of subpopulations warranting closer observation, and it can contribute to the early detection of emerging safety concerns during the conduct of a trial, when timely recognition may prevent harm to enrolled participants. The integration of machine learning into trial safety monitoring must nevertheless be undertaken with care, since the same statistical flexibility that enables the detection of genuine signals can also generate spurious associations if applied without appropriate rigour and multiplicity control [43]. However, the limited size and controlled conditions of clinical trials mean that rare adverse events, and those affecting populations excluded from trials, frequently escape detection until a drug is used more widely, which places great importance on post-marketing surveillance [38].</w:t>
      </w:r>
    </w:p>
    <w:p>
      <w:pPr>
        <w:pStyle w:val="Normal"/>
      </w:pPr>
      <w:r>
        <w:t xml:space="preserve">Pharmacovigilance in the post-marketing setting has been transformed by the availability of large-scale real-world data and by machine learning methods capable of mining it. Spontaneous reporting systems, into which clinicians and patients report suspected adverse drug reactions, constitute a vast but noisy resource, and machine learning methods for signal detection can identify statistically unexpected drug–event associations more sensitively and with better handling of confounding than traditional disproportionality analyses [39]. Electronic health records offer a complementary and even richer source of real-world evidence, capturing the longitudinal clinical experience of enormous patient populations, and natural language processing techniques are essential for extracting safety-relevant information from the unstructured clinical narratives that comprise much of this data [40]. Social media and other digital sources have been explored as further channels for the early detection of safety signals, though their noise and representativeness pose considerable methodological challenges [41]. Table 7.4 summarises the principal data sources used in machine-learning-based clinical safety assessment and pharmacovigilance, along with their strengths and limitations.</w:t>
      </w:r>
    </w:p>
    <w:p>
      <w:pPr>
        <w:pStyle w:val="Normal"/>
      </w:pPr>
      <w:r>
        <w:t xml:space="preserve">A recurring methodological theme across the data sources catalogued in Table 7.4 is the tension between scale and quality. The controlled data of a clinical trial are of high quality but limited in scale and generalisability, whereas real-world sources such as electronic health records and claims databases offer enormous scale and population representativeness at the cost of noise, incompleteness, and biases arising from the fact that the data were generated for clinical care or billing rather than for safety research [37]. The most robust conclusions frequently emerge from the triangulation of signals across multiple sources, in which a candidate association detected in spontaneous reports is corroborated in electronic health records and, where possible, examined for mechanistic plausibility, so that the weaknesses of any single source are compensated by the strengths of others [39]. Machine learning provides the means to integrate these disparate streams, but the interpretive burden of distinguishing genuine safety signals from artefacts of the data remains substantial.</w:t>
      </w:r>
    </w:p>
    <w:p>
      <w:pPr>
        <w:pStyle w:val="Normal"/>
      </w:pPr>
      <w:r>
        <w:t xml:space="preserve">The task of signal detection itself, in which a previously unrecognised association between a drug and an adverse event is identified from the mass of accumulated reports, exemplifies both the promise and the difficulty of machine learning in pharmacovigilance. Figure 7.4 depicts a representative machine-learning-based pharmacovigilance workflow, in which heterogeneous safety data are ingested, processed through natural language and statistical methods to detect candidate signals, and passed to expert assessors for evaluation and action.</w:t>
      </w:r>
    </w:p>
    <w:p>
      <w:pPr>
        <w:pStyle w:val="FigureImage"/>
      </w:pPr>
      <w:r>
        <w:drawing>
          <wp:inline xmlns:wp="http://schemas.openxmlformats.org/drawingml/2006/wordprocessingDrawing" distT="0" distB="0" distL="0" distR="0">
            <wp:extent cx="5486400" cy="3465094"/>
            <wp:effectExtent l="0" t="0" r="0" b="0"/>
            <wp:docPr id="13" name="Figure_7_4_Pharmacovigi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_7_4_Pharmacovigilance.png"/>
                    <pic:cNvPicPr/>
                  </pic:nvPicPr>
                  <pic:blipFill>
                    <a:blip r:embed="rId13"/>
                    <a:stretch>
                      <a:fillRect/>
                    </a:stretch>
                  </pic:blipFill>
                  <pic:spPr>
                    <a:xfrm>
                      <a:off x="0" y="0"/>
                      <a:ext cx="5486400" cy="3465094"/>
                    </a:xfrm>
                    <a:prstGeom prst="rect">
                      <a:avLst/>
                    </a:prstGeom>
                  </pic:spPr>
                </pic:pic>
              </a:graphicData>
            </a:graphic>
          </wp:inline>
        </w:drawing>
      </w:r>
    </w:p>
    <w:p>
      <w:pPr>
        <w:pStyle w:val="FigureCaption"/>
      </w:pPr>
      <w:r>
        <w:t xml:space="preserve">Figure 7.4. A machine-learning-based pharmacovigilance workflow, from multi-source data ingestion through automated signal detection to expert evaluation and regulatory action.</w:t>
      </w:r>
    </w:p>
    <w:p>
      <w:pPr>
        <w:pStyle w:val="TableCaption"/>
      </w:pPr>
      <w:r>
        <w:t xml:space="preserve">Table 7.4. Data sources for machine-learning-based clinical safety assessment and pharmacovigilance.</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shd w:val="clear" w:color="auto" w:fill="D9E2F3"/>
          </w:tcPr>
          <w:p>
            <w:pPr>
              <w:jc w:val="left"/>
              <w:spacing w:after="40"/>
            </w:pPr>
            <w:r>
              <w:rPr>
                <w:b/>
              </w:rPr>
              <w:t xml:space="preserve">Data source</w:t>
            </w:r>
          </w:p>
        </w:tc>
        <w:tc>
          <w:tcPr>
            <w:shd w:val="clear" w:color="auto" w:fill="D9E2F3"/>
          </w:tcPr>
          <w:p>
            <w:pPr>
              <w:jc w:val="left"/>
              <w:spacing w:after="40"/>
            </w:pPr>
            <w:r>
              <w:rPr>
                <w:b/>
              </w:rPr>
              <w:t xml:space="preserve">Coverage</w:t>
            </w:r>
          </w:p>
        </w:tc>
        <w:tc>
          <w:tcPr>
            <w:shd w:val="clear" w:color="auto" w:fill="D9E2F3"/>
          </w:tcPr>
          <w:p>
            <w:pPr>
              <w:jc w:val="left"/>
              <w:spacing w:after="40"/>
            </w:pPr>
            <w:r>
              <w:rPr>
                <w:b/>
              </w:rPr>
              <w:t xml:space="preserve">Strength</w:t>
            </w:r>
          </w:p>
        </w:tc>
        <w:tc>
          <w:tcPr>
            <w:shd w:val="clear" w:color="auto" w:fill="D9E2F3"/>
          </w:tcPr>
          <w:p>
            <w:pPr>
              <w:jc w:val="left"/>
              <w:spacing w:after="40"/>
            </w:pPr>
            <w:r>
              <w:rPr>
                <w:b/>
              </w:rPr>
              <w:t xml:space="preserve">Limitation</w:t>
            </w:r>
          </w:p>
        </w:tc>
      </w:tr>
      <w:tr>
        <w:tc>
          <w:p>
            <w:pPr>
              <w:jc w:val="left"/>
              <w:spacing w:after="40"/>
            </w:pPr>
            <w:r>
              <w:t xml:space="preserve">Clinical trial data</w:t>
            </w:r>
          </w:p>
        </w:tc>
        <w:tc>
          <w:p>
            <w:pPr>
              <w:jc w:val="left"/>
              <w:spacing w:after="40"/>
            </w:pPr>
            <w:r>
              <w:t xml:space="preserve">Controlled, structured</w:t>
            </w:r>
          </w:p>
        </w:tc>
        <w:tc>
          <w:p>
            <w:pPr>
              <w:jc w:val="left"/>
              <w:spacing w:after="40"/>
            </w:pPr>
            <w:r>
              <w:t xml:space="preserve">High data quality, causal clarity</w:t>
            </w:r>
          </w:p>
        </w:tc>
        <w:tc>
          <w:p>
            <w:pPr>
              <w:jc w:val="left"/>
              <w:spacing w:after="40"/>
            </w:pPr>
            <w:r>
              <w:t xml:space="preserve">Small, restricted populations</w:t>
            </w:r>
          </w:p>
        </w:tc>
      </w:tr>
      <w:tr>
        <w:tc>
          <w:p>
            <w:pPr>
              <w:jc w:val="left"/>
              <w:spacing w:after="40"/>
            </w:pPr>
            <w:r>
              <w:t xml:space="preserve">Spontaneous reporting systems</w:t>
            </w:r>
          </w:p>
        </w:tc>
        <w:tc>
          <w:p>
            <w:pPr>
              <w:jc w:val="left"/>
              <w:spacing w:after="40"/>
            </w:pPr>
            <w:r>
              <w:t xml:space="preserve">Broad, post-market</w:t>
            </w:r>
          </w:p>
        </w:tc>
        <w:tc>
          <w:p>
            <w:pPr>
              <w:jc w:val="left"/>
              <w:spacing w:after="40"/>
            </w:pPr>
            <w:r>
              <w:t xml:space="preserve">Wide reach, established use</w:t>
            </w:r>
          </w:p>
        </w:tc>
        <w:tc>
          <w:p>
            <w:pPr>
              <w:jc w:val="left"/>
              <w:spacing w:after="40"/>
            </w:pPr>
            <w:r>
              <w:t xml:space="preserve">Under-reporting, confounding, noise</w:t>
            </w:r>
          </w:p>
        </w:tc>
      </w:tr>
      <w:tr>
        <w:tc>
          <w:p>
            <w:pPr>
              <w:jc w:val="left"/>
              <w:spacing w:after="40"/>
            </w:pPr>
            <w:r>
              <w:t xml:space="preserve">Electronic health records</w:t>
            </w:r>
          </w:p>
        </w:tc>
        <w:tc>
          <w:p>
            <w:pPr>
              <w:jc w:val="left"/>
              <w:spacing w:after="40"/>
            </w:pPr>
            <w:r>
              <w:t xml:space="preserve">Large, longitudinal</w:t>
            </w:r>
          </w:p>
        </w:tc>
        <w:tc>
          <w:p>
            <w:pPr>
              <w:jc w:val="left"/>
              <w:spacing w:after="40"/>
            </w:pPr>
            <w:r>
              <w:t xml:space="preserve">Real-world scope, rich detail</w:t>
            </w:r>
          </w:p>
        </w:tc>
        <w:tc>
          <w:p>
            <w:pPr>
              <w:jc w:val="left"/>
              <w:spacing w:after="40"/>
            </w:pPr>
            <w:r>
              <w:t xml:space="preserve">Unstructured, incomplete, biased</w:t>
            </w:r>
          </w:p>
        </w:tc>
      </w:tr>
      <w:tr>
        <w:tc>
          <w:p>
            <w:pPr>
              <w:jc w:val="left"/>
              <w:spacing w:after="40"/>
            </w:pPr>
            <w:r>
              <w:t xml:space="preserve">Claims and administrative data</w:t>
            </w:r>
          </w:p>
        </w:tc>
        <w:tc>
          <w:p>
            <w:pPr>
              <w:jc w:val="left"/>
              <w:spacing w:after="40"/>
            </w:pPr>
            <w:r>
              <w:t xml:space="preserve">Very large populations</w:t>
            </w:r>
          </w:p>
        </w:tc>
        <w:tc>
          <w:p>
            <w:pPr>
              <w:jc w:val="left"/>
              <w:spacing w:after="40"/>
            </w:pPr>
            <w:r>
              <w:t xml:space="preserve">Population-scale coverage</w:t>
            </w:r>
          </w:p>
        </w:tc>
        <w:tc>
          <w:p>
            <w:pPr>
              <w:jc w:val="left"/>
              <w:spacing w:after="40"/>
            </w:pPr>
            <w:r>
              <w:t xml:space="preserve">Coded for billing, limited clinical depth</w:t>
            </w:r>
          </w:p>
        </w:tc>
      </w:tr>
      <w:tr>
        <w:tc>
          <w:p>
            <w:pPr>
              <w:jc w:val="left"/>
              <w:spacing w:after="40"/>
            </w:pPr>
            <w:r>
              <w:t xml:space="preserve">Social media and digital sources</w:t>
            </w:r>
          </w:p>
        </w:tc>
        <w:tc>
          <w:p>
            <w:pPr>
              <w:jc w:val="left"/>
              <w:spacing w:after="40"/>
            </w:pPr>
            <w:r>
              <w:t xml:space="preserve">Real-time, patient-voiced</w:t>
            </w:r>
          </w:p>
        </w:tc>
        <w:tc>
          <w:p>
            <w:pPr>
              <w:jc w:val="left"/>
              <w:spacing w:after="40"/>
            </w:pPr>
            <w:r>
              <w:t xml:space="preserve">Early signals, patient perspective</w:t>
            </w:r>
          </w:p>
        </w:tc>
        <w:tc>
          <w:p>
            <w:pPr>
              <w:jc w:val="left"/>
              <w:spacing w:after="40"/>
            </w:pPr>
            <w:r>
              <w:t xml:space="preserve">Very noisy, unrepresentative</w:t>
            </w:r>
          </w:p>
        </w:tc>
      </w:tr>
    </w:tbl>
    <w:p/>
    <w:p>
      <w:pPr>
        <w:pStyle w:val="Heading2"/>
      </w:pPr>
      <w:r>
        <w:t xml:space="preserve">7.3.3 Natural Language Processing and Signal Management</w:t>
      </w:r>
    </w:p>
    <w:p>
      <w:pPr>
        <w:pStyle w:val="Normal"/>
      </w:pPr>
      <w:r>
        <w:t xml:space="preserve">The centrality of unstructured text to clinical safety assessment makes natural language processing a foundational enabling technology across this domain [40]. A great deal of the most important safety information — the detailed clinical narrative of an adverse event, the physician's assessment of causality, the description of a patient's history and concomitant medications — exists only as free text, whether in adverse event reports, electronic health records, or the published biomedical literature. Machine learning methods for named-entity recognition, relation extraction, and text classification transform this unstructured information into structured data amenable to systematic analysis, and the advent of large language models has substantially advanced the state of the art in extracting nuanced safety information from complex clinical text [42].</w:t>
      </w:r>
    </w:p>
    <w:p>
      <w:pPr>
        <w:pStyle w:val="Normal"/>
      </w:pPr>
      <w:r>
        <w:t xml:space="preserve">Beyond the initial extraction of information, machine learning increasingly supports the entire pharmacovigilance workflow, from the automated triage and prioritisation of the enormous volume of incoming safety reports to the assessment of causality and the detection of emerging patterns across reports [43]. The automation of routine, high-volume tasks such as case intake and duplicate detection frees expert assessors to concentrate on the complex judgement that genuinely requires human expertise, improving both the efficiency and the consistency of safety surveillance [44]. The expert-evaluation stage shown at the end of the workflow in Figure 7.4 is deliberately retained as a human responsibility, reflecting the consensus that computational methods should surface and prioritise candidate signals while final causality assessment and regulatory judgement remain with qualified human assessors accountable for the decision. This human–machine partnership, in which computational methods handle scale and pattern detection while human experts provide contextual judgement and accountability, exemplifies the model of AI augmentation that recurs throughout safety-critical applications [45]. The advent of large language models has accelerated this trend, offering capabilities in the comprehension and generation of clinical text that were until recently beyond reach, yet these same models introduce new concerns regarding factual reliability and the potential to generate plausible but incorrect assertions, concerns that are especially grave in a safety context and that reinforce the necessity of expert oversight [42]. The responsible incorporation of such powerful but imperfect tools into pharmacovigilance is likely to be a defining methodological challenge of the coming years, demanding careful validation and a clear delineation of the boundary between tasks suitable for automation and those that must remain under human control [43].</w:t>
      </w:r>
    </w:p>
    <w:p>
      <w:pPr>
        <w:pStyle w:val="Heading2"/>
      </w:pPr>
      <w:r>
        <w:t xml:space="preserve">7.3.4 Interpretability, Regulation, and the Path Forward</w:t>
      </w:r>
    </w:p>
    <w:p>
      <w:pPr>
        <w:pStyle w:val="Normal"/>
      </w:pPr>
      <w:r>
        <w:t xml:space="preserve">The deployment of machine learning in drug safety assessment raises interpretability and regulatory considerations that are, if anything, more acute than in other pharmaceutical applications, because the decisions informed by these models bear directly on human safety and are subject to intense regulatory and public scrutiny [16]. A safety-related prediction that cannot be explained is difficult to defend to a regulator, to a prescribing clinician, or to a patient, and the demand for interpretability is correspondingly strong. This has stimulated the adoption of explainable machine learning methods that can attribute a safety prediction to specific molecular features, biological events, or clinical variables, and, more fundamentally, has motivated the argument that inherently interpretable models should be preferred for the highest-stakes safety decisions wherever they can achieve adequate performance [16].</w:t>
      </w:r>
    </w:p>
    <w:p>
      <w:pPr>
        <w:pStyle w:val="Normal"/>
      </w:pPr>
      <w:r>
        <w:t xml:space="preserve">Uncertainty quantification assumes a comparably central role. A safety model that issues a confident prediction for a compound or a patient lying far outside the distribution of its training data may be not merely unhelpful but actively hazardous, and the honest communication of when a prediction is uncertain is therefore a safety feature in its own right [18]. Methods that provide calibrated estimates of confidence, that flag inputs falling outside the model's applicability domain, and that convey the strength of the evidence underlying a prediction allow human decision-makers to allocate their scrutiny appropriately, deferring to the model where it is reliable and to experiment or expert judgement where it is not. The pairing of interpretability with calibrated uncertainty is increasingly regarded not as a desirable enhancement but as a baseline requirement for any machine learning system entrusted with a role in safety assessment [16].</w:t>
      </w:r>
    </w:p>
    <w:p>
      <w:pPr>
        <w:pStyle w:val="Normal"/>
      </w:pPr>
      <w:r>
        <w:t xml:space="preserve">The question of data provenance and quality underlies all of these considerations. A safety model inherits the biases, gaps, and errors of the data on which it is trained, and in a domain where the training data are drawn from heterogeneous assays, incomplete databases, and imperfectly recorded clinical observations, the potential for a model to learn and perpetuate spurious associations is considerable [7]. Rigorous data curation, transparent documentation of the data underlying a model, and vigilance for the biases that real-world data inevitably contain are therefore prerequisites for trustworthy safety modelling, and they demand the sustained involvement of toxicological and clinical experts rather than data scientists alone [44].</w:t>
      </w:r>
    </w:p>
    <w:p>
      <w:pPr>
        <w:pStyle w:val="Normal"/>
      </w:pPr>
      <w:r>
        <w:t xml:space="preserve">Regulatory frameworks for the use of AI in drug safety are evolving rapidly, with agencies articulating expectations regarding the validation, transparency, and lifecycle management of machine learning models used in safety-critical roles [46]. A recurring theme in these frameworks is the principle that the rigour of validation should be commensurate with the risk associated with the decisions a model informs, so that a model used for internal early screening is held to a different standard than one intended to support a regulatory safety determination [35]. The credibility of a model must be established through structured, context-of-use-specific evidence, and its performance must be monitored throughout its operational life to detect degradation as the data it encounters drift away from those on which it was trained [46]. Looking forward, the trajectory of the field points toward the ever-deeper integration of diverse data streams — chemical, biological, and clinical — within machine learning frameworks that anticipate safety liabilities earlier and more accurately, that support the reduction of animal testing, and that strengthen post-marketing surveillance [47]. Yet the enduring lesson, consistent across all three domains examined in this chapter, is that the value of AI in drug safety is realised most fully when it augments rather than supplants toxicological expertise, remaining anchored to mechanistic understanding, honest about its uncertainty, and unfailingly accountable to the paramount goal of protecting patients from harm [45].</w:t>
      </w:r>
    </w:p>
    <w:p>
      <w:pPr>
        <w:pStyle w:val="Heading1"/>
      </w:pPr>
      <w:r>
        <w:t xml:space="preserve">References</w:t>
      </w:r>
    </w:p>
    <w:p>
      <w:pPr>
        <w:pStyle w:val="References"/>
      </w:pPr>
      <w:r>
        <w:t xml:space="preserve">[1] Chen, M., Suzuki, A., Thakkar, S., et al. (2016). DILIrank: The largest reference drug list ranked by the risk for developing drug-induced liver injury in humans. Drug Discovery Today, 21(4), 648–653.</w:t>
      </w:r>
    </w:p>
    <w:p>
      <w:pPr>
        <w:pStyle w:val="References"/>
      </w:pPr>
      <w:r>
        <w:t xml:space="preserve">[2] Hartung, T. (2009). Toxicology for the twenty-first century. Nature, 460(7252), 208–212.</w:t>
      </w:r>
    </w:p>
    <w:p>
      <w:pPr>
        <w:pStyle w:val="References"/>
      </w:pPr>
      <w:r>
        <w:t xml:space="preserve">[3] Cherkasov, A., Muratov, E. N., Fourches, D., et al. (2014). QSAR modeling: Where have you been? Where are you going to? Journal of Medicinal Chemistry, 57(12), 4977–5010.</w:t>
      </w:r>
    </w:p>
    <w:p>
      <w:pPr>
        <w:pStyle w:val="References"/>
      </w:pPr>
      <w:r>
        <w:t xml:space="preserve">[4] Benigni, R., &amp; Bossa, C. (2011). Mechanisms of chemical carcinogenicity and mutagenicity: A review with implications for predictive toxicology. Chemical Reviews, 111(4), 2507–2536.</w:t>
      </w:r>
    </w:p>
    <w:p>
      <w:pPr>
        <w:pStyle w:val="References"/>
      </w:pPr>
      <w:r>
        <w:t xml:space="preserve">[5] Mayr, A., Klambauer, G., Unterthiner, T., &amp; Hochreiter, S. (2016). DeepTox: Toxicity prediction using deep learning. Frontiers in Environmental Science, 3, 80.</w:t>
      </w:r>
    </w:p>
    <w:p>
      <w:pPr>
        <w:pStyle w:val="References"/>
      </w:pPr>
      <w:r>
        <w:t xml:space="preserve">[6] Sheridan, R. P. (2013). Time-split cross-validation as a method for estimating the goodness of prospective prediction. Journal of Chemical Information and Modeling, 53(4), 783–790.</w:t>
      </w:r>
    </w:p>
    <w:p>
      <w:pPr>
        <w:pStyle w:val="References"/>
      </w:pPr>
      <w:r>
        <w:t xml:space="preserve">[7] Idakwo, G., Luttrell, J., Chen, M., et al. (2018). A review on machine learning methods for in silico toxicity prediction. Journal of Environmental Science and Health, Part C, 36(4), 169–191.</w:t>
      </w:r>
    </w:p>
    <w:p>
      <w:pPr>
        <w:pStyle w:val="References"/>
      </w:pPr>
      <w:r>
        <w:t xml:space="preserve">[8] Huang, R., Xia, M., Nguyen, D. T., et al. (2016). Tox21Challenge to build predictive models of nuclear receptor and stress response pathways. Frontiers in Environmental Science, 3, 85.</w:t>
      </w:r>
    </w:p>
    <w:p>
      <w:pPr>
        <w:pStyle w:val="References"/>
      </w:pPr>
      <w:r>
        <w:t xml:space="preserve">[9] Svetnik, V., Liaw, A., Tong, C., et al. (2003). Random forest: A classification and regression tool for compound classification and QSAR modeling. Journal of Chemical Information and Computer Sciences, 43(6), 1947–1958.</w:t>
      </w:r>
    </w:p>
    <w:p>
      <w:pPr>
        <w:pStyle w:val="References"/>
      </w:pPr>
      <w:r>
        <w:t xml:space="preserve">[10] Yang, K., Swanson, K., Jin, W., et al. (2019). Analyzing learned molecular representations for property prediction. Journal of Chemical Information and Modeling, 59(8), 3370–3388.</w:t>
      </w:r>
    </w:p>
    <w:p>
      <w:pPr>
        <w:pStyle w:val="References"/>
      </w:pPr>
      <w:r>
        <w:t xml:space="preserve">[11] Bray, M. A., Singh, S., Han, H., et al. (2016). Cell Painting, a high-content image-based assay for morphological profiling. Nature Protocols, 11(9), 1757–1774.</w:t>
      </w:r>
    </w:p>
    <w:p>
      <w:pPr>
        <w:pStyle w:val="References"/>
      </w:pPr>
      <w:r>
        <w:t xml:space="preserve">[12] Cai, C., Guo, P., Zhou, Y., et al. (2019). Deep learning-based prediction of drug-induced cardiotoxicity. Journal of Chemical Information and Modeling, 59(3), 1073–1084.</w:t>
      </w:r>
    </w:p>
    <w:p>
      <w:pPr>
        <w:pStyle w:val="References"/>
      </w:pPr>
      <w:r>
        <w:t xml:space="preserve">[13] Lundberg, S. M., &amp; Lee, S. I. (2017). A unified approach to interpreting model predictions. Advances in Neural Information Processing Systems, 30, 4765–4774.</w:t>
      </w:r>
    </w:p>
    <w:p>
      <w:pPr>
        <w:pStyle w:val="References"/>
      </w:pPr>
      <w:r>
        <w:t xml:space="preserve">[14] Ankley, G. T., Bennett, R. S., Erickson, R. J., et al. (2010). Adverse outcome pathways: A conceptual framework to support ecotoxicology research and risk assessment. Environmental Toxicology and Chemistry, 29(3), 730–741.</w:t>
      </w:r>
    </w:p>
    <w:p>
      <w:pPr>
        <w:pStyle w:val="References"/>
      </w:pPr>
      <w:r>
        <w:t xml:space="preserve">[15] Ciallella, H. L., &amp; Zhu, H. (2019). Advancing computational toxicology in the big data era by artificial intelligence. Chemical Research in Toxicology, 32(4), 536–547.</w:t>
      </w:r>
    </w:p>
    <w:p>
      <w:pPr>
        <w:pStyle w:val="References"/>
      </w:pPr>
      <w:r>
        <w:t xml:space="preserve">[16] Rudin, C. (2019). Stop explaining black box machine learning models for high stakes decisions and use interpretable models instead. Nature Machine Intelligence, 1(5), 206–215.</w:t>
      </w:r>
    </w:p>
    <w:p>
      <w:pPr>
        <w:pStyle w:val="References"/>
      </w:pPr>
      <w:r>
        <w:t xml:space="preserve">[17] Saito, T., &amp; Rehmsmeier, M. (2015). The precision-recall plot is more informative than the ROC plot when evaluating binary classifiers on imbalanced datasets. PLoS ONE, 10(3), e0118432.</w:t>
      </w:r>
    </w:p>
    <w:p>
      <w:pPr>
        <w:pStyle w:val="References"/>
      </w:pPr>
      <w:r>
        <w:t xml:space="preserve">[18] Hirschfeld, L., Swanson, K., Yang, K., et al. (2020). Uncertainty quantification using neural networks for molecular property prediction. Journal of Chemical Information and Modeling, 60(8), 3770–3780.</w:t>
      </w:r>
    </w:p>
    <w:p>
      <w:pPr>
        <w:pStyle w:val="References"/>
      </w:pPr>
      <w:r>
        <w:t xml:space="preserve">[19] Palleria, C., Di Paolo, A., Giofrè, C., et al. (2013). Pharmacokinetic drug-drug interaction and their implication in clinical management. Journal of Research in Medical Sciences, 18(7), 601–610.</w:t>
      </w:r>
    </w:p>
    <w:p>
      <w:pPr>
        <w:pStyle w:val="References"/>
      </w:pPr>
      <w:r>
        <w:t xml:space="preserve">[20] Percha, B., &amp; Altman, R. B. (2013). Informatics confronts drug-drug interactions. Trends in Pharmacological Sciences, 34(3), 178–184.</w:t>
      </w:r>
    </w:p>
    <w:p>
      <w:pPr>
        <w:pStyle w:val="References"/>
      </w:pPr>
      <w:r>
        <w:t xml:space="preserve">[21] Vilar, S., Harpaz, R., Uriarte, E., et al. (2012). Drug-drug interaction through molecular structure similarity analysis. Journal of the American Medical Informatics Association, 19(6), 1066–1074.</w:t>
      </w:r>
    </w:p>
    <w:p>
      <w:pPr>
        <w:pStyle w:val="References"/>
      </w:pPr>
      <w:r>
        <w:t xml:space="preserve">[22] Zhang, W., Chen, Y., Liu, F., et al. (2017). Predicting potential drug-drug interactions by integrating chemical, biological, phenotypic and network data. BMC Bioinformatics, 18(1), 18.</w:t>
      </w:r>
    </w:p>
    <w:p>
      <w:pPr>
        <w:pStyle w:val="References"/>
      </w:pPr>
      <w:r>
        <w:t xml:space="preserve">[23] Ferdousi, R., Safdari, R., &amp; Omidi, Y. (2017). Computational prediction of drug-drug interactions based on drugs functional similarities. Journal of Biomedical Informatics, 70, 54–64.</w:t>
      </w:r>
    </w:p>
    <w:p>
      <w:pPr>
        <w:pStyle w:val="References"/>
      </w:pPr>
      <w:r>
        <w:t xml:space="preserve">[24] Zitnik, M., Agrawal, M., &amp; Leskovec, J. (2018). Modeling polypharmacy side effects with graph convolutional networks. Bioinformatics, 34(13), i457–i466.</w:t>
      </w:r>
    </w:p>
    <w:p>
      <w:pPr>
        <w:pStyle w:val="References"/>
      </w:pPr>
      <w:r>
        <w:t xml:space="preserve">[25] Karim, M. R., Cochez, M., Jares, J. B., et al. (2019). Drug-drug interaction prediction based on knowledge graph embeddings and convolutional-LSTM network. Proceedings of the 10th ACM International Conference on Bioinformatics, 113–123.</w:t>
      </w:r>
    </w:p>
    <w:p>
      <w:pPr>
        <w:pStyle w:val="References"/>
      </w:pPr>
      <w:r>
        <w:t xml:space="preserve">[26] Lin, X., Quan, Z., Wang, Z. J., et al. (2020). KGNN: Knowledge graph neural network for drug-drug interaction prediction. Proceedings of IJCAI, 2739–2745.</w:t>
      </w:r>
    </w:p>
    <w:p>
      <w:pPr>
        <w:pStyle w:val="References"/>
      </w:pPr>
      <w:r>
        <w:t xml:space="preserve">[27] Ryu, J. Y., Kim, H. U., &amp; Lee, S. Y. (2018). Deep learning improves prediction of drug-drug and drug-food interactions. Proceedings of the National Academy of Sciences, 115(18), E4304–E4311.</w:t>
      </w:r>
    </w:p>
    <w:p>
      <w:pPr>
        <w:pStyle w:val="References"/>
      </w:pPr>
      <w:r>
        <w:t xml:space="preserve">[28] Deng, Y., Xu, X., Qiu, Y., et al. (2020). A multimodal deep learning framework for predicting drug-drug interaction events. Bioinformatics, 36(15), 4316–4322.</w:t>
      </w:r>
    </w:p>
    <w:p>
      <w:pPr>
        <w:pStyle w:val="References"/>
      </w:pPr>
      <w:r>
        <w:t xml:space="preserve">[29] Han, K., Cao, P., Wang, Y., et al. (2022). A review of approaches for predicting drug-drug interactions based on machine learning. Frontiers in Pharmacology, 12, 814858.</w:t>
      </w:r>
    </w:p>
    <w:p>
      <w:pPr>
        <w:pStyle w:val="References"/>
      </w:pPr>
      <w:r>
        <w:t xml:space="preserve">[30] Vilar, S., Friedman, C., &amp; Hripcsak, G. (2018). Detection of drug-drug interactions through data mining studies using clinical sources, scientific literature and social media. Briefings in Bioinformatics, 19(5), 863–877.</w:t>
      </w:r>
    </w:p>
    <w:p>
      <w:pPr>
        <w:pStyle w:val="References"/>
      </w:pPr>
      <w:r>
        <w:t xml:space="preserve">[31] Nyamabo, A. K., Yu, H., &amp; Shi, J. Y. (2021). SSI-DDI: Substructure-substructure interactions for drug-drug interaction prediction. Briefings in Bioinformatics, 22(6), bbab133.</w:t>
      </w:r>
    </w:p>
    <w:p>
      <w:pPr>
        <w:pStyle w:val="References"/>
      </w:pPr>
      <w:r>
        <w:t xml:space="preserve">[32] Liu, Z., Huang, R., Roberts, R., &amp; Tong, W. (2019). Toxicogenomics: A 2020 vision. Trends in Pharmacological Sciences, 40(2), 92–103.</w:t>
      </w:r>
    </w:p>
    <w:p>
      <w:pPr>
        <w:pStyle w:val="References"/>
      </w:pPr>
      <w:r>
        <w:t xml:space="preserve">[33] Russell, W. M. S., &amp; Burch, R. L. (1959). The Principles of Humane Experimental Technique. Methuen, London.</w:t>
      </w:r>
    </w:p>
    <w:p>
      <w:pPr>
        <w:pStyle w:val="References"/>
      </w:pPr>
      <w:r>
        <w:t xml:space="preserve">[34] Luechtefeld, T., Marsh, D., Rowlands, C., &amp; Hartung, T. (2018). Machine learning of toxicological big data enables read-across structure activity relationships outperforming animal test reproducibility. Toxicological Sciences, 165(1), 198–212.</w:t>
      </w:r>
    </w:p>
    <w:p>
      <w:pPr>
        <w:pStyle w:val="References"/>
      </w:pPr>
      <w:r>
        <w:t xml:space="preserve">[35] Schmeisser, S., Miccoli, A., von Bergen, M., et al. (2023). New approach methodologies in human regulatory toxicology. Environment International, 178, 108082.</w:t>
      </w:r>
    </w:p>
    <w:p>
      <w:pPr>
        <w:pStyle w:val="References"/>
      </w:pPr>
      <w:r>
        <w:t xml:space="preserve">[36] Harpaz, R., DuMouchel, W., Shah, N. H., et al. (2012). Novel data-mining methodologies for adverse drug event discovery and analysis. Clinical Pharmacology &amp; Therapeutics, 91(6), 1010–1021.</w:t>
      </w:r>
    </w:p>
    <w:p>
      <w:pPr>
        <w:pStyle w:val="References"/>
      </w:pPr>
      <w:r>
        <w:t xml:space="preserve">[37] Basile, A. O., Yahi, A., &amp; Tatonetti, N. P. (2019). Artificial intelligence for drug toxicity and safety. Trends in Pharmacological Sciences, 40(9), 624–635.</w:t>
      </w:r>
    </w:p>
    <w:p>
      <w:pPr>
        <w:pStyle w:val="References"/>
      </w:pPr>
      <w:r>
        <w:t xml:space="preserve">[38] Bate, A., &amp; Evans, S. J. W. (2009). Quantitative signal detection using spontaneous ADR reporting. Pharmacoepidemiology and Drug Safety, 18(6), 427–436.</w:t>
      </w:r>
    </w:p>
    <w:p>
      <w:pPr>
        <w:pStyle w:val="References"/>
      </w:pPr>
      <w:r>
        <w:t xml:space="preserve">[39] Harpaz, R., Vilar, S., DuMouchel, W., et al. (2013). Combing signals from spontaneous reports and electronic health records for detection of adverse drug reactions. Journal of the American Medical Informatics Association, 20(3), 413–419.</w:t>
      </w:r>
    </w:p>
    <w:p>
      <w:pPr>
        <w:pStyle w:val="References"/>
      </w:pPr>
      <w:r>
        <w:t xml:space="preserve">[40] Wong, A., Plasek, J. M., Montecalvo, S. P., &amp; Zhou, L. (2018). Natural language processing and its implications for the future of medication safety. Pharmacotherapy, 38(8), 822–841.</w:t>
      </w:r>
    </w:p>
    <w:p>
      <w:pPr>
        <w:pStyle w:val="References"/>
      </w:pPr>
      <w:r>
        <w:t xml:space="preserve">[41] Sarker, A., Ginn, R., Nikfarjam, A., et al. (2015). Utilizing social media data for pharmacovigilance: A review. Journal of Biomedical Informatics, 54, 202–212.</w:t>
      </w:r>
    </w:p>
    <w:p>
      <w:pPr>
        <w:pStyle w:val="References"/>
      </w:pPr>
      <w:r>
        <w:t xml:space="preserve">[42] Li, Y., Wang, H., &amp; Yu, H. (2023). Large language models in biomedical natural language processing: Benchmarks, baselines, and recommendations. arXiv preprint arXiv:2305.16326.</w:t>
      </w:r>
    </w:p>
    <w:p>
      <w:pPr>
        <w:pStyle w:val="References"/>
      </w:pPr>
      <w:r>
        <w:t xml:space="preserve">[43] Ball, R., &amp; Dal Pan, G. (2022). "Artificial intelligence" for pharmacovigilance: Ready for prime time? Drug Safety, 45(5), 429–438.</w:t>
      </w:r>
    </w:p>
    <w:p>
      <w:pPr>
        <w:pStyle w:val="References"/>
      </w:pPr>
      <w:r>
        <w:t xml:space="preserve">[44] Kompa, B., Hakim, J. B., Palepu, A., et al. (2022). Artificial intelligence based on machine learning in pharmacovigilance: A scoping review. Drug Safety, 45(5), 477–491.</w:t>
      </w:r>
    </w:p>
    <w:p>
      <w:pPr>
        <w:pStyle w:val="References"/>
      </w:pPr>
      <w:r>
        <w:t xml:space="preserve">[45] Topol, E. J. (2019). High-performance medicine: The convergence of human and artificial intelligence. Nature Medicine, 25(1), 44–56.</w:t>
      </w:r>
    </w:p>
    <w:p>
      <w:pPr>
        <w:pStyle w:val="References"/>
      </w:pPr>
      <w:r>
        <w:t xml:space="preserve">[46] U.S. Food and Drug Administration. (2023). Using artificial intelligence and machine learning in the development of drug and biological products: Discussion paper and request for feedback. FDA, Silver Spring, MD.</w:t>
      </w:r>
    </w:p>
    <w:p>
      <w:pPr>
        <w:pStyle w:val="References"/>
      </w:pPr>
      <w:r>
        <w:t xml:space="preserve">[47] Vamathevan, J., Clark, D., Czodrowski, P., et al. (2019). Applications of machine learning in drug discovery and development. Nature Reviews Drug Discovery, 18(6), 463–477.</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keepNext/>
    </w:pPr>
    <w:rPr>
      <w:b/>
      <w:sz w:val="30"/>
      <w:szCs w:val="30"/>
    </w:rPr>
  </w:style>
  <w:style w:type="paragraph" w:styleId="Heading2">
    <w:name w:val="heading 2"/>
    <w:basedOn w:val="Normal"/>
    <w:pPr>
      <w:spacing w:before="240" w:after="120"/>
      <w:jc w:val="left"/>
      <w:keepNext/>
    </w:pPr>
    <w:rPr>
      <w:b/>
      <w:sz w:val="26"/>
      <w:szCs w:val="26"/>
    </w:rPr>
  </w:style>
  <w:style w:type="paragraph" w:styleId="Heading3">
    <w:name w:val="heading 3"/>
    <w:basedOn w:val="Normal"/>
    <w:pPr>
      <w:spacing w:before="200" w:after="100"/>
      <w:jc w:val="left"/>
      <w:keepNext/>
    </w:pPr>
    <w:rPr>
      <w:b/>
      <w:i/>
      <w:sz w:val="24"/>
      <w:szCs w:val="24"/>
    </w:rPr>
  </w:style>
  <w:style w:type="paragraph" w:styleId="Abstract">
    <w:name w:val="Abstract"/>
    <w:basedOn w:val="Normal"/>
    <w:pPr>
      <w:ind w:left="576" w:right="576"/>
    </w:pPr>
    <w:rPr>
      <w:i/>
    </w:rPr>
  </w:style>
  <w:style w:type="paragraph" w:styleId="References">
    <w:name w:val="References"/>
    <w:basedOn w:val="Normal"/>
    <w:pPr>
      <w:ind w:left="480" w:hanging="480"/>
      <w:spacing w:after="60"/>
      <w:jc w:val="left"/>
    </w:pPr>
    <w:rPr>
      <w:sz w:val="22"/>
      <w:szCs w:val="22"/>
    </w:rPr>
  </w:style>
  <w:style w:type="paragraph" w:styleId="FigureImage">
    <w:name w:val="Figure Image"/>
    <w:basedOn w:val="Normal"/>
    <w:pPr>
      <w:jc w:val="center"/>
      <w:spacing w:before="120" w:after="60"/>
    </w:pPr>
  </w:style>
  <w:style w:type="paragraph" w:styleId="FigureCaption">
    <w:name w:val="Figure Caption"/>
    <w:basedOn w:val="Normal"/>
    <w:pPr>
      <w:jc w:val="center"/>
      <w:spacing w:before="60" w:after="240"/>
    </w:pPr>
    <w:rPr>
      <w:i/>
      <w:sz w:val="22"/>
      <w:szCs w:val="22"/>
    </w:rPr>
  </w:style>
  <w:style w:type="paragraph" w:styleId="TableCaption">
    <w:name w:val="Table Caption"/>
    <w:basedOn w:val="Normal"/>
    <w:pPr>
      <w:spacing w:before="180" w:after="60"/>
      <w:jc w:val="left"/>
    </w:pPr>
    <w:rPr>
      <w:b/>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 Type="http://schemas.openxmlformats.org/officeDocument/2006/relationships/image" Target="media/Figure_7_1_Multimodal_Toxicity.png"/>
<Relationship Id="rId11" Type="http://schemas.openxmlformats.org/officeDocument/2006/relationships/image" Target="media/Figure_7_2_DDI_Mechanisms.png"/>
<Relationship Id="rId12" Type="http://schemas.openxmlformats.org/officeDocument/2006/relationships/image" Target="media/Figure_7_3_Safety_Continuum.png"/>
<Relationship Id="rId13" Type="http://schemas.openxmlformats.org/officeDocument/2006/relationships/image" Target="media/Figure_7_4_Pharmacovigilance.png"/>
</Relationships>
</file>