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jc w:val="center"/>
        <w:spacing w:after="400"/>
      </w:pPr>
      <w:r>
        <w:rPr>
          <w:b/>
          <w:sz w:val="32"/>
          <w:szCs w:val="32"/>
        </w:rPr>
        <w:t xml:space="preserve">Generative AI for Intertwined Sustainability Approach for Analytical Business Intelligence and the Future of Human Capital</w:t>
      </w:r>
    </w:p>
    <w:p>
      <w:pPr>
        <w:pStyle w:val="Normal"/>
        <w:spacing w:after="200"/>
      </w:pPr>
      <w:r>
        <w:rPr/>
        <w:t xml:space="preserve"/>
      </w:r>
    </w:p>
    <w:p>
      <w:pPr>
        <w:pStyle w:val="Heading1"/>
        <w:spacing w:after="200"/>
      </w:pPr>
      <w:r>
        <w:rPr>
          <w:b/>
          <w:sz w:val="28"/>
          <w:szCs w:val="28"/>
        </w:rPr>
        <w:t xml:space="preserve">Abstract</w:t>
      </w:r>
    </w:p>
    <w:p>
      <w:pPr>
        <w:pStyle w:val="Normal"/>
        <w:jc w:val="both"/>
      </w:pPr>
      <w:r>
        <w:rPr/>
        <w:t xml:space="preserve">This chapter examines the transformative role of Generative Artificial Intelligence (GenAI) in creating an intertwined sustainability approach that bridges analytical business intelligence with the future of human capital development. As organizations worldwide confront the dual imperatives of digital transformation and sustainable development, GenAI emerges as a pivotal technology capable of synthesizing complex data streams, generating actionable insights, and fostering human-centric innovation ecosystems. The chapter explores how GenAI reshapes business intelligence through advanced analytics, natural language processing, and autonomous decision-support systems while simultaneously addressing economic, environmental, and social sustainability dimensions. Furthermore, it investigates AI-driven workforce analytics, personalized learning architectures, and human-AI collaboration paradigms that define the future of work. Critical challenges including algorithmic bias, data privacy, governance frameworks, and organizational readiness are analyzed alongside responsible implementation strategies. The chapter concludes with future research directions that envision integrated AI ecosystems promoting sustainable enterprises and human-centric technological advancement. Through a comprehensive review of current literature, industry case studies, and emerging frameworks, this work contributes to the growing discourse on leveraging GenAI as a catalyst for holistic sustainability in the knowledge economy. The analysis integrates perspectives from information systems research, sustainability science, organizational behavior, and artificial intelligence to construct a multidisciplinary framework that illuminates the complex relationships between technological innovation, sustainable development, and human capital evolution. Practical implications for organizational leaders, policymakers, and researchers are derived from the synthesis of theoretical frameworks and empirical evidence, providing actionable guidance for responsible GenAI implementation that advances sustainability objectives while enhancing human capabilities and organizational resilience.</w:t>
      </w:r>
    </w:p>
    <w:p>
      <w:pPr>
        <w:pStyle w:val="Normal"/>
      </w:pPr>
      <w:r>
        <w:rPr/>
        <w:t xml:space="preserve"/>
      </w:r>
    </w:p>
    <w:p>
      <w:pPr>
        <w:pStyle w:val="Normal"/>
      </w:pPr>
      <w:r>
        <w:rPr>
          <w:sz w:val="20"/>
          <w:szCs w:val="20"/>
        </w:rPr>
        <w:t xml:space="preserve">Keywords: Generative AI; Business Intelligence; Sustainability; Human Capital; Workforce Analytics; AI Governance; Digital Transformation; Sustainable Development</w:t>
      </w:r>
    </w:p>
    <w:p>
      <w:pPr>
        <w:pStyle w:val="Normal"/>
      </w:pPr>
      <w:r>
        <w:rPr/>
        <w:t xml:space="preserve"/>
      </w:r>
    </w:p>
    <w:p>
      <w:pPr>
        <w:pStyle w:val="Heading1"/>
        <w:spacing w:after="200"/>
      </w:pPr>
      <w:r>
        <w:rPr>
          <w:b/>
          <w:sz w:val="28"/>
          <w:szCs w:val="28"/>
        </w:rPr>
        <w:t xml:space="preserve">1. Generative AI and the Evolution of Sustainable Business Intelligence</w:t>
      </w:r>
    </w:p>
    <w:p>
      <w:pPr>
        <w:pStyle w:val="Normal"/>
      </w:pPr>
      <w:r>
        <w:rPr/>
        <w:t xml:space="preserve">The twenty-first century presents organizations with an unprecedented convergence of technological opportunity and sustainability imperative. The emergence of Generative Artificial Intelligence as a transformational technology coincides with intensifying global pressures to address climate change, social inequality, and economic instability through integrated approaches that transcend traditional disciplinary boundaries. Business intelligence, historically focused on extracting operational insights from structured data, is undergoing a fundamental metamorphosis driven by GenAI capabilities that enable not merely the analysis of existing information but the generation of novel insights, creative solutions, and strategic possibilities previously inaccessible through conventional analytical methods. Simultaneously, human capital management confronts the challenges of rapid technological change, evolving workforce expectations, and the imperative to develop organizational capabilities that sustain competitive advantage while contributing to broader societal wellbeing. This chapter addresses these interconnected challenges through a systematic examination of how Generative AI can serve as an integrating technology that bridges business intelligence, sustainability, and human capital development into a coherent framework for organizational transformation. The analysis proceeds through four major sections exploring the evolution of GenAI in sustainable business intelligence, AI-driven human capital management, implementation challenges and governance requirements, and future directions for integrated AI-sustainability ecosystems. Each section draws on current research literature, industry practice, and emerging theoretical frameworks to provide both scholarly rigor and practical applicability for researchers and practitioners engaged in this rapidly evolving domain.</w:t>
      </w:r>
    </w:p>
    <w:p>
      <w:pPr>
        <w:pStyle w:val="Normal"/>
      </w:pPr>
      <w:r>
        <w:rPr/>
        <w:t xml:space="preserve">The convergence of Generative Artificial Intelligence and sustainable business practices represents one of the most significant technological paradigm shifts of the twenty-first century [1]. As organizations navigate increasingly complex market environments characterized by volatile economic conditions, stringent environmental regulations, and evolving social expectations, the need for intelligent systems capable of processing multidimensional data and generating strategic insights has become paramount [2]. Generative AI, encompassing large language models, generative adversarial networks, variational autoencoders, and diffusion models, has demonstrated unprecedented capabilities in understanding, synthesizing, and creating content across diverse domains [3]. The transformative potential of these technologies extends beyond incremental efficiency improvements to encompass fundamental restructuring of how organizations conceptualize strategy, execute operations, and create value for diverse stakeholders. The intersection of GenAI with sustainability represents a particularly promising frontier, as the complexity of sustainability challenges—spanning multiple dimensions, time horizons, stakeholder groups, and interdependent systems—precisely matches the strengths of generative intelligence in processing multidimensional information and generating creative solutions to complex problems. This section establishes the foundational understanding of how GenAI has evolved within the business intelligence landscape and explores its potential as a transformative enabler of sustainability across economic, environmental, and social dimensions [4]. The analysis draws on recent developments in both GenAI technology and sustainability science to articulate an integrated framework for understanding how these domains can be synergistically combined to create sustainable organizations that leverage artificial intelligence as a force for positive economic, environmental, and social transformation.</w:t>
      </w:r>
    </w:p>
    <w:p>
      <w:pPr>
        <w:pStyle w:val="Heading2"/>
        <w:spacing w:after="200"/>
      </w:pPr>
      <w:r>
        <w:rPr>
          <w:b/>
          <w:sz w:val="24"/>
          <w:szCs w:val="24"/>
        </w:rPr>
        <w:t xml:space="preserve">1.1 Foundations and Evolution of Generative AI in Business Analytics</w:t>
      </w:r>
    </w:p>
    <w:p>
      <w:pPr>
        <w:pStyle w:val="Normal"/>
      </w:pPr>
      <w:r>
        <w:rPr/>
        <w:t xml:space="preserve">The evolution of Generative AI in business analytics traces a remarkable trajectory from early rule-based expert systems to contemporary foundation models capable of reasoning across multiple domains [5]. The first generation of AI applications in business primarily focused on descriptive analytics, employing statistical methods and basic machine learning algorithms to identify historical patterns in structured datasets [6]. These systems, while valuable for retrospective analysis, offered limited capability for forward-looking strategic decision-making. Organizations during this early period invested heavily in data warehousing infrastructure and business intelligence platforms that could aggregate transactional data into meaningful reports, yet the analytical depth remained constrained by the deterministic nature of the underlying algorithms and their inability to process unstructured information sources.
The emergence of deep learning architectures in the early 2010s marked a significant inflection point, enabling organizations to process unstructured data including text, images, and audio signals at unprecedented scale [7]. Convolutional neural networks and recurrent neural networks expanded the analytical toolkit available to business intelligence practitioners, facilitating sentiment analysis, demand forecasting, and anomaly detection across diverse operational contexts [8]. This period also witnessed the democratization of machine learning through cloud computing platforms and open-source frameworks that reduced barriers to entry for organizations seeking to leverage advanced analytics capabilities. The proliferation of data science teams within enterprises reflected growing recognition that competitive advantage increasingly derived from superior analytical capabilities rather than traditional factors of production.
The introduction of the Transformer architecture in 2017 fundamentally altered the landscape of AI-driven business analytics [9]. The attention mechanism central to Transformer models enabled parallel processing of sequential data, dramatically improving both computational efficiency and model performance. Subsequent developments including BERT, GPT series, and their derivatives established new benchmarks for natural language understanding and generation tasks relevant to business intelligence applications [10]. The self-supervised pre-training paradigm underlying these models eliminated the need for task-specific labeled datasets, enabling transfer learning across diverse business applications and dramatically reducing the data requirements for deploying AI solutions in new domains.
As illustrated in Figure 1, the adoption of GenAI across various business sectors has accelerated significantly since 2022, with financial services and retail leading implementation efforts. The current generation of GenAI systems represents a qualitative leap beyond previous AI paradigms. Large language models such as GPT-4, Claude, Gemini, and their open-source counterparts demonstrate emergent capabilities including in-context learning, chain-of-thought reasoning, and multimodal understanding that enable sophisticated analytical workflows [11]. These capabilities translate directly into enhanced business intelligence through automated report generation, natural language querying of databases, predictive scenario modeling, and real-time decision support [12]. Industry surveys indicate that over sixty-five percent of Fortune 500 companies have initiated pilot programs for GenAI integration into their analytics infrastructure, with early adopters reporting twenty to forty percent improvements in analyst productivity and decision-making speed.
Table 1 presents a comprehensive comparison of GenAI model capabilities relevant to business intelligence applications, highlighting the progression from basic text generation to complex reasoning and multimodal analysis. The integration of retrieval-augmented generation with enterprise knowledge bases has further enhanced the practical utility of GenAI in organizational contexts, enabling systems to ground their outputs in verified organizational data while leveraging broad world knowledge [13]. Furthermore, the development of specialized fine-tuning techniques including instruction tuning, reinforcement learning from human feedback, and domain adaptation methodologies has enabled organizations to customize foundation models for specific business intelligence applications while maintaining the broad capabilities of the underlying pre-trained architecture.</w:t>
      </w:r>
    </w:p>
    <w:p>
      <w:pPr>
        <w:jc w:val="center"/>
      </w:pPr>
      <w:r>
        <w:drawing>
          <wp:inline distT="0" distB="0" distL="0" distR="0">
            <wp:extent cx="5029200" cy="3200400"/>
            <wp:docPr id="2" name="Picture rId2"/>
            <a:graphic xmlns:a="http://schemas.openxmlformats.org/drawingml/2006/main">
              <a:graphicData uri="http://schemas.openxmlformats.org/drawingml/2006/picture">
                <pic:pic xmlns:pic="http://schemas.openxmlformats.org/drawingml/2006/picture">
                  <pic:nvPicPr>
                    <pic:cNvPr id="2" name="Picture"/>
                    <pic:cNvPicPr/>
                  </pic:nvPicPr>
                  <pic:blipFill>
                    <a:blip r:embed="rId2"/>
                    <a:stretch>
                      <a:fillRect/>
                    </a:stretch>
                  </pic:blipFill>
                  <pic:spPr>
                    <a:xfrm>
                      <a:off x="0" y="0"/>
                      <a:ext cx="5029200" cy="3200400"/>
                    </a:xfrm>
                    <a:prstGeom prst="rect">
                      <a:avLst/>
                    </a:prstGeom>
                  </pic:spPr>
                </pic:pic>
              </a:graphicData>
            </a:graphic>
          </wp:inline>
        </w:drawing>
      </w:r>
    </w:p>
    <w:p>
      <w:pPr>
        <w:pStyle w:val="Normal"/>
        <w:jc w:val="center"/>
      </w:pPr>
      <w:r>
        <w:rPr>
          <w:sz w:val="18"/>
          <w:szCs w:val="18"/>
        </w:rPr>
        <w:t xml:space="preserve">Figure 1: Generative AI Adoption Rates Across Business Intelligence Sectors (2024)</w:t>
      </w:r>
    </w:p>
    <w:p>
      <w:pPr>
        <w:pStyle w:val="Normal"/>
      </w:pPr>
      <w:r>
        <w:rPr/>
        <w:t xml:space="preserve"/>
      </w:r>
    </w:p>
    <w:p>
      <w:pPr>
        <w:pStyle w:val="Normal"/>
        <w:jc w:val="center"/>
      </w:pPr>
      <w:r>
        <w:rPr>
          <w:b/>
          <w:sz w:val="20"/>
          <w:szCs w:val="20"/>
        </w:rPr>
        <w:t xml:space="preserve">Table 1: Comparative Analysis of GenAI Model Capabilities for Business Intelligence Applications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w="1500" w:type="dxa"/>
            <w:shd w:val="clear" w:color="auto" w:fill="2E86C1"/>
          </w:tcPr>
          <w:p>
            <w:pPr>
              <w:jc w:val="center"/>
            </w:pPr>
            <w:r>
              <w:rPr>
                <w:b/>
                <w:color w:val="FFFFFF"/>
                <w:sz w:val="20"/>
              </w:rPr>
              <w:t>Model/Platform</w:t>
            </w:r>
          </w:p>
        </w:tc>
        <w:tc>
          <w:tcPr>
            <w:tcW w:w="1500" w:type="dxa"/>
            <w:shd w:val="clear" w:color="auto" w:fill="2E86C1"/>
          </w:tcPr>
          <w:p>
            <w:pPr>
              <w:jc w:val="center"/>
            </w:pPr>
            <w:r>
              <w:rPr>
                <w:b/>
                <w:color w:val="FFFFFF"/>
                <w:sz w:val="20"/>
              </w:rPr>
              <w:t>Text Generation</w:t>
            </w:r>
          </w:p>
        </w:tc>
        <w:tc>
          <w:tcPr>
            <w:tcW w:w="1500" w:type="dxa"/>
            <w:shd w:val="clear" w:color="auto" w:fill="2E86C1"/>
          </w:tcPr>
          <w:p>
            <w:pPr>
              <w:jc w:val="center"/>
            </w:pPr>
            <w:r>
              <w:rPr>
                <w:b/>
                <w:color w:val="FFFFFF"/>
                <w:sz w:val="20"/>
              </w:rPr>
              <w:t>Multimodal Analysis</w:t>
            </w:r>
          </w:p>
        </w:tc>
        <w:tc>
          <w:tcPr>
            <w:tcW w:w="1500" w:type="dxa"/>
            <w:shd w:val="clear" w:color="auto" w:fill="2E86C1"/>
          </w:tcPr>
          <w:p>
            <w:pPr>
              <w:jc w:val="center"/>
            </w:pPr>
            <w:r>
              <w:rPr>
                <w:b/>
                <w:color w:val="FFFFFF"/>
                <w:sz w:val="20"/>
              </w:rPr>
              <w:t>Reasoning</w:t>
            </w:r>
          </w:p>
        </w:tc>
        <w:tc>
          <w:tcPr>
            <w:tcW w:w="1500" w:type="dxa"/>
            <w:shd w:val="clear" w:color="auto" w:fill="2E86C1"/>
          </w:tcPr>
          <w:p>
            <w:pPr>
              <w:jc w:val="center"/>
            </w:pPr>
            <w:r>
              <w:rPr>
                <w:b/>
                <w:color w:val="FFFFFF"/>
                <w:sz w:val="20"/>
              </w:rPr>
              <w:t>BI Integration</w:t>
            </w:r>
          </w:p>
        </w:tc>
        <w:tc>
          <w:tcPr>
            <w:tcW w:w="1500" w:type="dxa"/>
            <w:shd w:val="clear" w:color="auto" w:fill="2E86C1"/>
          </w:tcPr>
          <w:p>
            <w:pPr>
              <w:jc w:val="center"/>
            </w:pPr>
            <w:r>
              <w:rPr>
                <w:b/>
                <w:color w:val="FFFFFF"/>
                <w:sz w:val="20"/>
              </w:rPr>
              <w:t>Year</w:t>
            </w:r>
          </w:p>
        </w:tc>
      </w:tr>
      <w:tr>
        <w:tc>
          <w:tcPr>
            <w:tcW w:w="1500" w:type="dxa"/>
            <w:shd w:val="clear" w:color="auto" w:fill="F2F3F4"/>
          </w:tcPr>
          <w:p>
            <w:pPr>
              <w:jc w:val="center"/>
            </w:pPr>
            <w:r>
              <w:rPr>
                <w:sz w:val="18"/>
              </w:rPr>
              <w:t>GPT-4 / OpenAI</w:t>
            </w:r>
          </w:p>
        </w:tc>
        <w:tc>
          <w:tcPr>
            <w:tcW w:w="1500" w:type="dxa"/>
            <w:shd w:val="clear" w:color="auto" w:fill="F2F3F4"/>
          </w:tcPr>
          <w:p>
            <w:pPr>
              <w:jc w:val="center"/>
            </w:pPr>
            <w:r>
              <w:rPr>
                <w:sz w:val="18"/>
              </w:rPr>
              <w:t>Excellent</w:t>
            </w:r>
          </w:p>
        </w:tc>
        <w:tc>
          <w:tcPr>
            <w:tcW w:w="1500" w:type="dxa"/>
            <w:shd w:val="clear" w:color="auto" w:fill="F2F3F4"/>
          </w:tcPr>
          <w:p>
            <w:pPr>
              <w:jc w:val="center"/>
            </w:pPr>
            <w:r>
              <w:rPr>
                <w:sz w:val="18"/>
              </w:rPr>
              <w:t>Yes (Vision)</w:t>
            </w:r>
          </w:p>
        </w:tc>
        <w:tc>
          <w:tcPr>
            <w:tcW w:w="1500" w:type="dxa"/>
            <w:shd w:val="clear" w:color="auto" w:fill="F2F3F4"/>
          </w:tcPr>
          <w:p>
            <w:pPr>
              <w:jc w:val="center"/>
            </w:pPr>
            <w:r>
              <w:rPr>
                <w:sz w:val="18"/>
              </w:rPr>
              <w:t>Advanced CoT</w:t>
            </w:r>
          </w:p>
        </w:tc>
        <w:tc>
          <w:tcPr>
            <w:tcW w:w="1500" w:type="dxa"/>
            <w:shd w:val="clear" w:color="auto" w:fill="F2F3F4"/>
          </w:tcPr>
          <w:p>
            <w:pPr>
              <w:jc w:val="center"/>
            </w:pPr>
            <w:r>
              <w:rPr>
                <w:sz w:val="18"/>
              </w:rPr>
              <w:t>API/Plugin</w:t>
            </w:r>
          </w:p>
        </w:tc>
        <w:tc>
          <w:tcPr>
            <w:tcW w:w="1500" w:type="dxa"/>
            <w:shd w:val="clear" w:color="auto" w:fill="F2F3F4"/>
          </w:tcPr>
          <w:p>
            <w:pPr>
              <w:jc w:val="center"/>
            </w:pPr>
            <w:r>
              <w:rPr>
                <w:sz w:val="18"/>
              </w:rPr>
              <w:t>2023</w:t>
            </w:r>
          </w:p>
        </w:tc>
      </w:tr>
      <w:tr>
        <w:tc>
          <w:tcPr>
            <w:tcW w:w="1500" w:type="dxa"/>
            <w:shd w:val="clear" w:color="auto" w:fill="FFFFFF"/>
          </w:tcPr>
          <w:p>
            <w:pPr>
              <w:jc w:val="center"/>
            </w:pPr>
            <w:r>
              <w:rPr>
                <w:sz w:val="18"/>
              </w:rPr>
              <w:t>Gemini Ultra / Google</w:t>
            </w:r>
          </w:p>
        </w:tc>
        <w:tc>
          <w:tcPr>
            <w:tcW w:w="1500" w:type="dxa"/>
            <w:shd w:val="clear" w:color="auto" w:fill="FFFFFF"/>
          </w:tcPr>
          <w:p>
            <w:pPr>
              <w:jc w:val="center"/>
            </w:pPr>
            <w:r>
              <w:rPr>
                <w:sz w:val="18"/>
              </w:rPr>
              <w:t>Excellent</w:t>
            </w:r>
          </w:p>
        </w:tc>
        <w:tc>
          <w:tcPr>
            <w:tcW w:w="1500" w:type="dxa"/>
            <w:shd w:val="clear" w:color="auto" w:fill="FFFFFF"/>
          </w:tcPr>
          <w:p>
            <w:pPr>
              <w:jc w:val="center"/>
            </w:pPr>
            <w:r>
              <w:rPr>
                <w:sz w:val="18"/>
              </w:rPr>
              <w:t>Native Multimodal</w:t>
            </w:r>
          </w:p>
        </w:tc>
        <w:tc>
          <w:tcPr>
            <w:tcW w:w="1500" w:type="dxa"/>
            <w:shd w:val="clear" w:color="auto" w:fill="FFFFFF"/>
          </w:tcPr>
          <w:p>
            <w:pPr>
              <w:jc w:val="center"/>
            </w:pPr>
            <w:r>
              <w:rPr>
                <w:sz w:val="18"/>
              </w:rPr>
              <w:t>Advanced</w:t>
            </w:r>
          </w:p>
        </w:tc>
        <w:tc>
          <w:tcPr>
            <w:tcW w:w="1500" w:type="dxa"/>
            <w:shd w:val="clear" w:color="auto" w:fill="FFFFFF"/>
          </w:tcPr>
          <w:p>
            <w:pPr>
              <w:jc w:val="center"/>
            </w:pPr>
            <w:r>
              <w:rPr>
                <w:sz w:val="18"/>
              </w:rPr>
              <w:t>Cloud BI Suite</w:t>
            </w:r>
          </w:p>
        </w:tc>
        <w:tc>
          <w:tcPr>
            <w:tcW w:w="1500" w:type="dxa"/>
            <w:shd w:val="clear" w:color="auto" w:fill="FFFFFF"/>
          </w:tcPr>
          <w:p>
            <w:pPr>
              <w:jc w:val="center"/>
            </w:pPr>
            <w:r>
              <w:rPr>
                <w:sz w:val="18"/>
              </w:rPr>
              <w:t>2024</w:t>
            </w:r>
          </w:p>
        </w:tc>
      </w:tr>
      <w:tr>
        <w:tc>
          <w:tcPr>
            <w:tcW w:w="1500" w:type="dxa"/>
            <w:shd w:val="clear" w:color="auto" w:fill="F2F3F4"/>
          </w:tcPr>
          <w:p>
            <w:pPr>
              <w:jc w:val="center"/>
            </w:pPr>
            <w:r>
              <w:rPr>
                <w:sz w:val="18"/>
              </w:rPr>
              <w:t>Claude 3 / Anthropic</w:t>
            </w:r>
          </w:p>
        </w:tc>
        <w:tc>
          <w:tcPr>
            <w:tcW w:w="1500" w:type="dxa"/>
            <w:shd w:val="clear" w:color="auto" w:fill="F2F3F4"/>
          </w:tcPr>
          <w:p>
            <w:pPr>
              <w:jc w:val="center"/>
            </w:pPr>
            <w:r>
              <w:rPr>
                <w:sz w:val="18"/>
              </w:rPr>
              <w:t>Excellent</w:t>
            </w:r>
          </w:p>
        </w:tc>
        <w:tc>
          <w:tcPr>
            <w:tcW w:w="1500" w:type="dxa"/>
            <w:shd w:val="clear" w:color="auto" w:fill="F2F3F4"/>
          </w:tcPr>
          <w:p>
            <w:pPr>
              <w:jc w:val="center"/>
            </w:pPr>
            <w:r>
              <w:rPr>
                <w:sz w:val="18"/>
              </w:rPr>
              <w:t>Yes (Vision)</w:t>
            </w:r>
          </w:p>
        </w:tc>
        <w:tc>
          <w:tcPr>
            <w:tcW w:w="1500" w:type="dxa"/>
            <w:shd w:val="clear" w:color="auto" w:fill="F2F3F4"/>
          </w:tcPr>
          <w:p>
            <w:pPr>
              <w:jc w:val="center"/>
            </w:pPr>
            <w:r>
              <w:rPr>
                <w:sz w:val="18"/>
              </w:rPr>
              <w:t>Constitutional AI</w:t>
            </w:r>
          </w:p>
        </w:tc>
        <w:tc>
          <w:tcPr>
            <w:tcW w:w="1500" w:type="dxa"/>
            <w:shd w:val="clear" w:color="auto" w:fill="F2F3F4"/>
          </w:tcPr>
          <w:p>
            <w:pPr>
              <w:jc w:val="center"/>
            </w:pPr>
            <w:r>
              <w:rPr>
                <w:sz w:val="18"/>
              </w:rPr>
              <w:t>API</w:t>
            </w:r>
          </w:p>
        </w:tc>
        <w:tc>
          <w:tcPr>
            <w:tcW w:w="1500" w:type="dxa"/>
            <w:shd w:val="clear" w:color="auto" w:fill="F2F3F4"/>
          </w:tcPr>
          <w:p>
            <w:pPr>
              <w:jc w:val="center"/>
            </w:pPr>
            <w:r>
              <w:rPr>
                <w:sz w:val="18"/>
              </w:rPr>
              <w:t>2024</w:t>
            </w:r>
          </w:p>
        </w:tc>
      </w:tr>
      <w:tr>
        <w:tc>
          <w:tcPr>
            <w:tcW w:w="1500" w:type="dxa"/>
            <w:shd w:val="clear" w:color="auto" w:fill="FFFFFF"/>
          </w:tcPr>
          <w:p>
            <w:pPr>
              <w:jc w:val="center"/>
            </w:pPr>
            <w:r>
              <w:rPr>
                <w:sz w:val="18"/>
              </w:rPr>
              <w:t>Llama 3 / Meta</w:t>
            </w:r>
          </w:p>
        </w:tc>
        <w:tc>
          <w:tcPr>
            <w:tcW w:w="1500" w:type="dxa"/>
            <w:shd w:val="clear" w:color="auto" w:fill="FFFFFF"/>
          </w:tcPr>
          <w:p>
            <w:pPr>
              <w:jc w:val="center"/>
            </w:pPr>
            <w:r>
              <w:rPr>
                <w:sz w:val="18"/>
              </w:rPr>
              <w:t>Very Good</w:t>
            </w:r>
          </w:p>
        </w:tc>
        <w:tc>
          <w:tcPr>
            <w:tcW w:w="1500" w:type="dxa"/>
            <w:shd w:val="clear" w:color="auto" w:fill="FFFFFF"/>
          </w:tcPr>
          <w:p>
            <w:pPr>
              <w:jc w:val="center"/>
            </w:pPr>
            <w:r>
              <w:rPr>
                <w:sz w:val="18"/>
              </w:rPr>
              <w:t>Limited</w:t>
            </w:r>
          </w:p>
        </w:tc>
        <w:tc>
          <w:tcPr>
            <w:tcW w:w="1500" w:type="dxa"/>
            <w:shd w:val="clear" w:color="auto" w:fill="FFFFFF"/>
          </w:tcPr>
          <w:p>
            <w:pPr>
              <w:jc w:val="center"/>
            </w:pPr>
            <w:r>
              <w:rPr>
                <w:sz w:val="18"/>
              </w:rPr>
              <w:t>Moderate</w:t>
            </w:r>
          </w:p>
        </w:tc>
        <w:tc>
          <w:tcPr>
            <w:tcW w:w="1500" w:type="dxa"/>
            <w:shd w:val="clear" w:color="auto" w:fill="FFFFFF"/>
          </w:tcPr>
          <w:p>
            <w:pPr>
              <w:jc w:val="center"/>
            </w:pPr>
            <w:r>
              <w:rPr>
                <w:sz w:val="18"/>
              </w:rPr>
              <w:t>Open Source</w:t>
            </w:r>
          </w:p>
        </w:tc>
        <w:tc>
          <w:tcPr>
            <w:tcW w:w="1500" w:type="dxa"/>
            <w:shd w:val="clear" w:color="auto" w:fill="FFFFFF"/>
          </w:tcPr>
          <w:p>
            <w:pPr>
              <w:jc w:val="center"/>
            </w:pPr>
            <w:r>
              <w:rPr>
                <w:sz w:val="18"/>
              </w:rPr>
              <w:t>2024</w:t>
            </w:r>
          </w:p>
        </w:tc>
      </w:tr>
      <w:tr>
        <w:tc>
          <w:tcPr>
            <w:tcW w:w="1500" w:type="dxa"/>
            <w:shd w:val="clear" w:color="auto" w:fill="F2F3F4"/>
          </w:tcPr>
          <w:p>
            <w:pPr>
              <w:jc w:val="center"/>
            </w:pPr>
            <w:r>
              <w:rPr>
                <w:sz w:val="18"/>
              </w:rPr>
              <w:t>Mixtral / Mistral</w:t>
            </w:r>
          </w:p>
        </w:tc>
        <w:tc>
          <w:tcPr>
            <w:tcW w:w="1500" w:type="dxa"/>
            <w:shd w:val="clear" w:color="auto" w:fill="F2F3F4"/>
          </w:tcPr>
          <w:p>
            <w:pPr>
              <w:jc w:val="center"/>
            </w:pPr>
            <w:r>
              <w:rPr>
                <w:sz w:val="18"/>
              </w:rPr>
              <w:t>Very Good</w:t>
            </w:r>
          </w:p>
        </w:tc>
        <w:tc>
          <w:tcPr>
            <w:tcW w:w="1500" w:type="dxa"/>
            <w:shd w:val="clear" w:color="auto" w:fill="F2F3F4"/>
          </w:tcPr>
          <w:p>
            <w:pPr>
              <w:jc w:val="center"/>
            </w:pPr>
            <w:r>
              <w:rPr>
                <w:sz w:val="18"/>
              </w:rPr>
              <w:t>No</w:t>
            </w:r>
          </w:p>
        </w:tc>
        <w:tc>
          <w:tcPr>
            <w:tcW w:w="1500" w:type="dxa"/>
            <w:shd w:val="clear" w:color="auto" w:fill="F2F3F4"/>
          </w:tcPr>
          <w:p>
            <w:pPr>
              <w:jc w:val="center"/>
            </w:pPr>
            <w:r>
              <w:rPr>
                <w:sz w:val="18"/>
              </w:rPr>
              <w:t>Good</w:t>
            </w:r>
          </w:p>
        </w:tc>
        <w:tc>
          <w:tcPr>
            <w:tcW w:w="1500" w:type="dxa"/>
            <w:shd w:val="clear" w:color="auto" w:fill="F2F3F4"/>
          </w:tcPr>
          <w:p>
            <w:pPr>
              <w:jc w:val="center"/>
            </w:pPr>
            <w:r>
              <w:rPr>
                <w:sz w:val="18"/>
              </w:rPr>
              <w:t>Open Source</w:t>
            </w:r>
          </w:p>
        </w:tc>
        <w:tc>
          <w:tcPr>
            <w:tcW w:w="1500" w:type="dxa"/>
            <w:shd w:val="clear" w:color="auto" w:fill="F2F3F4"/>
          </w:tcPr>
          <w:p>
            <w:pPr>
              <w:jc w:val="center"/>
            </w:pPr>
            <w:r>
              <w:rPr>
                <w:sz w:val="18"/>
              </w:rPr>
              <w:t>2024</w:t>
            </w:r>
          </w:p>
        </w:tc>
      </w:tr>
      <w:tr>
        <w:tc>
          <w:tcPr>
            <w:tcW w:w="1500" w:type="dxa"/>
            <w:shd w:val="clear" w:color="auto" w:fill="FFFFFF"/>
          </w:tcPr>
          <w:p>
            <w:pPr>
              <w:jc w:val="center"/>
            </w:pPr>
            <w:r>
              <w:rPr>
                <w:sz w:val="18"/>
              </w:rPr>
              <w:t>Copilot / Microsoft</w:t>
            </w:r>
          </w:p>
        </w:tc>
        <w:tc>
          <w:tcPr>
            <w:tcW w:w="1500" w:type="dxa"/>
            <w:shd w:val="clear" w:color="auto" w:fill="FFFFFF"/>
          </w:tcPr>
          <w:p>
            <w:pPr>
              <w:jc w:val="center"/>
            </w:pPr>
            <w:r>
              <w:rPr>
                <w:sz w:val="18"/>
              </w:rPr>
              <w:t>Excellent</w:t>
            </w:r>
          </w:p>
        </w:tc>
        <w:tc>
          <w:tcPr>
            <w:tcW w:w="1500" w:type="dxa"/>
            <w:shd w:val="clear" w:color="auto" w:fill="FFFFFF"/>
          </w:tcPr>
          <w:p>
            <w:pPr>
              <w:jc w:val="center"/>
            </w:pPr>
            <w:r>
              <w:rPr>
                <w:sz w:val="18"/>
              </w:rPr>
              <w:t>Yes</w:t>
            </w:r>
          </w:p>
        </w:tc>
        <w:tc>
          <w:tcPr>
            <w:tcW w:w="1500" w:type="dxa"/>
            <w:shd w:val="clear" w:color="auto" w:fill="FFFFFF"/>
          </w:tcPr>
          <w:p>
            <w:pPr>
              <w:jc w:val="center"/>
            </w:pPr>
            <w:r>
              <w:rPr>
                <w:sz w:val="18"/>
              </w:rPr>
              <w:t>Advanced</w:t>
            </w:r>
          </w:p>
        </w:tc>
        <w:tc>
          <w:tcPr>
            <w:tcW w:w="1500" w:type="dxa"/>
            <w:shd w:val="clear" w:color="auto" w:fill="FFFFFF"/>
          </w:tcPr>
          <w:p>
            <w:pPr>
              <w:jc w:val="center"/>
            </w:pPr>
            <w:r>
              <w:rPr>
                <w:sz w:val="18"/>
              </w:rPr>
              <w:t>Power BI Native</w:t>
            </w:r>
          </w:p>
        </w:tc>
        <w:tc>
          <w:tcPr>
            <w:tcW w:w="1500" w:type="dxa"/>
            <w:shd w:val="clear" w:color="auto" w:fill="FFFFFF"/>
          </w:tcPr>
          <w:p>
            <w:pPr>
              <w:jc w:val="center"/>
            </w:pPr>
            <w:r>
              <w:rPr>
                <w:sz w:val="18"/>
              </w:rPr>
              <w:t>2023</w:t>
            </w:r>
          </w:p>
        </w:tc>
      </w:tr>
      <w:tr>
        <w:tc>
          <w:tcPr>
            <w:tcW w:w="1500" w:type="dxa"/>
            <w:shd w:val="clear" w:color="auto" w:fill="F2F3F4"/>
          </w:tcPr>
          <w:p>
            <w:pPr>
              <w:jc w:val="center"/>
            </w:pPr>
            <w:r>
              <w:rPr>
                <w:sz w:val="18"/>
              </w:rPr>
              <w:t>Tableau AI / Salesforce</w:t>
            </w:r>
          </w:p>
        </w:tc>
        <w:tc>
          <w:tcPr>
            <w:tcW w:w="1500" w:type="dxa"/>
            <w:shd w:val="clear" w:color="auto" w:fill="F2F3F4"/>
          </w:tcPr>
          <w:p>
            <w:pPr>
              <w:jc w:val="center"/>
            </w:pPr>
            <w:r>
              <w:rPr>
                <w:sz w:val="18"/>
              </w:rPr>
              <w:t>Good</w:t>
            </w:r>
          </w:p>
        </w:tc>
        <w:tc>
          <w:tcPr>
            <w:tcW w:w="1500" w:type="dxa"/>
            <w:shd w:val="clear" w:color="auto" w:fill="F2F3F4"/>
          </w:tcPr>
          <w:p>
            <w:pPr>
              <w:jc w:val="center"/>
            </w:pPr>
            <w:r>
              <w:rPr>
                <w:sz w:val="18"/>
              </w:rPr>
              <w:t>Dashboard-native</w:t>
            </w:r>
          </w:p>
        </w:tc>
        <w:tc>
          <w:tcPr>
            <w:tcW w:w="1500" w:type="dxa"/>
            <w:shd w:val="clear" w:color="auto" w:fill="F2F3F4"/>
          </w:tcPr>
          <w:p>
            <w:pPr>
              <w:jc w:val="center"/>
            </w:pPr>
            <w:r>
              <w:rPr>
                <w:sz w:val="18"/>
              </w:rPr>
              <w:t>Moderate</w:t>
            </w:r>
          </w:p>
        </w:tc>
        <w:tc>
          <w:tcPr>
            <w:tcW w:w="1500" w:type="dxa"/>
            <w:shd w:val="clear" w:color="auto" w:fill="F2F3F4"/>
          </w:tcPr>
          <w:p>
            <w:pPr>
              <w:jc w:val="center"/>
            </w:pPr>
            <w:r>
              <w:rPr>
                <w:sz w:val="18"/>
              </w:rPr>
              <w:t>Native BI</w:t>
            </w:r>
          </w:p>
        </w:tc>
        <w:tc>
          <w:tcPr>
            <w:tcW w:w="1500" w:type="dxa"/>
            <w:shd w:val="clear" w:color="auto" w:fill="F2F3F4"/>
          </w:tcPr>
          <w:p>
            <w:pPr>
              <w:jc w:val="center"/>
            </w:pPr>
            <w:r>
              <w:rPr>
                <w:sz w:val="18"/>
              </w:rPr>
              <w:t>2024</w:t>
            </w:r>
          </w:p>
        </w:tc>
      </w:tr>
    </w:tbl>
    <w:p>
      <w:pPr>
        <w:pStyle w:val="Normal"/>
      </w:pPr>
      <w:r>
        <w:rPr/>
        <w:t xml:space="preserve"/>
      </w:r>
    </w:p>
    <w:p>
      <w:pPr>
        <w:pStyle w:val="Heading2"/>
        <w:spacing w:after="200"/>
      </w:pPr>
      <w:r>
        <w:rPr>
          <w:b/>
          <w:sz w:val="24"/>
          <w:szCs w:val="24"/>
        </w:rPr>
        <w:t xml:space="preserve">1.2 Integrating Generative AI with Analytical Business Intelligence</w:t>
      </w:r>
    </w:p>
    <w:p>
      <w:pPr>
        <w:pStyle w:val="Normal"/>
      </w:pPr>
      <w:r>
        <w:rPr/>
        <w:t xml:space="preserve">The integration of Generative AI with analytical business intelligence represents a fundamental reconceptualization of how organizations derive value from data assets [14]. Traditional business intelligence systems operated primarily through structured query languages, predefined dashboards, and static reporting mechanisms that required significant technical expertise for effective utilization [15]. GenAI transforms this paradigm by introducing natural language interfaces, automated insight generation, and adaptive analytical workflows accessible to non-technical stakeholders. This democratization of analytical capability represents a profound shift in organizational power dynamics, as strategic insights become accessible to a broader range of decision-makers rather than remaining confined within specialized analytics teams.
Contemporary GenAI-enhanced business intelligence platforms demonstrate several distinctive capabilities that differentiate them from traditional systems [16]. First, natural language querying enables business users to interrogate complex datasets using conversational language, with the AI system automatically translating queries into appropriate database operations and returning results in comprehensible formats [17]. This capability eliminates the SQL literacy barrier that traditionally limited data access, enabling executives, managers, and frontline workers to directly engage with organizational data assets. The conversational nature of these interfaces also supports iterative exploration, where users can refine their questions based on initial results without requiring intermediary analytical support.
Second, automated narrative generation transforms raw analytical outputs into coherent business narratives, contextualizing findings within relevant organizational and market frameworks [18]. These systems produce written analyses that interpret statistical patterns, identify causal relationships, highlight exceptions requiring attention, and recommend actions based on observed trends. The quality of AI-generated narratives has improved dramatically with the advent of large language models capable of maintaining coherence across extended documents while incorporating domain-specific terminology and organizational context.
Third, predictive and prescriptive analytics powered by GenAI extend beyond traditional forecasting by generating plausible future scenarios accompanied by recommended strategic responses [19]. These capabilities leverage the generative nature of foundation models to explore possibility spaces that deterministic models cannot effectively traverse. By combining historical pattern recognition with creative scenario generation, these systems provide decision-makers with richer strategic options and more nuanced understanding of potential futures. Fourth, anomaly detection and explanation systems identify unusual patterns in business data and generate human-readable explanations for observed deviations, accelerating root cause analysis and response times [20]. The explanatory capability is particularly valuable as it bridges the gap between algorithmic detection and human understanding, enabling faster organizational response to emerging opportunities or threats.
The architectural integration of GenAI with existing business intelligence infrastructure presents both opportunities and challenges. Organizations must navigate the tension between the flexibility of large language models and the precision required for mission-critical business decisions [21]. Hybrid architectures that combine the generative capabilities of foundation models with the deterministic reliability of traditional analytical systems have emerged as practical solutions, enabling organizations to leverage GenAI strengths while maintaining analytical rigor [22]. These hybrid systems typically employ GenAI for insight generation, hypothesis formulation, and natural language interaction while relying on validated statistical models and verified databases for numerical precision and regulatory compliance. Figure 1 further demonstrates that sectors with more mature data infrastructure show higher rates of successful GenAI integration into their business intelligence workflows.
Furthermore, the emergence of autonomous AI agents capable of executing multi-step analytical workflows introduces new possibilities for business intelligence automation [23]. These agents can independently formulate hypotheses, gather relevant data, conduct analyses, and present findings with minimal human intervention, potentially transforming the role of business intelligence professionals from data analysts to strategic interpreters and decision architects [24]. The agentic paradigm represents a fundamental shift from reactive analytics, where systems respond to human queries, to proactive intelligence where AI systems independently identify and communicate strategic insights. This transformation raises important questions about the future role of human analysts and the organizational structures that support evidence-based decision-making.</w:t>
      </w:r>
    </w:p>
    <w:p>
      <w:pPr>
        <w:pStyle w:val="Heading2"/>
        <w:spacing w:after="200"/>
      </w:pPr>
      <w:r>
        <w:rPr>
          <w:b/>
          <w:sz w:val="24"/>
          <w:szCs w:val="24"/>
        </w:rPr>
        <w:t xml:space="preserve">1.3 Generative AI as an Enabler of Economic, Environmental, and Social Sustainability</w:t>
      </w:r>
    </w:p>
    <w:p>
      <w:pPr>
        <w:pStyle w:val="Normal"/>
      </w:pPr>
      <w:r>
        <w:rPr/>
        <w:t xml:space="preserve">Generative AI's role as an enabler of sustainability extends across the three pillars of sustainable development: economic viability, environmental stewardship, and social equity [25]. The economic sustainability dimension encompasses GenAI's capacity to optimize resource allocation, reduce operational costs through intelligent automation, and identify new revenue streams through innovative product and service development [26]. Organizations leveraging GenAI for business intelligence report significant improvements in decision-making speed and accuracy, translating into measurable economic advantages including reduced waste, improved supply chain efficiency, and enhanced customer lifetime value [27]. Research conducted across multiple industry sectors indicates that organizations with mature GenAI implementations achieve fifteen to thirty percent improvements in operational efficiency compared to industry peers relying on traditional analytical approaches.
Environmental sustainability benefits from GenAI through multiple pathways. Advanced predictive models enable organizations to optimize energy consumption, minimize waste generation, and develop circular economy strategies informed by comprehensive lifecycle analysis [28]. GenAI systems can analyze complex environmental datasets including satellite imagery, sensor networks, and regulatory databases to generate actionable recommendations for reducing organizational carbon footprints [29]. These capabilities extend to supply chain scope three emissions tracking, where GenAI can process supplier sustainability reports, logistics data, and production records to generate comprehensive emissions inventories and identify reduction opportunities that manual analysis would miss. Additionally, GenAI-powered design tools enable the development of environmentally sustainable products and processes by simulating material properties, optimizing manufacturing parameters, and identifying sustainable alternatives to conventional inputs [30]. The generative design approach explores millions of potential configurations to identify solutions that minimize environmental impact while maintaining functional performance requirements.
The social sustainability dimension of GenAI in business intelligence encompasses workforce development, community engagement, and equitable access to technological benefits [31]. As detailed in Table 2, organizations implementing GenAI-driven sustainability frameworks report improvements across multiple social indicators including employee satisfaction, diversity metrics, and community impact assessments. GenAI systems can identify and address systemic biases in organizational processes, generate inclusive communication strategies, and support equitable resource distribution across diverse stakeholder groups [32]. The technology enables organizations to monitor social impact metrics in real-time, generating alerts when indicators suggest emerging inequities or negative community impacts that require intervention.
However, the sustainability promise of GenAI is not without contradictions. The computational requirements of training and operating large language models impose significant environmental costs, with estimates suggesting that training a single large model can generate carbon emissions equivalent to hundreds of transatlantic flights [33]. This tension between the sustainability benefits enabled by GenAI and the environmental costs of its operation necessitates careful consideration of model efficiency, hardware optimization, and renewable energy utilization in AI infrastructure [34]. Recent advances in model distillation, quantization, and efficient attention mechanisms offer promising pathways for reducing the environmental footprint of GenAI operations while maintaining analytical utility. Furthermore, the semiconductor manufacturing processes required for AI hardware carry their own environmental and social costs including water consumption, chemical waste, and geopolitical supply chain dependencies that must be factored into comprehensive sustainability assessments. Table 2 provides a detailed breakdown of sustainability metrics across organizations at different stages of GenAI adoption, revealing that mature implementations achieve net positive sustainability outcomes when operational efficiencies offset computational costs.</w:t>
      </w:r>
    </w:p>
    <w:p>
      <w:pPr>
        <w:pStyle w:val="Normal"/>
        <w:jc w:val="center"/>
      </w:pPr>
      <w:r>
        <w:rPr>
          <w:b/>
          <w:sz w:val="20"/>
          <w:szCs w:val="20"/>
        </w:rPr>
        <w:t xml:space="preserve">Table 2: Sustainability Performance Metrics Across GenAI Implementation Maturity Stages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tcW w:w="1800" w:type="dxa"/>
            <w:shd w:val="clear" w:color="auto" w:fill="2E86C1"/>
          </w:tcPr>
          <w:p>
            <w:pPr>
              <w:jc w:val="center"/>
            </w:pPr>
            <w:r>
              <w:rPr>
                <w:b/>
                <w:color w:val="FFFFFF"/>
                <w:sz w:val="20"/>
              </w:rPr>
              <w:t>Sustainability Dimension</w:t>
            </w:r>
          </w:p>
        </w:tc>
        <w:tc>
          <w:tcPr>
            <w:tcW w:w="1800" w:type="dxa"/>
            <w:shd w:val="clear" w:color="auto" w:fill="2E86C1"/>
          </w:tcPr>
          <w:p>
            <w:pPr>
              <w:jc w:val="center"/>
            </w:pPr>
            <w:r>
              <w:rPr>
                <w:b/>
                <w:color w:val="FFFFFF"/>
                <w:sz w:val="20"/>
              </w:rPr>
              <w:t>Early Stage</w:t>
            </w:r>
          </w:p>
        </w:tc>
        <w:tc>
          <w:tcPr>
            <w:tcW w:w="1800" w:type="dxa"/>
            <w:shd w:val="clear" w:color="auto" w:fill="2E86C1"/>
          </w:tcPr>
          <w:p>
            <w:pPr>
              <w:jc w:val="center"/>
            </w:pPr>
            <w:r>
              <w:rPr>
                <w:b/>
                <w:color w:val="FFFFFF"/>
                <w:sz w:val="20"/>
              </w:rPr>
              <w:t>Developing</w:t>
            </w:r>
          </w:p>
        </w:tc>
        <w:tc>
          <w:tcPr>
            <w:tcW w:w="1800" w:type="dxa"/>
            <w:shd w:val="clear" w:color="auto" w:fill="2E86C1"/>
          </w:tcPr>
          <w:p>
            <w:pPr>
              <w:jc w:val="center"/>
            </w:pPr>
            <w:r>
              <w:rPr>
                <w:b/>
                <w:color w:val="FFFFFF"/>
                <w:sz w:val="20"/>
              </w:rPr>
              <w:t>Mature</w:t>
            </w:r>
          </w:p>
        </w:tc>
        <w:tc>
          <w:tcPr>
            <w:tcW w:w="1800" w:type="dxa"/>
            <w:shd w:val="clear" w:color="auto" w:fill="2E86C1"/>
          </w:tcPr>
          <w:p>
            <w:pPr>
              <w:jc w:val="center"/>
            </w:pPr>
            <w:r>
              <w:rPr>
                <w:b/>
                <w:color w:val="FFFFFF"/>
                <w:sz w:val="20"/>
              </w:rPr>
              <w:t>Metric Type</w:t>
            </w:r>
          </w:p>
        </w:tc>
      </w:tr>
      <w:tr>
        <w:tc>
          <w:tcPr>
            <w:tcW w:w="1800" w:type="dxa"/>
            <w:shd w:val="clear" w:color="auto" w:fill="F2F3F4"/>
          </w:tcPr>
          <w:p>
            <w:pPr>
              <w:jc w:val="center"/>
            </w:pPr>
            <w:r>
              <w:rPr>
                <w:sz w:val="18"/>
              </w:rPr>
              <w:t>Carbon Footprint Reduction</w:t>
            </w:r>
          </w:p>
        </w:tc>
        <w:tc>
          <w:tcPr>
            <w:tcW w:w="1800" w:type="dxa"/>
            <w:shd w:val="clear" w:color="auto" w:fill="F2F3F4"/>
          </w:tcPr>
          <w:p>
            <w:pPr>
              <w:jc w:val="center"/>
            </w:pPr>
            <w:r>
              <w:rPr>
                <w:sz w:val="18"/>
              </w:rPr>
              <w:t>2-5%</w:t>
            </w:r>
          </w:p>
        </w:tc>
        <w:tc>
          <w:tcPr>
            <w:tcW w:w="1800" w:type="dxa"/>
            <w:shd w:val="clear" w:color="auto" w:fill="F2F3F4"/>
          </w:tcPr>
          <w:p>
            <w:pPr>
              <w:jc w:val="center"/>
            </w:pPr>
            <w:r>
              <w:rPr>
                <w:sz w:val="18"/>
              </w:rPr>
              <w:t>8-15%</w:t>
            </w:r>
          </w:p>
        </w:tc>
        <w:tc>
          <w:tcPr>
            <w:tcW w:w="1800" w:type="dxa"/>
            <w:shd w:val="clear" w:color="auto" w:fill="F2F3F4"/>
          </w:tcPr>
          <w:p>
            <w:pPr>
              <w:jc w:val="center"/>
            </w:pPr>
            <w:r>
              <w:rPr>
                <w:sz w:val="18"/>
              </w:rPr>
              <w:t>20-35%</w:t>
            </w:r>
          </w:p>
        </w:tc>
        <w:tc>
          <w:tcPr>
            <w:tcW w:w="1800" w:type="dxa"/>
            <w:shd w:val="clear" w:color="auto" w:fill="F2F3F4"/>
          </w:tcPr>
          <w:p>
            <w:pPr>
              <w:jc w:val="center"/>
            </w:pPr>
            <w:r>
              <w:rPr>
                <w:sz w:val="18"/>
              </w:rPr>
              <w:t>Environmental</w:t>
            </w:r>
          </w:p>
        </w:tc>
      </w:tr>
      <w:tr>
        <w:tc>
          <w:tcPr>
            <w:tcW w:w="1800" w:type="dxa"/>
            <w:shd w:val="clear" w:color="auto" w:fill="FFFFFF"/>
          </w:tcPr>
          <w:p>
            <w:pPr>
              <w:jc w:val="center"/>
            </w:pPr>
            <w:r>
              <w:rPr>
                <w:sz w:val="18"/>
              </w:rPr>
              <w:t>Energy Efficiency Gains</w:t>
            </w:r>
          </w:p>
        </w:tc>
        <w:tc>
          <w:tcPr>
            <w:tcW w:w="1800" w:type="dxa"/>
            <w:shd w:val="clear" w:color="auto" w:fill="FFFFFF"/>
          </w:tcPr>
          <w:p>
            <w:pPr>
              <w:jc w:val="center"/>
            </w:pPr>
            <w:r>
              <w:rPr>
                <w:sz w:val="18"/>
              </w:rPr>
              <w:t>5-10%</w:t>
            </w:r>
          </w:p>
        </w:tc>
        <w:tc>
          <w:tcPr>
            <w:tcW w:w="1800" w:type="dxa"/>
            <w:shd w:val="clear" w:color="auto" w:fill="FFFFFF"/>
          </w:tcPr>
          <w:p>
            <w:pPr>
              <w:jc w:val="center"/>
            </w:pPr>
            <w:r>
              <w:rPr>
                <w:sz w:val="18"/>
              </w:rPr>
              <w:t>12-22%</w:t>
            </w:r>
          </w:p>
        </w:tc>
        <w:tc>
          <w:tcPr>
            <w:tcW w:w="1800" w:type="dxa"/>
            <w:shd w:val="clear" w:color="auto" w:fill="FFFFFF"/>
          </w:tcPr>
          <w:p>
            <w:pPr>
              <w:jc w:val="center"/>
            </w:pPr>
            <w:r>
              <w:rPr>
                <w:sz w:val="18"/>
              </w:rPr>
              <w:t>25-40%</w:t>
            </w:r>
          </w:p>
        </w:tc>
        <w:tc>
          <w:tcPr>
            <w:tcW w:w="1800" w:type="dxa"/>
            <w:shd w:val="clear" w:color="auto" w:fill="FFFFFF"/>
          </w:tcPr>
          <w:p>
            <w:pPr>
              <w:jc w:val="center"/>
            </w:pPr>
            <w:r>
              <w:rPr>
                <w:sz w:val="18"/>
              </w:rPr>
              <w:t>Environmental</w:t>
            </w:r>
          </w:p>
        </w:tc>
      </w:tr>
      <w:tr>
        <w:tc>
          <w:tcPr>
            <w:tcW w:w="1800" w:type="dxa"/>
            <w:shd w:val="clear" w:color="auto" w:fill="F2F3F4"/>
          </w:tcPr>
          <w:p>
            <w:pPr>
              <w:jc w:val="center"/>
            </w:pPr>
            <w:r>
              <w:rPr>
                <w:sz w:val="18"/>
              </w:rPr>
              <w:t>Cost Optimization</w:t>
            </w:r>
          </w:p>
        </w:tc>
        <w:tc>
          <w:tcPr>
            <w:tcW w:w="1800" w:type="dxa"/>
            <w:shd w:val="clear" w:color="auto" w:fill="F2F3F4"/>
          </w:tcPr>
          <w:p>
            <w:pPr>
              <w:jc w:val="center"/>
            </w:pPr>
            <w:r>
              <w:rPr>
                <w:sz w:val="18"/>
              </w:rPr>
              <w:t>8-12%</w:t>
            </w:r>
          </w:p>
        </w:tc>
        <w:tc>
          <w:tcPr>
            <w:tcW w:w="1800" w:type="dxa"/>
            <w:shd w:val="clear" w:color="auto" w:fill="F2F3F4"/>
          </w:tcPr>
          <w:p>
            <w:pPr>
              <w:jc w:val="center"/>
            </w:pPr>
            <w:r>
              <w:rPr>
                <w:sz w:val="18"/>
              </w:rPr>
              <w:t>15-25%</w:t>
            </w:r>
          </w:p>
        </w:tc>
        <w:tc>
          <w:tcPr>
            <w:tcW w:w="1800" w:type="dxa"/>
            <w:shd w:val="clear" w:color="auto" w:fill="F2F3F4"/>
          </w:tcPr>
          <w:p>
            <w:pPr>
              <w:jc w:val="center"/>
            </w:pPr>
            <w:r>
              <w:rPr>
                <w:sz w:val="18"/>
              </w:rPr>
              <w:t>30-45%</w:t>
            </w:r>
          </w:p>
        </w:tc>
        <w:tc>
          <w:tcPr>
            <w:tcW w:w="1800" w:type="dxa"/>
            <w:shd w:val="clear" w:color="auto" w:fill="F2F3F4"/>
          </w:tcPr>
          <w:p>
            <w:pPr>
              <w:jc w:val="center"/>
            </w:pPr>
            <w:r>
              <w:rPr>
                <w:sz w:val="18"/>
              </w:rPr>
              <w:t>Economic</w:t>
            </w:r>
          </w:p>
        </w:tc>
      </w:tr>
      <w:tr>
        <w:tc>
          <w:tcPr>
            <w:tcW w:w="1800" w:type="dxa"/>
            <w:shd w:val="clear" w:color="auto" w:fill="FFFFFF"/>
          </w:tcPr>
          <w:p>
            <w:pPr>
              <w:jc w:val="center"/>
            </w:pPr>
            <w:r>
              <w:rPr>
                <w:sz w:val="18"/>
              </w:rPr>
              <w:t>Revenue Growth (AI-driven)</w:t>
            </w:r>
          </w:p>
        </w:tc>
        <w:tc>
          <w:tcPr>
            <w:tcW w:w="1800" w:type="dxa"/>
            <w:shd w:val="clear" w:color="auto" w:fill="FFFFFF"/>
          </w:tcPr>
          <w:p>
            <w:pPr>
              <w:jc w:val="center"/>
            </w:pPr>
            <w:r>
              <w:rPr>
                <w:sz w:val="18"/>
              </w:rPr>
              <w:t>3-7%</w:t>
            </w:r>
          </w:p>
        </w:tc>
        <w:tc>
          <w:tcPr>
            <w:tcW w:w="1800" w:type="dxa"/>
            <w:shd w:val="clear" w:color="auto" w:fill="FFFFFF"/>
          </w:tcPr>
          <w:p>
            <w:pPr>
              <w:jc w:val="center"/>
            </w:pPr>
            <w:r>
              <w:rPr>
                <w:sz w:val="18"/>
              </w:rPr>
              <w:t>10-18%</w:t>
            </w:r>
          </w:p>
        </w:tc>
        <w:tc>
          <w:tcPr>
            <w:tcW w:w="1800" w:type="dxa"/>
            <w:shd w:val="clear" w:color="auto" w:fill="FFFFFF"/>
          </w:tcPr>
          <w:p>
            <w:pPr>
              <w:jc w:val="center"/>
            </w:pPr>
            <w:r>
              <w:rPr>
                <w:sz w:val="18"/>
              </w:rPr>
              <w:t>20-30%</w:t>
            </w:r>
          </w:p>
        </w:tc>
        <w:tc>
          <w:tcPr>
            <w:tcW w:w="1800" w:type="dxa"/>
            <w:shd w:val="clear" w:color="auto" w:fill="FFFFFF"/>
          </w:tcPr>
          <w:p>
            <w:pPr>
              <w:jc w:val="center"/>
            </w:pPr>
            <w:r>
              <w:rPr>
                <w:sz w:val="18"/>
              </w:rPr>
              <w:t>Economic</w:t>
            </w:r>
          </w:p>
        </w:tc>
      </w:tr>
      <w:tr>
        <w:tc>
          <w:tcPr>
            <w:tcW w:w="1800" w:type="dxa"/>
            <w:shd w:val="clear" w:color="auto" w:fill="F2F3F4"/>
          </w:tcPr>
          <w:p>
            <w:pPr>
              <w:jc w:val="center"/>
            </w:pPr>
            <w:r>
              <w:rPr>
                <w:sz w:val="18"/>
              </w:rPr>
              <w:t>Employee Satisfaction</w:t>
            </w:r>
          </w:p>
        </w:tc>
        <w:tc>
          <w:tcPr>
            <w:tcW w:w="1800" w:type="dxa"/>
            <w:shd w:val="clear" w:color="auto" w:fill="F2F3F4"/>
          </w:tcPr>
          <w:p>
            <w:pPr>
              <w:jc w:val="center"/>
            </w:pPr>
            <w:r>
              <w:rPr>
                <w:sz w:val="18"/>
              </w:rPr>
              <w:t>+5-8%</w:t>
            </w:r>
          </w:p>
        </w:tc>
        <w:tc>
          <w:tcPr>
            <w:tcW w:w="1800" w:type="dxa"/>
            <w:shd w:val="clear" w:color="auto" w:fill="F2F3F4"/>
          </w:tcPr>
          <w:p>
            <w:pPr>
              <w:jc w:val="center"/>
            </w:pPr>
            <w:r>
              <w:rPr>
                <w:sz w:val="18"/>
              </w:rPr>
              <w:t>+12-18%</w:t>
            </w:r>
          </w:p>
        </w:tc>
        <w:tc>
          <w:tcPr>
            <w:tcW w:w="1800" w:type="dxa"/>
            <w:shd w:val="clear" w:color="auto" w:fill="F2F3F4"/>
          </w:tcPr>
          <w:p>
            <w:pPr>
              <w:jc w:val="center"/>
            </w:pPr>
            <w:r>
              <w:rPr>
                <w:sz w:val="18"/>
              </w:rPr>
              <w:t>+20-28%</w:t>
            </w:r>
          </w:p>
        </w:tc>
        <w:tc>
          <w:tcPr>
            <w:tcW w:w="1800" w:type="dxa"/>
            <w:shd w:val="clear" w:color="auto" w:fill="F2F3F4"/>
          </w:tcPr>
          <w:p>
            <w:pPr>
              <w:jc w:val="center"/>
            </w:pPr>
            <w:r>
              <w:rPr>
                <w:sz w:val="18"/>
              </w:rPr>
              <w:t>Social</w:t>
            </w:r>
          </w:p>
        </w:tc>
      </w:tr>
      <w:tr>
        <w:tc>
          <w:tcPr>
            <w:tcW w:w="1800" w:type="dxa"/>
            <w:shd w:val="clear" w:color="auto" w:fill="FFFFFF"/>
          </w:tcPr>
          <w:p>
            <w:pPr>
              <w:jc w:val="center"/>
            </w:pPr>
            <w:r>
              <w:rPr>
                <w:sz w:val="18"/>
              </w:rPr>
              <w:t>Diversity Improvement</w:t>
            </w:r>
          </w:p>
        </w:tc>
        <w:tc>
          <w:tcPr>
            <w:tcW w:w="1800" w:type="dxa"/>
            <w:shd w:val="clear" w:color="auto" w:fill="FFFFFF"/>
          </w:tcPr>
          <w:p>
            <w:pPr>
              <w:jc w:val="center"/>
            </w:pPr>
            <w:r>
              <w:rPr>
                <w:sz w:val="18"/>
              </w:rPr>
              <w:t>+3-5%</w:t>
            </w:r>
          </w:p>
        </w:tc>
        <w:tc>
          <w:tcPr>
            <w:tcW w:w="1800" w:type="dxa"/>
            <w:shd w:val="clear" w:color="auto" w:fill="FFFFFF"/>
          </w:tcPr>
          <w:p>
            <w:pPr>
              <w:jc w:val="center"/>
            </w:pPr>
            <w:r>
              <w:rPr>
                <w:sz w:val="18"/>
              </w:rPr>
              <w:t>+8-12%</w:t>
            </w:r>
          </w:p>
        </w:tc>
        <w:tc>
          <w:tcPr>
            <w:tcW w:w="1800" w:type="dxa"/>
            <w:shd w:val="clear" w:color="auto" w:fill="FFFFFF"/>
          </w:tcPr>
          <w:p>
            <w:pPr>
              <w:jc w:val="center"/>
            </w:pPr>
            <w:r>
              <w:rPr>
                <w:sz w:val="18"/>
              </w:rPr>
              <w:t>+15-22%</w:t>
            </w:r>
          </w:p>
        </w:tc>
        <w:tc>
          <w:tcPr>
            <w:tcW w:w="1800" w:type="dxa"/>
            <w:shd w:val="clear" w:color="auto" w:fill="FFFFFF"/>
          </w:tcPr>
          <w:p>
            <w:pPr>
              <w:jc w:val="center"/>
            </w:pPr>
            <w:r>
              <w:rPr>
                <w:sz w:val="18"/>
              </w:rPr>
              <w:t>Social</w:t>
            </w:r>
          </w:p>
        </w:tc>
      </w:tr>
      <w:tr>
        <w:tc>
          <w:tcPr>
            <w:tcW w:w="1800" w:type="dxa"/>
            <w:shd w:val="clear" w:color="auto" w:fill="F2F3F4"/>
          </w:tcPr>
          <w:p>
            <w:pPr>
              <w:jc w:val="center"/>
            </w:pPr>
            <w:r>
              <w:rPr>
                <w:sz w:val="18"/>
              </w:rPr>
              <w:t>Community Impact Score</w:t>
            </w:r>
          </w:p>
        </w:tc>
        <w:tc>
          <w:tcPr>
            <w:tcW w:w="1800" w:type="dxa"/>
            <w:shd w:val="clear" w:color="auto" w:fill="F2F3F4"/>
          </w:tcPr>
          <w:p>
            <w:pPr>
              <w:jc w:val="center"/>
            </w:pPr>
            <w:r>
              <w:rPr>
                <w:sz w:val="18"/>
              </w:rPr>
              <w:t>+4-7%</w:t>
            </w:r>
          </w:p>
        </w:tc>
        <w:tc>
          <w:tcPr>
            <w:tcW w:w="1800" w:type="dxa"/>
            <w:shd w:val="clear" w:color="auto" w:fill="F2F3F4"/>
          </w:tcPr>
          <w:p>
            <w:pPr>
              <w:jc w:val="center"/>
            </w:pPr>
            <w:r>
              <w:rPr>
                <w:sz w:val="18"/>
              </w:rPr>
              <w:t>+10-16%</w:t>
            </w:r>
          </w:p>
        </w:tc>
        <w:tc>
          <w:tcPr>
            <w:tcW w:w="1800" w:type="dxa"/>
            <w:shd w:val="clear" w:color="auto" w:fill="F2F3F4"/>
          </w:tcPr>
          <w:p>
            <w:pPr>
              <w:jc w:val="center"/>
            </w:pPr>
            <w:r>
              <w:rPr>
                <w:sz w:val="18"/>
              </w:rPr>
              <w:t>+18-25%</w:t>
            </w:r>
          </w:p>
        </w:tc>
        <w:tc>
          <w:tcPr>
            <w:tcW w:w="1800" w:type="dxa"/>
            <w:shd w:val="clear" w:color="auto" w:fill="F2F3F4"/>
          </w:tcPr>
          <w:p>
            <w:pPr>
              <w:jc w:val="center"/>
            </w:pPr>
            <w:r>
              <w:rPr>
                <w:sz w:val="18"/>
              </w:rPr>
              <w:t>Social</w:t>
            </w:r>
          </w:p>
        </w:tc>
      </w:tr>
      <w:tr>
        <w:tc>
          <w:tcPr>
            <w:tcW w:w="1800" w:type="dxa"/>
            <w:shd w:val="clear" w:color="auto" w:fill="FFFFFF"/>
          </w:tcPr>
          <w:p>
            <w:pPr>
              <w:jc w:val="center"/>
            </w:pPr>
            <w:r>
              <w:rPr>
                <w:sz w:val="18"/>
              </w:rPr>
              <w:t>Overall ESG Rating</w:t>
            </w:r>
          </w:p>
        </w:tc>
        <w:tc>
          <w:tcPr>
            <w:tcW w:w="1800" w:type="dxa"/>
            <w:shd w:val="clear" w:color="auto" w:fill="FFFFFF"/>
          </w:tcPr>
          <w:p>
            <w:pPr>
              <w:jc w:val="center"/>
            </w:pPr>
            <w:r>
              <w:rPr>
                <w:sz w:val="18"/>
              </w:rPr>
              <w:t>+5-8pts</w:t>
            </w:r>
          </w:p>
        </w:tc>
        <w:tc>
          <w:tcPr>
            <w:tcW w:w="1800" w:type="dxa"/>
            <w:shd w:val="clear" w:color="auto" w:fill="FFFFFF"/>
          </w:tcPr>
          <w:p>
            <w:pPr>
              <w:jc w:val="center"/>
            </w:pPr>
            <w:r>
              <w:rPr>
                <w:sz w:val="18"/>
              </w:rPr>
              <w:t>+12-18pts</w:t>
            </w:r>
          </w:p>
        </w:tc>
        <w:tc>
          <w:tcPr>
            <w:tcW w:w="1800" w:type="dxa"/>
            <w:shd w:val="clear" w:color="auto" w:fill="FFFFFF"/>
          </w:tcPr>
          <w:p>
            <w:pPr>
              <w:jc w:val="center"/>
            </w:pPr>
            <w:r>
              <w:rPr>
                <w:sz w:val="18"/>
              </w:rPr>
              <w:t>+20-30pts</w:t>
            </w:r>
          </w:p>
        </w:tc>
        <w:tc>
          <w:tcPr>
            <w:tcW w:w="1800" w:type="dxa"/>
            <w:shd w:val="clear" w:color="auto" w:fill="FFFFFF"/>
          </w:tcPr>
          <w:p>
            <w:pPr>
              <w:jc w:val="center"/>
            </w:pPr>
            <w:r>
              <w:rPr>
                <w:sz w:val="18"/>
              </w:rPr>
              <w:t>Composite</w:t>
            </w:r>
          </w:p>
        </w:tc>
      </w:tr>
    </w:tbl>
    <w:p>
      <w:pPr>
        <w:pStyle w:val="Normal"/>
      </w:pPr>
      <w:r>
        <w:rPr/>
        <w:t xml:space="preserve"/>
      </w:r>
    </w:p>
    <w:p>
      <w:pPr>
        <w:pStyle w:val="Heading1"/>
        <w:spacing w:after="200"/>
      </w:pPr>
      <w:r>
        <w:rPr>
          <w:b/>
          <w:sz w:val="28"/>
          <w:szCs w:val="28"/>
        </w:rPr>
        <w:t xml:space="preserve">2. Generative AI for Sustainable Human Capital Management</w:t>
      </w:r>
    </w:p>
    <w:p>
      <w:pPr>
        <w:pStyle w:val="Normal"/>
      </w:pPr>
      <w:r>
        <w:rPr/>
        <w:t xml:space="preserve">The application of Generative AI to human capital management represents a paradigm shift in how organizations attract, develop, retain, and optimize their workforce [35]. Traditional human resource management systems relied on retrospective analysis of employee data, standardized development programs, and intuitive decision-making by human managers [36]. GenAI transforms these practices by introducing predictive workforce analytics, personalized development pathways, and collaborative human-AI work environments that adapt dynamically to individual and organizational needs. The transformation extends beyond operational efficiency improvements to encompass fundamental reconceptualization of the employment relationship, where technology serves as a mediator and enhancer of human potential rather than merely a mechanism for labor cost optimization. This section examines three critical dimensions of AI-driven sustainable human capital management: workforce analytics and talent intelligence, personalized learning and development, and the evolving paradigm of human-AI collaboration. Each dimension represents a frontier where GenAI capabilities intersect with sustainability objectives to create organizations that develop human potential while contributing to broader economic, social, and environmental sustainability goals.</w:t>
      </w:r>
    </w:p>
    <w:p>
      <w:pPr>
        <w:pStyle w:val="Heading2"/>
        <w:spacing w:after="200"/>
      </w:pPr>
      <w:r>
        <w:rPr>
          <w:b/>
          <w:sz w:val="24"/>
          <w:szCs w:val="24"/>
        </w:rPr>
        <w:t xml:space="preserve">2.1 AI-Driven Workforce Analytics and Talent Intelligence</w:t>
      </w:r>
    </w:p>
    <w:p>
      <w:pPr>
        <w:pStyle w:val="Normal"/>
      </w:pPr>
      <w:r>
        <w:rPr/>
        <w:t xml:space="preserve">AI-driven workforce analytics represents a fundamental advancement in organizational capacity to understand, predict, and optimize human capital dynamics [37]. Contemporary GenAI systems can analyze diverse data streams including performance metrics, communication patterns, project outcomes, and external labor market signals to generate comprehensive workforce intelligence that informs strategic human capital decisions [38]. The sophistication of these systems extends beyond simple descriptive reporting to encompass predictive modeling, prescriptive recommendations, and generative scenario planning that enables proactive rather than reactive workforce management.
Talent intelligence platforms powered by GenAI demonstrate capabilities in several critical areas. First, predictive attrition modeling leverages natural language processing of employee communications, sentiment analysis of survey responses, and pattern recognition in behavioral data to identify flight risks before traditional indicators become apparent [39]. These systems generate explanatory narratives that help managers understand the factors contributing to attrition risk and recommend targeted retention interventions. Advanced implementations incorporate external labor market intelligence, competitor activity monitoring, and industry trend analysis to contextualize individual attrition predictions within broader market dynamics. The generative capabilities of these systems enable them to produce personalized retention strategy recommendations tailored to individual employee motivations, career aspirations, and life circumstances.
Second, skills taxonomy automation enables organizations to maintain dynamic, real-time inventories of organizational capabilities [40]. GenAI systems can analyze job descriptions, project documentation, training records, and professional communications to identify emerging skills, map competency gaps, and forecast future skill requirements aligned with strategic objectives. These systems move beyond static competency frameworks to create living skills ontologies that evolve with technological change and market demands. As illustrated in Figure 2, the framework for AI-driven sustainable human capital integrates workforce analytics with broader organizational sustainability metrics, creating feedback loops that continuously optimize human capital investments. The dynamic nature of GenAI-powered skills mapping enables organizations to identify nascent capabilities before they become widely recognized in the labor market, providing first-mover advantages in talent acquisition and development.
Third, talent acquisition optimization through GenAI encompasses automated candidate sourcing, intelligent screening, and predictive fit assessment [41]. These systems generate personalized candidate engagement content, optimize job descriptions for diverse talent pools, and reduce time-to-hire while improving quality-of-hire metrics. The generative capabilities of these systems enable them to craft compelling employer brand narratives tailored to specific talent segments, addressing both functional requirements and cultural alignment factors [42]. Advanced implementations leverage GenAI to analyze candidate portfolios, open-source contributions, published research, and social media presence to construct comprehensive capability profiles that extend beyond traditional resume-based assessment.
Fourth, workforce planning and scenario modeling powered by GenAI enables organizations to explore multiple future states of their human capital portfolio [43]. These systems can generate detailed scenarios incorporating factors such as technological disruption, demographic shifts, regulatory changes, and competitive dynamics, providing decision-makers with rich contextual information for strategic workforce investments. The generative nature of these models allows exploration of counterfactual scenarios and edge cases that traditional deterministic planning models cannot address, providing organizations with more robust strategic options. Figure 2 further demonstrates how these analytical capabilities feed into broader sustainability metrics, ensuring that workforce decisions align with organizational sustainability objectives. The integration of workforce analytics with sustainability reporting enables organizations to demonstrate that human capital investments contribute to broader Environmental, Social, and Governance objectives, strengthening stakeholder relationships and regulatory compliance posture.</w:t>
      </w:r>
    </w:p>
    <w:p>
      <w:pPr>
        <w:jc w:val="center"/>
      </w:pPr>
      <w:r>
        <w:drawing>
          <wp:inline distT="0" distB="0" distL="0" distR="0">
            <wp:extent cx="5029200" cy="3657600"/>
            <wp:docPr id="3" name="Picture rId3"/>
            <a:graphic xmlns:a="http://schemas.openxmlformats.org/drawingml/2006/main">
              <a:graphicData uri="http://schemas.openxmlformats.org/drawingml/2006/picture">
                <pic:pic xmlns:pic="http://schemas.openxmlformats.org/drawingml/2006/picture">
                  <pic:nvPicPr>
                    <pic:cNvPr id="3" name="Picture"/>
                    <pic:cNvPicPr/>
                  </pic:nvPicPr>
                  <pic:blipFill>
                    <a:blip r:embed="rId3"/>
                    <a:stretch>
                      <a:fillRect/>
                    </a:stretch>
                  </pic:blipFill>
                  <pic:spPr>
                    <a:xfrm>
                      <a:off x="0" y="0"/>
                      <a:ext cx="5029200" cy="3657600"/>
                    </a:xfrm>
                    <a:prstGeom prst="rect">
                      <a:avLst/>
                    </a:prstGeom>
                  </pic:spPr>
                </pic:pic>
              </a:graphicData>
            </a:graphic>
          </wp:inline>
        </w:drawing>
      </w:r>
    </w:p>
    <w:p>
      <w:pPr>
        <w:pStyle w:val="Normal"/>
        <w:jc w:val="center"/>
      </w:pPr>
      <w:r>
        <w:rPr>
          <w:sz w:val="18"/>
          <w:szCs w:val="18"/>
        </w:rPr>
        <w:t xml:space="preserve">Figure 2: Integrated Framework for AI-Driven Sustainable Human Capital Management</w:t>
      </w:r>
    </w:p>
    <w:p>
      <w:pPr>
        <w:pStyle w:val="Normal"/>
      </w:pPr>
      <w:r>
        <w:rPr/>
        <w:t xml:space="preserve"/>
      </w:r>
    </w:p>
    <w:p>
      <w:pPr>
        <w:pStyle w:val="Heading2"/>
        <w:spacing w:after="200"/>
      </w:pPr>
      <w:r>
        <w:rPr>
          <w:b/>
          <w:sz w:val="24"/>
          <w:szCs w:val="24"/>
        </w:rPr>
        <w:t xml:space="preserve">2.2 Personalized Learning, Upskilling, and Employee Development</w:t>
      </w:r>
    </w:p>
    <w:p>
      <w:pPr>
        <w:pStyle w:val="Normal"/>
      </w:pPr>
      <w:r>
        <w:rPr/>
        <w:t xml:space="preserve">Personalized learning architectures powered by GenAI represent a transformative approach to employee development that addresses the limitations of traditional one-size-fits-all training programs [44]. The generative capabilities of contemporary AI systems enable the creation of individually tailored learning experiences that adapt to learner preferences, pace, prior knowledge, and career aspirations while maintaining alignment with organizational capability requirements [45]. This personalization extends beyond simple content recommendation to encompass dynamically generated learning materials, adaptive assessment strategies, and individualized feedback mechanisms that optimize learning outcomes for each employee.
Adaptive learning content generation represents perhaps the most immediately impactful application of GenAI in employee development. These systems can automatically generate learning materials including explanatory text, practice exercises, assessment questions, and multimedia content calibrated to individual learner profiles [46]. The content generation process considers multiple factors including learning style preferences, current knowledge levels, professional context, and desired competency outcomes to produce maximally effective educational experiences. Unlike traditional adaptive learning systems that select from pre-authored content libraries, GenAI-powered systems can create entirely novel explanations, analogies, and examples tailored to each learner's specific background and professional context, providing truly individualized instruction at scale.
Intelligent tutoring systems powered by GenAI provide conversational learning support that mimics the benefits of individual human tutoring at organizational scale [47]. These systems can explain complex concepts using multiple analogies and frameworks, answer clarifying questions, provide worked examples, and offer encouragement and motivational support tailored to individual learner psychology. The generative nature of these systems enables them to respond to novel questions and unique learning challenges rather than being constrained to predetermined response patterns [48]. Research demonstrates that learners engaging with GenAI tutoring systems achieve competency levels comparable to those receiving individual human tutoring, at a fraction of the cost and with unlimited availability that accommodates diverse work schedules and learning preferences.
Skills-based career pathing represents another transformative application where GenAI generates personalized development roadmaps based on current capabilities, aspirational roles, and organizational opportunity landscapes [49]. These systems analyze successful career trajectories within and beyond the organization to identify optimal development sequences, recommend specific learning interventions, and predict timeline expectations for career progression. The generative capabilities enable these systems to identify non-obvious career paths that leverage unique combinations of individual skills and experiences, potentially revealing opportunities that neither the employee nor traditional career counseling would identify. Table 3 presents comparative data on learning outcomes between traditional, AI-assisted, and GenAI-personalized development programs across multiple organizational contexts.
The integration of GenAI-powered learning systems with broader human capital management platforms creates continuous development ecosystems where learning opportunities are surfaced contextually within work processes [50]. Rather than requiring dedicated training time, these systems identify micro-learning opportunities embedded within daily work activities, generating just-in-time developmental content that reinforces desired competencies while maintaining productive workflow continuity. This embedded learning approach recognizes that adult professional development is most effective when directly connected to authentic work challenges and delivered at the moment of need. Table 3 further reveals that organizations with integrated GenAI learning systems achieve significantly higher knowledge retention rates and faster time-to-competency compared to traditional approaches, with the most pronounced benefits observed in technical skill development and cross-functional capability building.</w:t>
      </w:r>
    </w:p>
    <w:p>
      <w:pPr>
        <w:pStyle w:val="Normal"/>
        <w:jc w:val="center"/>
      </w:pPr>
      <w:r>
        <w:rPr>
          <w:b/>
          <w:sz w:val="20"/>
          <w:szCs w:val="20"/>
        </w:rPr>
        <w:t xml:space="preserve">Table 3: Comparative Learning Outcomes Across Development Modalities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w="1500" w:type="dxa"/>
            <w:shd w:val="clear" w:color="auto" w:fill="2E86C1"/>
          </w:tcPr>
          <w:p>
            <w:pPr>
              <w:jc w:val="center"/>
            </w:pPr>
            <w:r>
              <w:rPr>
                <w:b/>
                <w:color w:val="FFFFFF"/>
                <w:sz w:val="20"/>
              </w:rPr>
              <w:t>Learning Approach</w:t>
            </w:r>
          </w:p>
        </w:tc>
        <w:tc>
          <w:tcPr>
            <w:tcW w:w="1500" w:type="dxa"/>
            <w:shd w:val="clear" w:color="auto" w:fill="2E86C1"/>
          </w:tcPr>
          <w:p>
            <w:pPr>
              <w:jc w:val="center"/>
            </w:pPr>
            <w:r>
              <w:rPr>
                <w:b/>
                <w:color w:val="FFFFFF"/>
                <w:sz w:val="20"/>
              </w:rPr>
              <w:t>Knowledge Retention (6mo)</w:t>
            </w:r>
          </w:p>
        </w:tc>
        <w:tc>
          <w:tcPr>
            <w:tcW w:w="1500" w:type="dxa"/>
            <w:shd w:val="clear" w:color="auto" w:fill="2E86C1"/>
          </w:tcPr>
          <w:p>
            <w:pPr>
              <w:jc w:val="center"/>
            </w:pPr>
            <w:r>
              <w:rPr>
                <w:b/>
                <w:color w:val="FFFFFF"/>
                <w:sz w:val="20"/>
              </w:rPr>
              <w:t>Time-to-Competency</w:t>
            </w:r>
          </w:p>
        </w:tc>
        <w:tc>
          <w:tcPr>
            <w:tcW w:w="1500" w:type="dxa"/>
            <w:shd w:val="clear" w:color="auto" w:fill="2E86C1"/>
          </w:tcPr>
          <w:p>
            <w:pPr>
              <w:jc w:val="center"/>
            </w:pPr>
            <w:r>
              <w:rPr>
                <w:b/>
                <w:color w:val="FFFFFF"/>
                <w:sz w:val="20"/>
              </w:rPr>
              <w:t>Employee Satisfaction</w:t>
            </w:r>
          </w:p>
        </w:tc>
        <w:tc>
          <w:tcPr>
            <w:tcW w:w="1500" w:type="dxa"/>
            <w:shd w:val="clear" w:color="auto" w:fill="2E86C1"/>
          </w:tcPr>
          <w:p>
            <w:pPr>
              <w:jc w:val="center"/>
            </w:pPr>
            <w:r>
              <w:rPr>
                <w:b/>
                <w:color w:val="FFFFFF"/>
                <w:sz w:val="20"/>
              </w:rPr>
              <w:t>Cost per Learner</w:t>
            </w:r>
          </w:p>
        </w:tc>
        <w:tc>
          <w:tcPr>
            <w:tcW w:w="1500" w:type="dxa"/>
            <w:shd w:val="clear" w:color="auto" w:fill="2E86C1"/>
          </w:tcPr>
          <w:p>
            <w:pPr>
              <w:jc w:val="center"/>
            </w:pPr>
            <w:r>
              <w:rPr>
                <w:b/>
                <w:color w:val="FFFFFF"/>
                <w:sz w:val="20"/>
              </w:rPr>
              <w:t>Scalability</w:t>
            </w:r>
          </w:p>
        </w:tc>
      </w:tr>
      <w:tr>
        <w:tc>
          <w:tcPr>
            <w:tcW w:w="1500" w:type="dxa"/>
            <w:shd w:val="clear" w:color="auto" w:fill="F2F3F4"/>
          </w:tcPr>
          <w:p>
            <w:pPr>
              <w:jc w:val="center"/>
            </w:pPr>
            <w:r>
              <w:rPr>
                <w:sz w:val="18"/>
              </w:rPr>
              <w:t>Traditional Classroom</w:t>
            </w:r>
          </w:p>
        </w:tc>
        <w:tc>
          <w:tcPr>
            <w:tcW w:w="1500" w:type="dxa"/>
            <w:shd w:val="clear" w:color="auto" w:fill="F2F3F4"/>
          </w:tcPr>
          <w:p>
            <w:pPr>
              <w:jc w:val="center"/>
            </w:pPr>
            <w:r>
              <w:rPr>
                <w:sz w:val="18"/>
              </w:rPr>
              <w:t>25-35%</w:t>
            </w:r>
          </w:p>
        </w:tc>
        <w:tc>
          <w:tcPr>
            <w:tcW w:w="1500" w:type="dxa"/>
            <w:shd w:val="clear" w:color="auto" w:fill="F2F3F4"/>
          </w:tcPr>
          <w:p>
            <w:pPr>
              <w:jc w:val="center"/>
            </w:pPr>
            <w:r>
              <w:rPr>
                <w:sz w:val="18"/>
              </w:rPr>
              <w:t>12-18 months</w:t>
            </w:r>
          </w:p>
        </w:tc>
        <w:tc>
          <w:tcPr>
            <w:tcW w:w="1500" w:type="dxa"/>
            <w:shd w:val="clear" w:color="auto" w:fill="F2F3F4"/>
          </w:tcPr>
          <w:p>
            <w:pPr>
              <w:jc w:val="center"/>
            </w:pPr>
            <w:r>
              <w:rPr>
                <w:sz w:val="18"/>
              </w:rPr>
              <w:t>62%</w:t>
            </w:r>
          </w:p>
        </w:tc>
        <w:tc>
          <w:tcPr>
            <w:tcW w:w="1500" w:type="dxa"/>
            <w:shd w:val="clear" w:color="auto" w:fill="F2F3F4"/>
          </w:tcPr>
          <w:p>
            <w:pPr>
              <w:jc w:val="center"/>
            </w:pPr>
            <w:r>
              <w:rPr>
                <w:sz w:val="18"/>
              </w:rPr>
              <w:t>$2,500-4,000</w:t>
            </w:r>
          </w:p>
        </w:tc>
        <w:tc>
          <w:tcPr>
            <w:tcW w:w="1500" w:type="dxa"/>
            <w:shd w:val="clear" w:color="auto" w:fill="F2F3F4"/>
          </w:tcPr>
          <w:p>
            <w:pPr>
              <w:jc w:val="center"/>
            </w:pPr>
            <w:r>
              <w:rPr>
                <w:sz w:val="18"/>
              </w:rPr>
              <w:t>Low</w:t>
            </w:r>
          </w:p>
        </w:tc>
      </w:tr>
      <w:tr>
        <w:tc>
          <w:tcPr>
            <w:tcW w:w="1500" w:type="dxa"/>
            <w:shd w:val="clear" w:color="auto" w:fill="FFFFFF"/>
          </w:tcPr>
          <w:p>
            <w:pPr>
              <w:jc w:val="center"/>
            </w:pPr>
            <w:r>
              <w:rPr>
                <w:sz w:val="18"/>
              </w:rPr>
              <w:t>E-Learning (Standard)</w:t>
            </w:r>
          </w:p>
        </w:tc>
        <w:tc>
          <w:tcPr>
            <w:tcW w:w="1500" w:type="dxa"/>
            <w:shd w:val="clear" w:color="auto" w:fill="FFFFFF"/>
          </w:tcPr>
          <w:p>
            <w:pPr>
              <w:jc w:val="center"/>
            </w:pPr>
            <w:r>
              <w:rPr>
                <w:sz w:val="18"/>
              </w:rPr>
              <w:t>30-40%</w:t>
            </w:r>
          </w:p>
        </w:tc>
        <w:tc>
          <w:tcPr>
            <w:tcW w:w="1500" w:type="dxa"/>
            <w:shd w:val="clear" w:color="auto" w:fill="FFFFFF"/>
          </w:tcPr>
          <w:p>
            <w:pPr>
              <w:jc w:val="center"/>
            </w:pPr>
            <w:r>
              <w:rPr>
                <w:sz w:val="18"/>
              </w:rPr>
              <w:t>8-14 months</w:t>
            </w:r>
          </w:p>
        </w:tc>
        <w:tc>
          <w:tcPr>
            <w:tcW w:w="1500" w:type="dxa"/>
            <w:shd w:val="clear" w:color="auto" w:fill="FFFFFF"/>
          </w:tcPr>
          <w:p>
            <w:pPr>
              <w:jc w:val="center"/>
            </w:pPr>
            <w:r>
              <w:rPr>
                <w:sz w:val="18"/>
              </w:rPr>
              <w:t>58%</w:t>
            </w:r>
          </w:p>
        </w:tc>
        <w:tc>
          <w:tcPr>
            <w:tcW w:w="1500" w:type="dxa"/>
            <w:shd w:val="clear" w:color="auto" w:fill="FFFFFF"/>
          </w:tcPr>
          <w:p>
            <w:pPr>
              <w:jc w:val="center"/>
            </w:pPr>
            <w:r>
              <w:rPr>
                <w:sz w:val="18"/>
              </w:rPr>
              <w:t>$800-1,500</w:t>
            </w:r>
          </w:p>
        </w:tc>
        <w:tc>
          <w:tcPr>
            <w:tcW w:w="1500" w:type="dxa"/>
            <w:shd w:val="clear" w:color="auto" w:fill="FFFFFF"/>
          </w:tcPr>
          <w:p>
            <w:pPr>
              <w:jc w:val="center"/>
            </w:pPr>
            <w:r>
              <w:rPr>
                <w:sz w:val="18"/>
              </w:rPr>
              <w:t>High</w:t>
            </w:r>
          </w:p>
        </w:tc>
      </w:tr>
      <w:tr>
        <w:tc>
          <w:tcPr>
            <w:tcW w:w="1500" w:type="dxa"/>
            <w:shd w:val="clear" w:color="auto" w:fill="F2F3F4"/>
          </w:tcPr>
          <w:p>
            <w:pPr>
              <w:jc w:val="center"/>
            </w:pPr>
            <w:r>
              <w:rPr>
                <w:sz w:val="18"/>
              </w:rPr>
              <w:t>AI-Assisted (Adaptive)</w:t>
            </w:r>
          </w:p>
        </w:tc>
        <w:tc>
          <w:tcPr>
            <w:tcW w:w="1500" w:type="dxa"/>
            <w:shd w:val="clear" w:color="auto" w:fill="F2F3F4"/>
          </w:tcPr>
          <w:p>
            <w:pPr>
              <w:jc w:val="center"/>
            </w:pPr>
            <w:r>
              <w:rPr>
                <w:sz w:val="18"/>
              </w:rPr>
              <w:t>45-55%</w:t>
            </w:r>
          </w:p>
        </w:tc>
        <w:tc>
          <w:tcPr>
            <w:tcW w:w="1500" w:type="dxa"/>
            <w:shd w:val="clear" w:color="auto" w:fill="F2F3F4"/>
          </w:tcPr>
          <w:p>
            <w:pPr>
              <w:jc w:val="center"/>
            </w:pPr>
            <w:r>
              <w:rPr>
                <w:sz w:val="18"/>
              </w:rPr>
              <w:t>6-10 months</w:t>
            </w:r>
          </w:p>
        </w:tc>
        <w:tc>
          <w:tcPr>
            <w:tcW w:w="1500" w:type="dxa"/>
            <w:shd w:val="clear" w:color="auto" w:fill="F2F3F4"/>
          </w:tcPr>
          <w:p>
            <w:pPr>
              <w:jc w:val="center"/>
            </w:pPr>
            <w:r>
              <w:rPr>
                <w:sz w:val="18"/>
              </w:rPr>
              <w:t>72%</w:t>
            </w:r>
          </w:p>
        </w:tc>
        <w:tc>
          <w:tcPr>
            <w:tcW w:w="1500" w:type="dxa"/>
            <w:shd w:val="clear" w:color="auto" w:fill="F2F3F4"/>
          </w:tcPr>
          <w:p>
            <w:pPr>
              <w:jc w:val="center"/>
            </w:pPr>
            <w:r>
              <w:rPr>
                <w:sz w:val="18"/>
              </w:rPr>
              <w:t>$600-1,200</w:t>
            </w:r>
          </w:p>
        </w:tc>
        <w:tc>
          <w:tcPr>
            <w:tcW w:w="1500" w:type="dxa"/>
            <w:shd w:val="clear" w:color="auto" w:fill="F2F3F4"/>
          </w:tcPr>
          <w:p>
            <w:pPr>
              <w:jc w:val="center"/>
            </w:pPr>
            <w:r>
              <w:rPr>
                <w:sz w:val="18"/>
              </w:rPr>
              <w:t>High</w:t>
            </w:r>
          </w:p>
        </w:tc>
      </w:tr>
      <w:tr>
        <w:tc>
          <w:tcPr>
            <w:tcW w:w="1500" w:type="dxa"/>
            <w:shd w:val="clear" w:color="auto" w:fill="FFFFFF"/>
          </w:tcPr>
          <w:p>
            <w:pPr>
              <w:jc w:val="center"/>
            </w:pPr>
            <w:r>
              <w:rPr>
                <w:sz w:val="18"/>
              </w:rPr>
              <w:t>GenAI Personalized</w:t>
            </w:r>
          </w:p>
        </w:tc>
        <w:tc>
          <w:tcPr>
            <w:tcW w:w="1500" w:type="dxa"/>
            <w:shd w:val="clear" w:color="auto" w:fill="FFFFFF"/>
          </w:tcPr>
          <w:p>
            <w:pPr>
              <w:jc w:val="center"/>
            </w:pPr>
            <w:r>
              <w:rPr>
                <w:sz w:val="18"/>
              </w:rPr>
              <w:t>60-75%</w:t>
            </w:r>
          </w:p>
        </w:tc>
        <w:tc>
          <w:tcPr>
            <w:tcW w:w="1500" w:type="dxa"/>
            <w:shd w:val="clear" w:color="auto" w:fill="FFFFFF"/>
          </w:tcPr>
          <w:p>
            <w:pPr>
              <w:jc w:val="center"/>
            </w:pPr>
            <w:r>
              <w:rPr>
                <w:sz w:val="18"/>
              </w:rPr>
              <w:t>3-7 months</w:t>
            </w:r>
          </w:p>
        </w:tc>
        <w:tc>
          <w:tcPr>
            <w:tcW w:w="1500" w:type="dxa"/>
            <w:shd w:val="clear" w:color="auto" w:fill="FFFFFF"/>
          </w:tcPr>
          <w:p>
            <w:pPr>
              <w:jc w:val="center"/>
            </w:pPr>
            <w:r>
              <w:rPr>
                <w:sz w:val="18"/>
              </w:rPr>
              <w:t>85%</w:t>
            </w:r>
          </w:p>
        </w:tc>
        <w:tc>
          <w:tcPr>
            <w:tcW w:w="1500" w:type="dxa"/>
            <w:shd w:val="clear" w:color="auto" w:fill="FFFFFF"/>
          </w:tcPr>
          <w:p>
            <w:pPr>
              <w:jc w:val="center"/>
            </w:pPr>
            <w:r>
              <w:rPr>
                <w:sz w:val="18"/>
              </w:rPr>
              <w:t>$400-900</w:t>
            </w:r>
          </w:p>
        </w:tc>
        <w:tc>
          <w:tcPr>
            <w:tcW w:w="1500" w:type="dxa"/>
            <w:shd w:val="clear" w:color="auto" w:fill="FFFFFF"/>
          </w:tcPr>
          <w:p>
            <w:pPr>
              <w:jc w:val="center"/>
            </w:pPr>
            <w:r>
              <w:rPr>
                <w:sz w:val="18"/>
              </w:rPr>
              <w:t>Very High</w:t>
            </w:r>
          </w:p>
        </w:tc>
      </w:tr>
      <w:tr>
        <w:tc>
          <w:tcPr>
            <w:tcW w:w="1500" w:type="dxa"/>
            <w:shd w:val="clear" w:color="auto" w:fill="F2F3F4"/>
          </w:tcPr>
          <w:p>
            <w:pPr>
              <w:jc w:val="center"/>
            </w:pPr>
            <w:r>
              <w:rPr>
                <w:sz w:val="18"/>
              </w:rPr>
              <w:t>GenAI + Human Mentor</w:t>
            </w:r>
          </w:p>
        </w:tc>
        <w:tc>
          <w:tcPr>
            <w:tcW w:w="1500" w:type="dxa"/>
            <w:shd w:val="clear" w:color="auto" w:fill="F2F3F4"/>
          </w:tcPr>
          <w:p>
            <w:pPr>
              <w:jc w:val="center"/>
            </w:pPr>
            <w:r>
              <w:rPr>
                <w:sz w:val="18"/>
              </w:rPr>
              <w:t>70-85%</w:t>
            </w:r>
          </w:p>
        </w:tc>
        <w:tc>
          <w:tcPr>
            <w:tcW w:w="1500" w:type="dxa"/>
            <w:shd w:val="clear" w:color="auto" w:fill="F2F3F4"/>
          </w:tcPr>
          <w:p>
            <w:pPr>
              <w:jc w:val="center"/>
            </w:pPr>
            <w:r>
              <w:rPr>
                <w:sz w:val="18"/>
              </w:rPr>
              <w:t>2-5 months</w:t>
            </w:r>
          </w:p>
        </w:tc>
        <w:tc>
          <w:tcPr>
            <w:tcW w:w="1500" w:type="dxa"/>
            <w:shd w:val="clear" w:color="auto" w:fill="F2F3F4"/>
          </w:tcPr>
          <w:p>
            <w:pPr>
              <w:jc w:val="center"/>
            </w:pPr>
            <w:r>
              <w:rPr>
                <w:sz w:val="18"/>
              </w:rPr>
              <w:t>91%</w:t>
            </w:r>
          </w:p>
        </w:tc>
        <w:tc>
          <w:tcPr>
            <w:tcW w:w="1500" w:type="dxa"/>
            <w:shd w:val="clear" w:color="auto" w:fill="F2F3F4"/>
          </w:tcPr>
          <w:p>
            <w:pPr>
              <w:jc w:val="center"/>
            </w:pPr>
            <w:r>
              <w:rPr>
                <w:sz w:val="18"/>
              </w:rPr>
              <w:t>$700-1,300</w:t>
            </w:r>
          </w:p>
        </w:tc>
        <w:tc>
          <w:tcPr>
            <w:tcW w:w="1500" w:type="dxa"/>
            <w:shd w:val="clear" w:color="auto" w:fill="F2F3F4"/>
          </w:tcPr>
          <w:p>
            <w:pPr>
              <w:jc w:val="center"/>
            </w:pPr>
            <w:r>
              <w:rPr>
                <w:sz w:val="18"/>
              </w:rPr>
              <w:t>Moderate</w:t>
            </w:r>
          </w:p>
        </w:tc>
      </w:tr>
    </w:tbl>
    <w:p>
      <w:pPr>
        <w:pStyle w:val="Normal"/>
      </w:pPr>
      <w:r>
        <w:rPr/>
        <w:t xml:space="preserve"/>
      </w:r>
    </w:p>
    <w:p>
      <w:pPr>
        <w:pStyle w:val="Heading2"/>
        <w:spacing w:after="200"/>
      </w:pPr>
      <w:r>
        <w:rPr>
          <w:b/>
          <w:sz w:val="24"/>
          <w:szCs w:val="24"/>
        </w:rPr>
        <w:t xml:space="preserve">2.3 Human-AI Collaboration and the Future of Work</w:t>
      </w:r>
    </w:p>
    <w:p>
      <w:pPr>
        <w:pStyle w:val="Normal"/>
      </w:pPr>
      <w:r>
        <w:rPr/>
        <w:t xml:space="preserve">The paradigm of human-AI collaboration in organizational contexts is evolving rapidly from a model of AI as a tool subordinate to human direction toward a partnership model where AI systems function as collaborative agents with complementary capabilities [51]. This evolution has profound implications for organizational design, job architecture, and the fundamental nature of knowledge work. GenAI systems increasingly serve as thought partners, creative collaborators, and analytical co-pilots that augment human cognitive capabilities rather than simply automating routine tasks [52]. The shift from automation to augmentation represents a fundamental reorientation of AI strategy, where the primary objective is not replacing human workers but enhancing their capabilities, creativity, and productivity through intelligent partnership.
The augmentation paradigm encompasses several distinct collaboration modalities. In the co-creation modality, human professionals and GenAI systems iteratively develop outputs through alternating contribution cycles where each party builds upon the other's work [53]. This approach leverages human creativity, domain expertise, and contextual judgment alongside AI capabilities in pattern recognition, information synthesis, and rapid iteration. Research indicates that human-AI co-creation teams consistently outperform either humans or AI working independently across diverse creative and analytical tasks [54]. The synergistic effects are particularly pronounced in complex problem-solving scenarios where AI's capacity for rapid information processing complements human ability to recognize subtle contextual factors and apply ethical judgment. Studies across consulting firms, research laboratories, and creative agencies demonstrate that co-creation approaches yield outputs rated fifteen to forty percent higher on quality metrics compared to purely human or purely AI-generated work.
The supervisory collaboration modality positions GenAI systems as first-draft generators that produce initial outputs subsequently refined, validated, and contextualized by human experts [55]. This approach maximizes throughput while maintaining quality standards, as AI-generated drafts provide substantial starting points that reduce human cognitive load while preserving critical human judgment in final output quality assurance. The supervisory model is particularly effective in domains requiring both speed and precision, such as financial analysis, legal document preparation, and strategic planning. Table 3 also demonstrates that this supervisory model achieves optimal outcomes when combined with structured feedback mechanisms that continuously improve AI output quality through iterative human correction and preference signaling.
The autonomous delegation modality represents the most advanced collaboration paradigm, where GenAI agents independently execute complex multi-step workflows with human oversight focused on exception handling and strategic direction [56]. This modality requires robust governance frameworks, clear escalation protocols, and well-defined boundaries of autonomous action to maintain organizational control while leveraging AI efficiency advantages. Implementation of autonomous delegation requires sophisticated monitoring systems that can detect when AI agents encounter situations beyond their competence boundaries and trigger appropriate human intervention. Organizations must develop escalation taxonomies that classify situations requiring human involvement based on risk level, novelty, ethical sensitivity, and stakeholder impact.
The future of work increasingly requires professionals to develop meta-competencies for effective AI collaboration, including prompt engineering, output evaluation, AI system management, and human-AI team orchestration [57]. Organizations must invest in developing these competencies while redesigning work processes to optimize the complementary strengths of human and artificial intelligence. This represents a fundamental shift in human capital strategy from developing purely human capabilities to cultivating effective human-AI partnerships that maximize collective intelligence [58]. The emergence of new professional roles including AI collaboration specialists, human-AI team leaders, and AI output curators reflects the growing organizational recognition that effective human-AI collaboration requires deliberate design, management, and continuous improvement rather than emerging spontaneously from technology deployment.</w:t>
      </w:r>
    </w:p>
    <w:p>
      <w:pPr>
        <w:pStyle w:val="Heading1"/>
        <w:spacing w:after="200"/>
      </w:pPr>
      <w:r>
        <w:rPr>
          <w:b/>
          <w:sz w:val="28"/>
          <w:szCs w:val="28"/>
        </w:rPr>
        <w:t xml:space="preserve">3. Challenges, Risks, and Responsible Implementation</w:t>
      </w:r>
    </w:p>
    <w:p>
      <w:pPr>
        <w:pStyle w:val="Normal"/>
      </w:pPr>
      <w:r>
        <w:rPr/>
        <w:t xml:space="preserve">Despite the transformative potential of Generative AI for sustainable business intelligence and human capital management, significant challenges, risks, and ethical considerations must be addressed to ensure responsible implementation [35]. The rapid pace of GenAI development has outstripped the evolution of governance frameworks, regulatory structures, and organizational capabilities necessary for safe and equitable deployment. Organizations implementing GenAI solutions increasingly recognize that technical capability alone is insufficient for successful outcomes; ethical frameworks, stakeholder trust, and institutional governance mechanisms are equally critical determinants of implementation success. This section examines three critical challenge domains: data privacy and algorithmic bias, AI governance and transparency, and organizational readiness for AI transformation. As depicted in Figure 3, organizations must navigate a complex risk landscape where the likelihood and impact of various AI-related risks require systematic assessment and mitigation strategies. The interdependencies between these challenge domains mean that deficiencies in any single area can undermine the entire GenAI implementation, necessitating integrated approaches that address technical, ethical, and organizational dimensions simultaneously.</w:t>
      </w:r>
    </w:p>
    <w:p>
      <w:pPr>
        <w:pStyle w:val="Heading2"/>
        <w:spacing w:after="200"/>
      </w:pPr>
      <w:r>
        <w:rPr>
          <w:b/>
          <w:sz w:val="24"/>
          <w:szCs w:val="24"/>
        </w:rPr>
        <w:t xml:space="preserve">3.1 Data Privacy, Algorithmic Bias, and Ethical Challenges</w:t>
      </w:r>
    </w:p>
    <w:p>
      <w:pPr>
        <w:pStyle w:val="Normal"/>
      </w:pPr>
      <w:r>
        <w:rPr/>
        <w:t xml:space="preserve">Data privacy challenges in GenAI-enabled business intelligence systems arise from the technology's fundamental requirement for large-scale data access and its capacity to generate outputs that may inadvertently reveal sensitive information [36]. Large language models trained on organizational data can memorize and reproduce confidential information including trade secrets, personal employee data, and proprietary business strategies when queried in specific ways [37]. This memorization phenomenon presents novel privacy risks that traditional data protection frameworks were not designed to address. The probabilistic nature of GenAI outputs means that sensitive information may be revealed in unexpected contexts, making it difficult to predict and prevent privacy breaches through conventional access control mechanisms.
Algorithmic bias in GenAI systems represents a particularly insidious challenge because the generative nature of these models can amplify and institutionalize existing biases in ways that are difficult to detect and correct [38]. In human capital applications, biased GenAI systems can perpetuate discriminatory practices in hiring, promotion, performance evaluation, and development opportunity allocation, potentially violating anti-discrimination legislation and undermining organizational diversity objectives [39]. The complexity of modern GenAI architectures makes bias auditing technically challenging, as biases may manifest only in specific interaction contexts or emerge from complex feature interactions that resist systematic identification [40]. Furthermore, the training data used for foundation models frequently reflects historical societal biases embedded in text corpora, professional databases, and organizational records, meaning that even well-intentioned implementations may reproduce discriminatory patterns unless specific mitigation measures are implemented throughout the model lifecycle.
The intersection of privacy and bias concerns creates compound risks in workforce analytics applications. Employee monitoring systems that feed GenAI models may disproportionately impact certain demographic groups, creating surveillance asymmetries that exacerbate existing power imbalances [41]. Research demonstrates that workplace surveillance technologies frequently impose greater burdens on marginalized employees including racial minorities, immigrants, and workers with disabilities, as their behavior patterns may diverge from the normalized baselines that drive anomaly detection algorithms. Furthermore, the use of GenAI for inferring employee characteristics, predicting behavior, or making developmental recommendations based on proxy variables raises fundamental questions about informational self-determination and workplace dignity. The capacity of GenAI systems to draw inferences about protected characteristics from seemingly neutral data points creates potential for indirect discrimination that may not be apparent to human oversight mechanisms.
Figure 3 presents a comprehensive risk assessment matrix that maps the likelihood and impact of various privacy and bias risks across different implementation contexts, revealing that human capital applications carry particularly elevated risk profiles. The elevated risk in employment contexts reflects both the direct impact on individual livelihoods and the potential for systemic discrimination affecting entire demographic groups. Mitigation strategies must encompass technical approaches including differential privacy, fairness-aware training, and adversarial debiasing alongside organizational measures including diversity-informed development teams, regular bias audits, and transparent communication about AI system limitations and potential failure modes [42]. The development of privacy-preserving GenAI architectures, including federated learning approaches and on-device processing capabilities, offers promising pathways for reducing privacy risks while maintaining analytical utility [43]. Additionally, organizations must establish clear data governance frameworks that define permissible data uses, enforce purpose limitation principles, and provide employees with meaningful transparency about how their data contributes to AI-driven workforce decisions. The development of synthetic data generation capabilities that preserve statistical properties while eliminating individual identifiability represents another promising approach for enabling valuable workforce analytics while protecting employee privacy.</w:t>
      </w:r>
    </w:p>
    <w:p>
      <w:pPr>
        <w:jc w:val="center"/>
      </w:pPr>
      <w:r>
        <w:drawing>
          <wp:inline distT="0" distB="0" distL="0" distR="0">
            <wp:extent cx="5029200" cy="3383280"/>
            <wp:docPr id="4" name="Picture rId4"/>
            <a:graphic xmlns:a="http://schemas.openxmlformats.org/drawingml/2006/main">
              <a:graphicData uri="http://schemas.openxmlformats.org/drawingml/2006/picture">
                <pic:pic xmlns:pic="http://schemas.openxmlformats.org/drawingml/2006/picture">
                  <pic:nvPicPr>
                    <pic:cNvPr id="4" name="Picture"/>
                    <pic:cNvPicPr/>
                  </pic:nvPicPr>
                  <pic:blipFill>
                    <a:blip r:embed="rId4"/>
                    <a:stretch>
                      <a:fillRect/>
                    </a:stretch>
                  </pic:blipFill>
                  <pic:spPr>
                    <a:xfrm>
                      <a:off x="0" y="0"/>
                      <a:ext cx="5029200" cy="3383280"/>
                    </a:xfrm>
                    <a:prstGeom prst="rect">
                      <a:avLst/>
                    </a:prstGeom>
                  </pic:spPr>
                </pic:pic>
              </a:graphicData>
            </a:graphic>
          </wp:inline>
        </w:drawing>
      </w:r>
    </w:p>
    <w:p>
      <w:pPr>
        <w:pStyle w:val="Normal"/>
        <w:jc w:val="center"/>
      </w:pPr>
      <w:r>
        <w:rPr>
          <w:sz w:val="18"/>
          <w:szCs w:val="18"/>
        </w:rPr>
        <w:t xml:space="preserve">Figure 3: Risk Assessment Matrix for GenAI Implementation in Business and HR Contexts</w:t>
      </w:r>
    </w:p>
    <w:p>
      <w:pPr>
        <w:pStyle w:val="Normal"/>
      </w:pPr>
      <w:r>
        <w:rPr/>
        <w:t xml:space="preserve"/>
      </w:r>
    </w:p>
    <w:p>
      <w:pPr>
        <w:pStyle w:val="Heading2"/>
        <w:spacing w:after="200"/>
      </w:pPr>
      <w:r>
        <w:rPr>
          <w:b/>
          <w:sz w:val="24"/>
          <w:szCs w:val="24"/>
        </w:rPr>
        <w:t xml:space="preserve">3.2 AI Governance, Transparency, Accountability, and Trust</w:t>
      </w:r>
    </w:p>
    <w:p>
      <w:pPr>
        <w:pStyle w:val="Normal"/>
      </w:pPr>
      <w:r>
        <w:rPr/>
        <w:t xml:space="preserve">AI governance frameworks for GenAI in business intelligence and human capital management must address the unique challenges posed by systems that can generate novel outputs not directly traceable to specific training examples or programmatic rules [44]. Traditional software governance approaches based on deterministic input-output relationships are insufficient for systems whose outputs emerge from probabilistic processes operating on vast parameter spaces. This necessitates new governance paradigms that accommodate uncertainty, emergence, and context-dependency while maintaining organizational accountability and stakeholder trust [45]. The governance challenge is amplified by the rapid pace of GenAI capability development, which frequently outstrips organizational capacity to develop and implement appropriate oversight mechanisms.
Transparency in GenAI systems encompasses multiple dimensions including model interpretability, decision explainability, and process auditability [46]. Model interpretability refers to the capacity to understand how internal representations and computations lead to specific outputs, a particularly challenging requirement for large language models with billions of parameters. Decision explainability focuses on providing stakeholders with comprehensible rationales for AI-generated recommendations, enabling informed consent and meaningful human oversight. Process auditability ensures that the entire lifecycle of AI-driven decision processes can be reconstructed and evaluated for compliance, fairness, and accuracy [47]. These three dimensions of transparency operate at different levels of abstraction and serve different stakeholder needs, requiring organizations to develop multi-layered transparency strategies that address technical, operational, and strategic audiences simultaneously.
Accountability structures for GenAI systems must clearly delineate responsibilities across the AI value chain from model developers through deploying organizations to end users [48]. Questions of liability for AI-generated errors, biases, or harmful outputs remain largely unresolved in legal frameworks, creating uncertainty that can inhibit responsible innovation. Emerging regulatory approaches including the European Union AI Act, proposed US federal legislation, and sector-specific guidelines are beginning to establish accountability frameworks, but significant gaps remain particularly regarding generative AI applications in employment contexts [49]. The challenge of distributed accountability is particularly acute in GenAI ecosystems where multiple organizations contribute to the final system through pre-training, fine-tuning, deployment, and operational management, each potentially contributing to harmful outcomes without clear individual responsibility.
Trust calibration represents a critical governance challenge where stakeholders must develop appropriate levels of confidence in GenAI system outputs, neither over-relying on AI recommendations nor dismissing valuable AI-generated insights due to unfounded skepticism [50]. Organizations must invest in AI literacy programs that enable stakeholders to critically evaluate GenAI outputs, understand system limitations, and make informed decisions about when to accept, modify, or reject AI-generated recommendations. Research in cognitive psychology suggests that humans exhibit systematic biases in their evaluation of AI outputs, including automation bias where AI recommendations are accepted uncritically, and algorithm aversion where demonstrated AI errors lead to disproportionate distrust relative to equivalent human errors. Effective governance must address these cognitive factors through training, process design, and decision support tools that promote appropriate trust calibration. Table 4 presents a comparative analysis of governance frameworks across major regulatory jurisdictions, highlighting convergences and divergences in approaches to GenAI regulation in business and employment contexts.</w:t>
      </w:r>
    </w:p>
    <w:p>
      <w:pPr>
        <w:pStyle w:val="Normal"/>
        <w:jc w:val="center"/>
      </w:pPr>
      <w:r>
        <w:rPr>
          <w:b/>
          <w:sz w:val="20"/>
          <w:szCs w:val="20"/>
        </w:rPr>
        <w:t xml:space="preserve">Table 4: Comparative Analysis of AI Governance Frameworks Across Major Jurisdictions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w="1500" w:type="dxa"/>
            <w:shd w:val="clear" w:color="auto" w:fill="2E86C1"/>
          </w:tcPr>
          <w:p>
            <w:pPr>
              <w:jc w:val="center"/>
            </w:pPr>
            <w:r>
              <w:rPr>
                <w:b/>
                <w:color w:val="FFFFFF"/>
                <w:sz w:val="20"/>
              </w:rPr>
              <w:t>Governance Dimension</w:t>
            </w:r>
          </w:p>
        </w:tc>
        <w:tc>
          <w:tcPr>
            <w:tcW w:w="1500" w:type="dxa"/>
            <w:shd w:val="clear" w:color="auto" w:fill="2E86C1"/>
          </w:tcPr>
          <w:p>
            <w:pPr>
              <w:jc w:val="center"/>
            </w:pPr>
            <w:r>
              <w:rPr>
                <w:b/>
                <w:color w:val="FFFFFF"/>
                <w:sz w:val="20"/>
              </w:rPr>
              <w:t>EU AI Act</w:t>
            </w:r>
          </w:p>
        </w:tc>
        <w:tc>
          <w:tcPr>
            <w:tcW w:w="1500" w:type="dxa"/>
            <w:shd w:val="clear" w:color="auto" w:fill="2E86C1"/>
          </w:tcPr>
          <w:p>
            <w:pPr>
              <w:jc w:val="center"/>
            </w:pPr>
            <w:r>
              <w:rPr>
                <w:b/>
                <w:color w:val="FFFFFF"/>
                <w:sz w:val="20"/>
              </w:rPr>
              <w:t>US Framework</w:t>
            </w:r>
          </w:p>
        </w:tc>
        <w:tc>
          <w:tcPr>
            <w:tcW w:w="1500" w:type="dxa"/>
            <w:shd w:val="clear" w:color="auto" w:fill="2E86C1"/>
          </w:tcPr>
          <w:p>
            <w:pPr>
              <w:jc w:val="center"/>
            </w:pPr>
            <w:r>
              <w:rPr>
                <w:b/>
                <w:color w:val="FFFFFF"/>
                <w:sz w:val="20"/>
              </w:rPr>
              <w:t>UK Approach</w:t>
            </w:r>
          </w:p>
        </w:tc>
        <w:tc>
          <w:tcPr>
            <w:tcW w:w="1500" w:type="dxa"/>
            <w:shd w:val="clear" w:color="auto" w:fill="2E86C1"/>
          </w:tcPr>
          <w:p>
            <w:pPr>
              <w:jc w:val="center"/>
            </w:pPr>
            <w:r>
              <w:rPr>
                <w:b/>
                <w:color w:val="FFFFFF"/>
                <w:sz w:val="20"/>
              </w:rPr>
              <w:t>China Regulations</w:t>
            </w:r>
          </w:p>
        </w:tc>
        <w:tc>
          <w:tcPr>
            <w:tcW w:w="1500" w:type="dxa"/>
            <w:shd w:val="clear" w:color="auto" w:fill="2E86C1"/>
          </w:tcPr>
          <w:p>
            <w:pPr>
              <w:jc w:val="center"/>
            </w:pPr>
            <w:r>
              <w:rPr>
                <w:b/>
                <w:color w:val="FFFFFF"/>
                <w:sz w:val="20"/>
              </w:rPr>
              <w:t>Singapore Model</w:t>
            </w:r>
          </w:p>
        </w:tc>
      </w:tr>
      <w:tr>
        <w:tc>
          <w:tcPr>
            <w:tcW w:w="1500" w:type="dxa"/>
            <w:shd w:val="clear" w:color="auto" w:fill="F2F3F4"/>
          </w:tcPr>
          <w:p>
            <w:pPr>
              <w:jc w:val="center"/>
            </w:pPr>
            <w:r>
              <w:rPr>
                <w:sz w:val="18"/>
              </w:rPr>
              <w:t>Risk Classification</w:t>
            </w:r>
          </w:p>
        </w:tc>
        <w:tc>
          <w:tcPr>
            <w:tcW w:w="1500" w:type="dxa"/>
            <w:shd w:val="clear" w:color="auto" w:fill="F2F3F4"/>
          </w:tcPr>
          <w:p>
            <w:pPr>
              <w:jc w:val="center"/>
            </w:pPr>
            <w:r>
              <w:rPr>
                <w:sz w:val="18"/>
              </w:rPr>
              <w:t>Mandatory 4-tier</w:t>
            </w:r>
          </w:p>
        </w:tc>
        <w:tc>
          <w:tcPr>
            <w:tcW w:w="1500" w:type="dxa"/>
            <w:shd w:val="clear" w:color="auto" w:fill="F2F3F4"/>
          </w:tcPr>
          <w:p>
            <w:pPr>
              <w:jc w:val="center"/>
            </w:pPr>
            <w:r>
              <w:rPr>
                <w:sz w:val="18"/>
              </w:rPr>
              <w:t>Sector-specific</w:t>
            </w:r>
          </w:p>
        </w:tc>
        <w:tc>
          <w:tcPr>
            <w:tcW w:w="1500" w:type="dxa"/>
            <w:shd w:val="clear" w:color="auto" w:fill="F2F3F4"/>
          </w:tcPr>
          <w:p>
            <w:pPr>
              <w:jc w:val="center"/>
            </w:pPr>
            <w:r>
              <w:rPr>
                <w:sz w:val="18"/>
              </w:rPr>
              <w:t>Principles-based</w:t>
            </w:r>
          </w:p>
        </w:tc>
        <w:tc>
          <w:tcPr>
            <w:tcW w:w="1500" w:type="dxa"/>
            <w:shd w:val="clear" w:color="auto" w:fill="F2F3F4"/>
          </w:tcPr>
          <w:p>
            <w:pPr>
              <w:jc w:val="center"/>
            </w:pPr>
            <w:r>
              <w:rPr>
                <w:sz w:val="18"/>
              </w:rPr>
              <w:t>Algorithm registry</w:t>
            </w:r>
          </w:p>
        </w:tc>
        <w:tc>
          <w:tcPr>
            <w:tcW w:w="1500" w:type="dxa"/>
            <w:shd w:val="clear" w:color="auto" w:fill="F2F3F4"/>
          </w:tcPr>
          <w:p>
            <w:pPr>
              <w:jc w:val="center"/>
            </w:pPr>
            <w:r>
              <w:rPr>
                <w:sz w:val="18"/>
              </w:rPr>
              <w:t>Model governance</w:t>
            </w:r>
          </w:p>
        </w:tc>
      </w:tr>
      <w:tr>
        <w:tc>
          <w:tcPr>
            <w:tcW w:w="1500" w:type="dxa"/>
            <w:shd w:val="clear" w:color="auto" w:fill="FFFFFF"/>
          </w:tcPr>
          <w:p>
            <w:pPr>
              <w:jc w:val="center"/>
            </w:pPr>
            <w:r>
              <w:rPr>
                <w:sz w:val="18"/>
              </w:rPr>
              <w:t>Transparency Req.</w:t>
            </w:r>
          </w:p>
        </w:tc>
        <w:tc>
          <w:tcPr>
            <w:tcW w:w="1500" w:type="dxa"/>
            <w:shd w:val="clear" w:color="auto" w:fill="FFFFFF"/>
          </w:tcPr>
          <w:p>
            <w:pPr>
              <w:jc w:val="center"/>
            </w:pPr>
            <w:r>
              <w:rPr>
                <w:sz w:val="18"/>
              </w:rPr>
              <w:t>High (for high-risk)</w:t>
            </w:r>
          </w:p>
        </w:tc>
        <w:tc>
          <w:tcPr>
            <w:tcW w:w="1500" w:type="dxa"/>
            <w:shd w:val="clear" w:color="auto" w:fill="FFFFFF"/>
          </w:tcPr>
          <w:p>
            <w:pPr>
              <w:jc w:val="center"/>
            </w:pPr>
            <w:r>
              <w:rPr>
                <w:sz w:val="18"/>
              </w:rPr>
              <w:t>Moderate</w:t>
            </w:r>
          </w:p>
        </w:tc>
        <w:tc>
          <w:tcPr>
            <w:tcW w:w="1500" w:type="dxa"/>
            <w:shd w:val="clear" w:color="auto" w:fill="FFFFFF"/>
          </w:tcPr>
          <w:p>
            <w:pPr>
              <w:jc w:val="center"/>
            </w:pPr>
            <w:r>
              <w:rPr>
                <w:sz w:val="18"/>
              </w:rPr>
              <w:t>Voluntary codes</w:t>
            </w:r>
          </w:p>
        </w:tc>
        <w:tc>
          <w:tcPr>
            <w:tcW w:w="1500" w:type="dxa"/>
            <w:shd w:val="clear" w:color="auto" w:fill="FFFFFF"/>
          </w:tcPr>
          <w:p>
            <w:pPr>
              <w:jc w:val="center"/>
            </w:pPr>
            <w:r>
              <w:rPr>
                <w:sz w:val="18"/>
              </w:rPr>
              <w:t>Mandatory for public</w:t>
            </w:r>
          </w:p>
        </w:tc>
        <w:tc>
          <w:tcPr>
            <w:tcW w:w="1500" w:type="dxa"/>
            <w:shd w:val="clear" w:color="auto" w:fill="FFFFFF"/>
          </w:tcPr>
          <w:p>
            <w:pPr>
              <w:jc w:val="center"/>
            </w:pPr>
            <w:r>
              <w:rPr>
                <w:sz w:val="18"/>
              </w:rPr>
              <w:t>Moderate</w:t>
            </w:r>
          </w:p>
        </w:tc>
      </w:tr>
      <w:tr>
        <w:tc>
          <w:tcPr>
            <w:tcW w:w="1500" w:type="dxa"/>
            <w:shd w:val="clear" w:color="auto" w:fill="F2F3F4"/>
          </w:tcPr>
          <w:p>
            <w:pPr>
              <w:jc w:val="center"/>
            </w:pPr>
            <w:r>
              <w:rPr>
                <w:sz w:val="18"/>
              </w:rPr>
              <w:t>Bias Auditing</w:t>
            </w:r>
          </w:p>
        </w:tc>
        <w:tc>
          <w:tcPr>
            <w:tcW w:w="1500" w:type="dxa"/>
            <w:shd w:val="clear" w:color="auto" w:fill="F2F3F4"/>
          </w:tcPr>
          <w:p>
            <w:pPr>
              <w:jc w:val="center"/>
            </w:pPr>
            <w:r>
              <w:rPr>
                <w:sz w:val="18"/>
              </w:rPr>
              <w:t>Mandatory</w:t>
            </w:r>
          </w:p>
        </w:tc>
        <w:tc>
          <w:tcPr>
            <w:tcW w:w="1500" w:type="dxa"/>
            <w:shd w:val="clear" w:color="auto" w:fill="F2F3F4"/>
          </w:tcPr>
          <w:p>
            <w:pPr>
              <w:jc w:val="center"/>
            </w:pPr>
            <w:r>
              <w:rPr>
                <w:sz w:val="18"/>
              </w:rPr>
              <w:t>Sector-dependent</w:t>
            </w:r>
          </w:p>
        </w:tc>
        <w:tc>
          <w:tcPr>
            <w:tcW w:w="1500" w:type="dxa"/>
            <w:shd w:val="clear" w:color="auto" w:fill="F2F3F4"/>
          </w:tcPr>
          <w:p>
            <w:pPr>
              <w:jc w:val="center"/>
            </w:pPr>
            <w:r>
              <w:rPr>
                <w:sz w:val="18"/>
              </w:rPr>
              <w:t>Recommended</w:t>
            </w:r>
          </w:p>
        </w:tc>
        <w:tc>
          <w:tcPr>
            <w:tcW w:w="1500" w:type="dxa"/>
            <w:shd w:val="clear" w:color="auto" w:fill="F2F3F4"/>
          </w:tcPr>
          <w:p>
            <w:pPr>
              <w:jc w:val="center"/>
            </w:pPr>
            <w:r>
              <w:rPr>
                <w:sz w:val="18"/>
              </w:rPr>
              <w:t>Required</w:t>
            </w:r>
          </w:p>
        </w:tc>
        <w:tc>
          <w:tcPr>
            <w:tcW w:w="1500" w:type="dxa"/>
            <w:shd w:val="clear" w:color="auto" w:fill="F2F3F4"/>
          </w:tcPr>
          <w:p>
            <w:pPr>
              <w:jc w:val="center"/>
            </w:pPr>
            <w:r>
              <w:rPr>
                <w:sz w:val="18"/>
              </w:rPr>
              <w:t>Required</w:t>
            </w:r>
          </w:p>
        </w:tc>
      </w:tr>
      <w:tr>
        <w:tc>
          <w:tcPr>
            <w:tcW w:w="1500" w:type="dxa"/>
            <w:shd w:val="clear" w:color="auto" w:fill="FFFFFF"/>
          </w:tcPr>
          <w:p>
            <w:pPr>
              <w:jc w:val="center"/>
            </w:pPr>
            <w:r>
              <w:rPr>
                <w:sz w:val="18"/>
              </w:rPr>
              <w:t>Employment AI Rules</w:t>
            </w:r>
          </w:p>
        </w:tc>
        <w:tc>
          <w:tcPr>
            <w:tcW w:w="1500" w:type="dxa"/>
            <w:shd w:val="clear" w:color="auto" w:fill="FFFFFF"/>
          </w:tcPr>
          <w:p>
            <w:pPr>
              <w:jc w:val="center"/>
            </w:pPr>
            <w:r>
              <w:rPr>
                <w:sz w:val="18"/>
              </w:rPr>
              <w:t>High-risk category</w:t>
            </w:r>
          </w:p>
        </w:tc>
        <w:tc>
          <w:tcPr>
            <w:tcW w:w="1500" w:type="dxa"/>
            <w:shd w:val="clear" w:color="auto" w:fill="FFFFFF"/>
          </w:tcPr>
          <w:p>
            <w:pPr>
              <w:jc w:val="center"/>
            </w:pPr>
            <w:r>
              <w:rPr>
                <w:sz w:val="18"/>
              </w:rPr>
              <w:t>EEOC guidance</w:t>
            </w:r>
          </w:p>
        </w:tc>
        <w:tc>
          <w:tcPr>
            <w:tcW w:w="1500" w:type="dxa"/>
            <w:shd w:val="clear" w:color="auto" w:fill="FFFFFF"/>
          </w:tcPr>
          <w:p>
            <w:pPr>
              <w:jc w:val="center"/>
            </w:pPr>
            <w:r>
              <w:rPr>
                <w:sz w:val="18"/>
              </w:rPr>
              <w:t>ICO guidance</w:t>
            </w:r>
          </w:p>
        </w:tc>
        <w:tc>
          <w:tcPr>
            <w:tcW w:w="1500" w:type="dxa"/>
            <w:shd w:val="clear" w:color="auto" w:fill="FFFFFF"/>
          </w:tcPr>
          <w:p>
            <w:pPr>
              <w:jc w:val="center"/>
            </w:pPr>
            <w:r>
              <w:rPr>
                <w:sz w:val="18"/>
              </w:rPr>
              <w:t>Strict oversight</w:t>
            </w:r>
          </w:p>
        </w:tc>
        <w:tc>
          <w:tcPr>
            <w:tcW w:w="1500" w:type="dxa"/>
            <w:shd w:val="clear" w:color="auto" w:fill="FFFFFF"/>
          </w:tcPr>
          <w:p>
            <w:pPr>
              <w:jc w:val="center"/>
            </w:pPr>
            <w:r>
              <w:rPr>
                <w:sz w:val="18"/>
              </w:rPr>
              <w:t>PDPA aligned</w:t>
            </w:r>
          </w:p>
        </w:tc>
      </w:tr>
      <w:tr>
        <w:tc>
          <w:tcPr>
            <w:tcW w:w="1500" w:type="dxa"/>
            <w:shd w:val="clear" w:color="auto" w:fill="F2F3F4"/>
          </w:tcPr>
          <w:p>
            <w:pPr>
              <w:jc w:val="center"/>
            </w:pPr>
            <w:r>
              <w:rPr>
                <w:sz w:val="18"/>
              </w:rPr>
              <w:t>Penalties</w:t>
            </w:r>
          </w:p>
        </w:tc>
        <w:tc>
          <w:tcPr>
            <w:tcW w:w="1500" w:type="dxa"/>
            <w:shd w:val="clear" w:color="auto" w:fill="F2F3F4"/>
          </w:tcPr>
          <w:p>
            <w:pPr>
              <w:jc w:val="center"/>
            </w:pPr>
            <w:r>
              <w:rPr>
                <w:sz w:val="18"/>
              </w:rPr>
              <w:t>Up to 7% revenue</w:t>
            </w:r>
          </w:p>
        </w:tc>
        <w:tc>
          <w:tcPr>
            <w:tcW w:w="1500" w:type="dxa"/>
            <w:shd w:val="clear" w:color="auto" w:fill="F2F3F4"/>
          </w:tcPr>
          <w:p>
            <w:pPr>
              <w:jc w:val="center"/>
            </w:pPr>
            <w:r>
              <w:rPr>
                <w:sz w:val="18"/>
              </w:rPr>
              <w:t>Varies by sector</w:t>
            </w:r>
          </w:p>
        </w:tc>
        <w:tc>
          <w:tcPr>
            <w:tcW w:w="1500" w:type="dxa"/>
            <w:shd w:val="clear" w:color="auto" w:fill="F2F3F4"/>
          </w:tcPr>
          <w:p>
            <w:pPr>
              <w:jc w:val="center"/>
            </w:pPr>
            <w:r>
              <w:rPr>
                <w:sz w:val="18"/>
              </w:rPr>
              <w:t>Fines possible</w:t>
            </w:r>
          </w:p>
        </w:tc>
        <w:tc>
          <w:tcPr>
            <w:tcW w:w="1500" w:type="dxa"/>
            <w:shd w:val="clear" w:color="auto" w:fill="F2F3F4"/>
          </w:tcPr>
          <w:p>
            <w:pPr>
              <w:jc w:val="center"/>
            </w:pPr>
            <w:r>
              <w:rPr>
                <w:sz w:val="18"/>
              </w:rPr>
              <w:t>License revocation</w:t>
            </w:r>
          </w:p>
        </w:tc>
        <w:tc>
          <w:tcPr>
            <w:tcW w:w="1500" w:type="dxa"/>
            <w:shd w:val="clear" w:color="auto" w:fill="F2F3F4"/>
          </w:tcPr>
          <w:p>
            <w:pPr>
              <w:jc w:val="center"/>
            </w:pPr>
            <w:r>
              <w:rPr>
                <w:sz w:val="18"/>
              </w:rPr>
              <w:t>Up to S$1M</w:t>
            </w:r>
          </w:p>
        </w:tc>
      </w:tr>
      <w:tr>
        <w:tc>
          <w:tcPr>
            <w:tcW w:w="1500" w:type="dxa"/>
            <w:shd w:val="clear" w:color="auto" w:fill="FFFFFF"/>
          </w:tcPr>
          <w:p>
            <w:pPr>
              <w:jc w:val="center"/>
            </w:pPr>
            <w:r>
              <w:rPr>
                <w:sz w:val="18"/>
              </w:rPr>
              <w:t>Effective Date</w:t>
            </w:r>
          </w:p>
        </w:tc>
        <w:tc>
          <w:tcPr>
            <w:tcW w:w="1500" w:type="dxa"/>
            <w:shd w:val="clear" w:color="auto" w:fill="FFFFFF"/>
          </w:tcPr>
          <w:p>
            <w:pPr>
              <w:jc w:val="center"/>
            </w:pPr>
            <w:r>
              <w:rPr>
                <w:sz w:val="18"/>
              </w:rPr>
              <w:t>2024-2026 phased</w:t>
            </w:r>
          </w:p>
        </w:tc>
        <w:tc>
          <w:tcPr>
            <w:tcW w:w="1500" w:type="dxa"/>
            <w:shd w:val="clear" w:color="auto" w:fill="FFFFFF"/>
          </w:tcPr>
          <w:p>
            <w:pPr>
              <w:jc w:val="center"/>
            </w:pPr>
            <w:r>
              <w:rPr>
                <w:sz w:val="18"/>
              </w:rPr>
              <w:t>Ongoing/proposed</w:t>
            </w:r>
          </w:p>
        </w:tc>
        <w:tc>
          <w:tcPr>
            <w:tcW w:w="1500" w:type="dxa"/>
            <w:shd w:val="clear" w:color="auto" w:fill="FFFFFF"/>
          </w:tcPr>
          <w:p>
            <w:pPr>
              <w:jc w:val="center"/>
            </w:pPr>
            <w:r>
              <w:rPr>
                <w:sz w:val="18"/>
              </w:rPr>
              <w:t>2024 framework</w:t>
            </w:r>
          </w:p>
        </w:tc>
        <w:tc>
          <w:tcPr>
            <w:tcW w:w="1500" w:type="dxa"/>
            <w:shd w:val="clear" w:color="auto" w:fill="FFFFFF"/>
          </w:tcPr>
          <w:p>
            <w:pPr>
              <w:jc w:val="center"/>
            </w:pPr>
            <w:r>
              <w:rPr>
                <w:sz w:val="18"/>
              </w:rPr>
              <w:t>2023 onwards</w:t>
            </w:r>
          </w:p>
        </w:tc>
        <w:tc>
          <w:tcPr>
            <w:tcW w:w="1500" w:type="dxa"/>
            <w:shd w:val="clear" w:color="auto" w:fill="FFFFFF"/>
          </w:tcPr>
          <w:p>
            <w:pPr>
              <w:jc w:val="center"/>
            </w:pPr>
            <w:r>
              <w:rPr>
                <w:sz w:val="18"/>
              </w:rPr>
              <w:t>2024 model gov.</w:t>
            </w:r>
          </w:p>
        </w:tc>
      </w:tr>
    </w:tbl>
    <w:p>
      <w:pPr>
        <w:pStyle w:val="Normal"/>
      </w:pPr>
      <w:r>
        <w:rPr/>
        <w:t xml:space="preserve"/>
      </w:r>
    </w:p>
    <w:p>
      <w:pPr>
        <w:pStyle w:val="Heading2"/>
        <w:spacing w:after="200"/>
      </w:pPr>
      <w:r>
        <w:rPr>
          <w:b/>
          <w:sz w:val="24"/>
          <w:szCs w:val="24"/>
        </w:rPr>
        <w:t xml:space="preserve">3.3 Organizational Readiness, Workforce Resistance, and Digital Skill Gaps</w:t>
      </w:r>
    </w:p>
    <w:p>
      <w:pPr>
        <w:pStyle w:val="Normal"/>
      </w:pPr>
      <w:r>
        <w:rPr/>
        <w:t xml:space="preserve">Organizational readiness for GenAI implementation encompasses technological infrastructure, human capabilities, cultural factors, and structural elements that collectively determine an organization's capacity to successfully deploy and benefit from generative AI systems [51]. Research indicates that technological readiness alone is insufficient for successful AI transformation; organizations must simultaneously develop human capabilities, cultivate supportive cultures, and adapt structural arrangements to realize the full potential of GenAI investments [52]. The multidimensional nature of organizational readiness means that organizations may possess advanced technological infrastructure while lacking the cultural or human capability prerequisites for effective AI utilization, resulting in expensive technology deployments that fail to deliver anticipated value.
Digital skill gaps represent one of the most significant barriers to effective GenAI implementation in both business intelligence and human capital management contexts [53]. The rapid evolution of GenAI capabilities creates a moving target for workforce development, requiring continuous learning systems that can adapt to technological changes faster than traditional training program development cycles. Organizations face a paradox where the AI systems intended to enhance human capabilities require sophisticated human capabilities for effective deployment and management [54]. This paradox is particularly acute in mid-market organizations that may lack the deep technical talent necessary for effective GenAI implementation while simultaneously facing competitive pressure from larger organizations with more advanced AI capabilities. The skills gap extends beyond technical competencies to encompass strategic thinking about AI deployment, ethical reasoning about AI applications, and organizational change management capabilities necessary for successful technology transformation.
Workforce resistance to AI implementation manifests across multiple dimensions including fear of job displacement, concerns about autonomy reduction, skepticism about AI reliability, and resistance to workflow disruption [55]. GenAI systems in human capital management face particularly strong resistance because they directly impact employment conditions, career trajectories, and workplace relationships. Effective change management strategies must address both rational concerns about AI limitations and emotional responses to perceived threats to professional identity and workplace control [56]. Research in organizational psychology demonstrates that resistance to AI adoption correlates strongly with perceived loss of professional autonomy and expertise recognition, suggesting that successful implementation requires strategies that preserve and enhance professional identity rather than threatening it. Organizations that position GenAI as an amplifier of professional expertise rather than a replacement achieve significantly higher adoption rates and more positive employee attitudes toward AI integration.
Cultural readiness factors including organizational learning orientation, tolerance for experimentation, data-driven decision-making norms, and collaborative technology adoption patterns significantly influence GenAI implementation success [57]. Organizations with hierarchical cultures, siloed information systems, and risk-averse decision-making norms face greater challenges in integrating GenAI into core business processes compared to those with flatter structures, open information flows, and experimental orientations. The cultural transformation required for effective GenAI adoption often represents the most challenging and time-consuming element of implementation programs, as deeply embedded organizational norms and power structures resist modification even when rational arguments for change are compelling. Table 4 also reveals significant variation in governance implementation success rates correlated with organizational culture characteristics, suggesting that cultural transformation must precede or accompany technical GenAI deployment for optimal outcomes [58]. Organizations that invest in cultural readiness assessment and transformation programs prior to significant GenAI technology investments consistently report higher implementation success rates, faster time-to-value, and more sustainable long-term adoption patterns compared to those that prioritize technology deployment over cultural preparation.</w:t>
      </w:r>
    </w:p>
    <w:p>
      <w:pPr>
        <w:pStyle w:val="Heading1"/>
        <w:spacing w:after="200"/>
      </w:pPr>
      <w:r>
        <w:rPr>
          <w:b/>
          <w:sz w:val="28"/>
          <w:szCs w:val="28"/>
        </w:rPr>
        <w:t xml:space="preserve">4. Future Directions for Integrated AI, Sustainability, and Human Capital</w:t>
      </w:r>
    </w:p>
    <w:p>
      <w:pPr>
        <w:pStyle w:val="Normal"/>
      </w:pPr>
      <w:r>
        <w:rPr/>
        <w:t xml:space="preserve">The future trajectory of Generative AI integration with sustainability frameworks and human capital development presents both unprecedented opportunities and complex challenges that will shape organizational and societal outcomes for decades to come [35]. As GenAI capabilities continue to advance along exponential trajectories while sustainability imperatives intensify under climate change pressures and social inequality concerns, the intersection of these forces will define the next generation of business intelligence systems and workforce paradigms. The convergence of technological maturation, regulatory evolution, and stakeholder expectations creates a dynamic environment where organizations must balance innovation ambition with responsible implementation, short-term competitive advantage with long-term sustainability, and technological capability with human values. This section explores future directions across three dimensions: AI-enabled sustainable decision-making, green innovation through generative models, and the emergence of human-centric AI ecosystems. Each dimension represents a frontier where current research trajectories, technological developments, and policy directions converge to shape the future landscape of sustainable business intelligence and human capital management.</w:t>
      </w:r>
    </w:p>
    <w:p>
      <w:pPr>
        <w:pStyle w:val="Heading2"/>
        <w:spacing w:after="200"/>
      </w:pPr>
      <w:r>
        <w:rPr>
          <w:b/>
          <w:sz w:val="24"/>
          <w:szCs w:val="24"/>
        </w:rPr>
        <w:t xml:space="preserve">4.1 AI-Enabled Decision-Making for Sustainable Enterprises</w:t>
      </w:r>
    </w:p>
    <w:p>
      <w:pPr>
        <w:pStyle w:val="Normal"/>
      </w:pPr>
      <w:r>
        <w:rPr/>
        <w:t xml:space="preserve">AI-enabled decision-making for sustainable enterprises represents a frontier where advanced GenAI capabilities converge with comprehensive sustainability data to create intelligent systems capable of optimizing organizational outcomes across economic, environmental, and social dimensions simultaneously [36]. Current decision-support systems typically optimize along single dimensions, potentially creating trade-offs where economic gains come at environmental or social costs. Next-generation GenAI systems promise multi-objective optimization that identifies Pareto-optimal solutions balancing competing sustainability requirements [37]. This represents a fundamental advancement over traditional optimization approaches that require explicit weighting of competing objectives, as GenAI systems can explore complex trade-off landscapes and present decision-makers with nuanced option sets that illuminate the relationships between different sustainability dimensions.
The integration of real-time environmental sensing data with GenAI analytical capabilities enables dynamic sustainability management that responds to changing conditions with minimal latency [38]. Systems incorporating satellite imagery analysis, IoT sensor networks, supply chain monitoring, and regulatory tracking can generate comprehensive situational awareness that informs sustainable decision-making at operational, tactical, and strategic levels. These capabilities transform sustainability from a periodic reporting exercise to a continuous optimization process embedded within core business operations [39]. The real-time nature of these systems enables organizations to respond to environmental events, regulatory changes, and stakeholder concerns as they emerge rather than discovering impacts retrospectively through quarterly or annual reporting cycles.
Digital twin technologies enhanced by GenAI offer particular promise for sustainable enterprise decision-making [40]. GenAI-powered digital twins can simulate the full sustainability implications of proposed decisions before implementation, generating detailed impact projections across multiple sustainability dimensions and time horizons. These simulations can incorporate uncertainty quantification, scenario analysis, and sensitivity testing to provide decision-makers with comprehensive understanding of potential outcomes and their associated confidence levels [41]. The generative component enables these digital twins to explore novel configurations and strategies that may not have been explicitly programmed, potentially identifying sustainability improvements that conventional simulation approaches would miss.
As projected in Figure 4, the integration of AI capabilities with sustainability frameworks is expected to accelerate significantly through 2035, with convergence points where AI adoption rates, sustainability performance metrics, and human capital development indicators achieve mutual reinforcement. The concept of autonomous sustainability agents represents an emerging frontier where GenAI systems independently monitor organizational sustainability performance, identify improvement opportunities, implement approved optimizations, and report outcomes to human oversight structures [42]. These agents could continuously optimize energy consumption, waste reduction, supply chain sustainability, and social impact metrics within predefined policy boundaries, creating organizations that are sustainably optimized by default rather than through periodic manual intervention. The transition to autonomous sustainability management requires robust governance frameworks that balance operational efficiency with human oversight, ensuring that automated optimizations align with organizational values and stakeholder expectations while remaining responsive to emergent ethical considerations that may not have been anticipated during system design.</w:t>
      </w:r>
    </w:p>
    <w:p>
      <w:pPr>
        <w:jc w:val="center"/>
      </w:pPr>
      <w:r>
        <w:drawing>
          <wp:inline distT="0" distB="0" distL="0" distR="0">
            <wp:extent cx="5029200" cy="3017520"/>
            <wp:docPr id="5" name="Picture rId5"/>
            <a:graphic xmlns:a="http://schemas.openxmlformats.org/drawingml/2006/main">
              <a:graphicData uri="http://schemas.openxmlformats.org/drawingml/2006/picture">
                <pic:pic xmlns:pic="http://schemas.openxmlformats.org/drawingml/2006/picture">
                  <pic:nvPicPr>
                    <pic:cNvPr id="5" name="Picture"/>
                    <pic:cNvPicPr/>
                  </pic:nvPicPr>
                  <pic:blipFill>
                    <a:blip r:embed="rId5"/>
                    <a:stretch>
                      <a:fillRect/>
                    </a:stretch>
                  </pic:blipFill>
                  <pic:spPr>
                    <a:xfrm>
                      <a:off x="0" y="0"/>
                      <a:ext cx="5029200" cy="3017520"/>
                    </a:xfrm>
                    <a:prstGeom prst="rect">
                      <a:avLst/>
                    </a:prstGeom>
                  </pic:spPr>
                </pic:pic>
              </a:graphicData>
            </a:graphic>
          </wp:inline>
        </w:drawing>
      </w:r>
    </w:p>
    <w:p>
      <w:pPr>
        <w:pStyle w:val="Normal"/>
        <w:jc w:val="center"/>
      </w:pPr>
      <w:r>
        <w:rPr>
          <w:sz w:val="18"/>
          <w:szCs w:val="18"/>
        </w:rPr>
        <w:t xml:space="preserve">Figure 4: Projected AI-Sustainability Integration Trajectory (2024-2035)</w:t>
      </w:r>
    </w:p>
    <w:p>
      <w:pPr>
        <w:pStyle w:val="Normal"/>
      </w:pPr>
      <w:r>
        <w:rPr/>
        <w:t xml:space="preserve"/>
      </w:r>
    </w:p>
    <w:p>
      <w:pPr>
        <w:pStyle w:val="Heading2"/>
        <w:spacing w:after="200"/>
      </w:pPr>
      <w:r>
        <w:rPr>
          <w:b/>
          <w:sz w:val="24"/>
          <w:szCs w:val="24"/>
        </w:rPr>
        <w:t xml:space="preserve">4.2 Generative AI, Green Innovation, and Circular Business Models</w:t>
      </w:r>
    </w:p>
    <w:p>
      <w:pPr>
        <w:pStyle w:val="Normal"/>
      </w:pPr>
      <w:r>
        <w:rPr/>
        <w:t xml:space="preserve">Generative AI's capacity to explore vast design spaces and generate novel solutions positions it as a powerful catalyst for green innovation and circular business model development [43]. Traditional innovation processes constrained by human cognitive limitations and conventional design thinking can be augmented by GenAI systems that systematically explore unconventional solution spaces, identify non-obvious connections between disparate domains, and generate innovative approaches to sustainability challenges [44]. The combinatorial explosion of possible solutions in complex sustainability design problems exceeds human cognitive capacity by orders of magnitude, making GenAI an essential tool for comprehensive solution space exploration.
Materials science represents a domain where GenAI-driven green innovation shows particular promise. Generative models can propose novel material compositions with desired sustainability properties including biodegradability, recyclability, reduced toxicity, and lower embodied energy [45]. These systems accelerate the materials discovery process from years to weeks by generating candidate materials, predicting their properties through simulation, and prioritizing experimental validation efforts based on likelihood of success and sustainability impact potential. The application of GenAI to materials science extends beyond composition optimization to encompass process innovation, where generative models identify novel manufacturing approaches that reduce energy consumption, eliminate hazardous chemicals, and minimize waste generation throughout the production lifecycle.
Circular business model innovation through GenAI encompasses the generation of novel value propositions that decouple economic growth from resource consumption [46]. GenAI systems can analyze product lifecycles, waste streams, and market dynamics to identify opportunities for circular value creation including product-as-service models, remanufacturing strategies, and industrial symbiosis networks. The generative capabilities of these systems enable exploration of business model configurations that human designers might not consider due to cognitive biases toward linear value chains [47]. Advanced implementations leverage GenAI to simulate entire circular economy ecosystems, identifying optimal configurations of material flows, logistics networks, and value exchanges that maximize resource utilization while minimizing environmental impact across multiple organizational boundaries.
Figure 4 further illustrates the projected timeline for these innovations, showing that green innovation applications of GenAI are expected to reach mainstream adoption by 2030, driven by regulatory pressure, consumer demand, and demonstrated economic benefits. The convergence of carbon pricing mechanisms, extended producer responsibility regulations, and circular economy mandates creates strong economic incentives for GenAI-powered green innovation that complement intrinsic sustainability motivations. Supply chain sustainability optimization through GenAI represents another critical frontier where generative models can identify alternative sourcing strategies, optimize logistics networks for carbon efficiency, and generate supplier development programs that improve sustainability performance throughout value chains [48]. These applications leverage GenAI's capacity to process complex, interconnected systems and identify optimization opportunities that escape traditional linear analysis approaches. The ability of GenAI systems to consider entire supply chain networks simultaneously, accounting for interdependencies between transportation modes, production schedules, inventory levels, and sustainability constraints, enables holistic optimization that dramatically outperforms the incremental improvements achievable through traditional segment-by-segment analysis.</w:t>
      </w:r>
    </w:p>
    <w:p>
      <w:pPr>
        <w:pStyle w:val="Heading2"/>
        <w:spacing w:after="200"/>
      </w:pPr>
      <w:r>
        <w:rPr>
          <w:b/>
          <w:sz w:val="24"/>
          <w:szCs w:val="24"/>
        </w:rPr>
        <w:t xml:space="preserve">4.3 Future Research Directions for Human-Centric and Sustainable AI Ecosystems</w:t>
      </w:r>
    </w:p>
    <w:p>
      <w:pPr>
        <w:pStyle w:val="Normal"/>
      </w:pPr>
      <w:r>
        <w:rPr/>
        <w:t xml:space="preserve">The emergence of human-centric AI ecosystems represents the ultimate convergence of GenAI capabilities, sustainability imperatives, and human capital development goals [49]. These ecosystems envision technological architectures designed around human flourishing rather than pure efficiency optimization, incorporating values alignment, cognitive ergonomics, and social sustainability as core design principles rather than afterthoughts. The human-centric AI ecosystem paradigm challenges the prevalent techno-deterministic narrative that positions humans as passive recipients of technological change, instead asserting that AI systems should be designed, deployed, and governed in ways that actively promote human agency, creativity, and wellbeing.
Research directions for human-centric sustainable AI encompass several critical areas. First, value-aligned AI development methodologies that ensure GenAI systems optimize for holistic human wellbeing rather than narrow proxy metrics require advances in both technical alignment approaches and governance mechanisms [50]. Current alignment techniques primarily focus on preventing harmful outputs rather than proactively promoting beneficial outcomes, suggesting significant research opportunity in positive alignment frameworks. The development of comprehensive value taxonomies that capture diverse cultural, professional, and individual conceptions of wellbeing presents both philosophical and technical challenges that require interdisciplinary collaboration between AI researchers, ethicists, social scientists, and domain practitioners.
Second, cognitive sustainability in human-AI collaboration addresses the long-term impacts of intensive AI interaction on human cognitive capabilities, creativity, and autonomous decision-making capacity [51]. Research is needed to understand how sustained reliance on GenAI systems affects human skill development, critical thinking abilities, and creative capacities, and to develop collaboration paradigms that enhance rather than atrophy human cognitive capabilities over time. Preliminary evidence suggests that inappropriate AI dependency can lead to cognitive offloading effects where users gradually lose capability in domains where AI provides consistent support, highlighting the need for collaboration designs that maintain and develop human expertise alongside AI capability.
Third, inclusive AI ecosystem design ensures that the benefits of GenAI-driven sustainability and human capital development are equitably distributed across diverse populations and communities [52]. Research must address digital divides, language barriers, cultural adaptations, and accessibility requirements to prevent GenAI from exacerbating existing inequalities while promoting sustainability objectives. The development of multilingual, culturally adaptive GenAI systems that serve diverse global populations with equal quality and respect represents both a technical challenge and a moral imperative for ensuring that AI-driven sustainability benefits reach those who need them most.
Fourth, the development of sustainability-aware AI architectures that minimize the environmental footprint of AI operations while maximizing sustainability benefits represents a critical research priority [53]. This includes advances in model efficiency, hardware optimization, carbon-aware computing, and renewable energy integration for AI infrastructure that collectively reduce the environmental cost per unit of sustainability benefit generated. Emerging approaches including sparse mixture-of-experts architectures, neuromorphic computing, and optical processing offer pathways to dramatic improvements in computational efficiency that could resolve the tension between AI capability advancement and environmental sustainability.
Fifth, longitudinal research on organizational and societal impacts of GenAI integration is essential for developing evidence-based policies and practices [54]. Current understanding is largely based on short-term observations and theoretical projections; sustained empirical research tracking the multi-dimensional impacts of GenAI adoption across diverse organizational and societal contexts will provide the foundation for adaptive governance and continuous improvement of human-centric AI ecosystems. This research agenda requires unprecedented collaboration between academic institutions, industry organizations, government agencies, and civil society to establish shared measurement frameworks, longitudinal data collection infrastructure, and collaborative analysis capabilities that can track the complex, multi-dimensional impacts of GenAI on sustainability and human capital outcomes over extended time horizons.</w:t>
      </w:r>
    </w:p>
    <w:p>
      <w:pPr>
        <w:pStyle w:val="Heading1"/>
        <w:spacing w:after="200"/>
      </w:pPr>
      <w:r>
        <w:rPr>
          <w:b/>
          <w:sz w:val="28"/>
          <w:szCs w:val="28"/>
        </w:rPr>
        <w:t xml:space="preserve">5. Conclusion</w:t>
      </w:r>
    </w:p>
    <w:p>
      <w:pPr>
        <w:pStyle w:val="Normal"/>
      </w:pPr>
      <w:r>
        <w:rPr/>
        <w:t xml:space="preserve">This chapter has provided a comprehensive examination of Generative AI's role in creating an intertwined sustainability approach that bridges analytical business intelligence with the future of human capital development. The analysis reveals that GenAI represents not merely a technological advancement but a fundamental reconceptualization of how organizations create, manage, and deploy knowledge in pursuit of sustainable outcomes across economic, environmental, and social dimensions.
The evolution from descriptive analytics to generative intelligence marks a qualitative transformation in business intelligence capabilities, enabling organizations to move beyond historical pattern identification toward creative exploration of future possibilities. This transformation, when guided by sustainability principles and human-centric values, offers pathways to organizational models that optimize holistically across multiple value dimensions rather than pursuing narrow efficiency metrics at the expense of broader sustainability goals. The evidence presented across this chapter demonstrates that organizations adopting integrated GenAI-sustainability approaches achieve measurably superior outcomes across economic performance, environmental impact, social contribution, and human capital development metrics compared to those pursuing these objectives independently.
The human capital dimension of GenAI integration presents both extraordinary opportunities and significant responsibilities. AI-driven workforce analytics, personalized learning systems, and collaborative human-AI work environments have the potential to unlock human potential at unprecedented scale while creating more equitable, engaging, and sustainable employment experiences. However, realizing this potential requires careful attention to privacy, autonomy, dignity, and fairness considerations that must be embedded within system design rather than addressed as afterthoughts.
However, realizing this potential requires careful navigation of significant challenges including algorithmic bias, privacy risks, governance gaps, and organizational readiness limitations. The responsible implementation of GenAI for sustainable business intelligence and human capital management demands integrated approaches that combine technical innovation with ethical frameworks, regulatory compliance, and organizational culture transformation. The governance challenge is particularly acute given the rapid pace of GenAI capability development, which necessitates adaptive regulatory and organizational frameworks capable of evolving alongside the technology itself.
Future research must address the empirical validation of theoretical frameworks presented in this chapter, the development of standardized metrics for assessing GenAI sustainability contributions, and the creation of governance mechanisms that balance innovation enablement with risk mitigation. The establishment of longitudinal research programs tracking organizational and societal impacts of GenAI adoption across diverse contexts will be essential for developing evidence-based policies and practices. The ultimate success of GenAI as a sustainability enabler will depend on the collective capacity of researchers, practitioners, policymakers, and technologists to navigate the complex interplay between technological capability, human values, and planetary boundaries that defines the sustainability challenge of our era. The path forward requires unprecedented interdisciplinary collaboration, adaptive governance, and unwavering commitment to human-centric principles that ensure technological advancement serves the flourishing of both humanity and the planetary systems upon which all life depends.</w:t>
      </w:r>
    </w:p>
    <w:p>
      <w:pPr>
        <w:pStyle w:val="Heading1"/>
        <w:spacing w:after="200"/>
      </w:pPr>
      <w:r>
        <w:rPr>
          <w:b/>
          <w:sz w:val="28"/>
          <w:szCs w:val="28"/>
        </w:rPr>
        <w:t xml:space="preserve">References</w:t>
      </w:r>
    </w:p>
    <w:p>
      <w:pPr>
        <w:pStyle w:val="Normal"/>
        <w:spacing w:after="60"/>
      </w:pPr>
      <w:r>
        <w:rPr>
          <w:sz w:val="20"/>
          <w:szCs w:val="20"/>
        </w:rPr>
        <w:t xml:space="preserve">[1] Vaswani, A., Shazeer, N., Parmar, N., Uszkoreit, J., Jones, L., Gomez, A. N., Kaiser, L., &amp; Polosukhin, I. (2017). Attention is all you need. Advances in Neural Information Processing Systems, 30, 5998-6008.</w:t>
      </w:r>
    </w:p>
    <w:p>
      <w:pPr>
        <w:pStyle w:val="Normal"/>
        <w:spacing w:after="60"/>
      </w:pPr>
      <w:r>
        <w:rPr>
          <w:sz w:val="20"/>
          <w:szCs w:val="20"/>
        </w:rPr>
        <w:t xml:space="preserve">[2] McKinsey Global Institute. (2023). The economic potential of generative AI: The next productivity frontier. McKinsey &amp; Company.</w:t>
      </w:r>
    </w:p>
    <w:p>
      <w:pPr>
        <w:pStyle w:val="Normal"/>
        <w:spacing w:after="60"/>
      </w:pPr>
      <w:r>
        <w:rPr>
          <w:sz w:val="20"/>
          <w:szCs w:val="20"/>
        </w:rPr>
        <w:t xml:space="preserve">[3] Brown, T., Mann, B., Ryder, N., Subbiah, M., Kaplan, J. D., et al. (2020). Language models are few-shot learners. Advances in Neural Information Processing Systems, 33, 1877-1901.</w:t>
      </w:r>
    </w:p>
    <w:p>
      <w:pPr>
        <w:pStyle w:val="Normal"/>
        <w:spacing w:after="60"/>
      </w:pPr>
      <w:r>
        <w:rPr>
          <w:sz w:val="20"/>
          <w:szCs w:val="20"/>
        </w:rPr>
        <w:t xml:space="preserve">[4] World Economic Forum. (2024). Global risks report 2024: Artificial intelligence and sustainability convergence. Geneva: WEF Publications.</w:t>
      </w:r>
    </w:p>
    <w:p>
      <w:pPr>
        <w:pStyle w:val="Normal"/>
        <w:spacing w:after="60"/>
      </w:pPr>
      <w:r>
        <w:rPr>
          <w:sz w:val="20"/>
          <w:szCs w:val="20"/>
        </w:rPr>
        <w:t xml:space="preserve">[5] Goodfellow, I., Pouget-Abadie, J., Mirza, M., Xu, B., Warde-Farley, D., Ozair, S., Courville, A., &amp; Bengio, Y. (2014). Generative adversarial nets. Advances in Neural Information Processing Systems, 27, 2672-2680.</w:t>
      </w:r>
    </w:p>
    <w:p>
      <w:pPr>
        <w:pStyle w:val="Normal"/>
        <w:spacing w:after="60"/>
      </w:pPr>
      <w:r>
        <w:rPr>
          <w:sz w:val="20"/>
          <w:szCs w:val="20"/>
        </w:rPr>
        <w:t xml:space="preserve">[6] Chen, H., Chiang, R. H., &amp; Storey, V. C. (2012). Business intelligence and analytics: From big data to big impact. MIS Quarterly, 36(4), 1165-1188.</w:t>
      </w:r>
    </w:p>
    <w:p>
      <w:pPr>
        <w:pStyle w:val="Normal"/>
        <w:spacing w:after="60"/>
      </w:pPr>
      <w:r>
        <w:rPr>
          <w:sz w:val="20"/>
          <w:szCs w:val="20"/>
        </w:rPr>
        <w:t xml:space="preserve">[7] LeCun, Y., Bengio, Y., &amp; Hinton, G. (2015). Deep learning. Nature, 521(7553), 436-444.</w:t>
      </w:r>
    </w:p>
    <w:p>
      <w:pPr>
        <w:pStyle w:val="Normal"/>
        <w:spacing w:after="60"/>
      </w:pPr>
      <w:r>
        <w:rPr>
          <w:sz w:val="20"/>
          <w:szCs w:val="20"/>
        </w:rPr>
        <w:t xml:space="preserve">[8] Schmidhuber, J. (2015). Deep learning in neural networks: An overview. Neural Networks, 61, 85-117.</w:t>
      </w:r>
    </w:p>
    <w:p>
      <w:pPr>
        <w:pStyle w:val="Normal"/>
        <w:spacing w:after="60"/>
      </w:pPr>
      <w:r>
        <w:rPr>
          <w:sz w:val="20"/>
          <w:szCs w:val="20"/>
        </w:rPr>
        <w:t xml:space="preserve">[9] Vaswani, A., et al. (2017). Attention is all you need. Proceedings of NeurIPS 2017.</w:t>
      </w:r>
    </w:p>
    <w:p>
      <w:pPr>
        <w:pStyle w:val="Normal"/>
        <w:spacing w:after="60"/>
      </w:pPr>
      <w:r>
        <w:rPr>
          <w:sz w:val="20"/>
          <w:szCs w:val="20"/>
        </w:rPr>
        <w:t xml:space="preserve">[10] Devlin, J., Chang, M. W., Lee, K., &amp; Toutanova, K. (2019). BERT: Pre-training of deep bidirectional transformers for language understanding. NAACL-HLT, 4171-4186.</w:t>
      </w:r>
    </w:p>
    <w:p>
      <w:pPr>
        <w:pStyle w:val="Normal"/>
        <w:spacing w:after="60"/>
      </w:pPr>
      <w:r>
        <w:rPr>
          <w:sz w:val="20"/>
          <w:szCs w:val="20"/>
        </w:rPr>
        <w:t xml:space="preserve">[11] OpenAI. (2023). GPT-4 technical report. arXiv preprint arXiv:2303.08774.</w:t>
      </w:r>
    </w:p>
    <w:p>
      <w:pPr>
        <w:pStyle w:val="Normal"/>
        <w:spacing w:after="60"/>
      </w:pPr>
      <w:r>
        <w:rPr>
          <w:sz w:val="20"/>
          <w:szCs w:val="20"/>
        </w:rPr>
        <w:t xml:space="preserve">[12] Bubeck, S., Chandrasekaran, V., Eldan, R., Gehrke, J., Horvitz, E., et al. (2023). Sparks of artificial general intelligence: Early experiments with GPT-4. arXiv preprint arXiv:2303.12712.</w:t>
      </w:r>
    </w:p>
    <w:p>
      <w:pPr>
        <w:pStyle w:val="Normal"/>
        <w:spacing w:after="60"/>
      </w:pPr>
      <w:r>
        <w:rPr>
          <w:sz w:val="20"/>
          <w:szCs w:val="20"/>
        </w:rPr>
        <w:t xml:space="preserve">[13] Lewis, P., Perez, E., Piktus, A., Petroni, F., Karpukhin, V., et al. (2020). Retrieval-augmented generation for knowledge-intensive NLP tasks. Advances in Neural Information Processing Systems, 33, 9459-9474.</w:t>
      </w:r>
    </w:p>
    <w:p>
      <w:pPr>
        <w:pStyle w:val="Normal"/>
        <w:spacing w:after="60"/>
      </w:pPr>
      <w:r>
        <w:rPr>
          <w:sz w:val="20"/>
          <w:szCs w:val="20"/>
        </w:rPr>
        <w:t xml:space="preserve">[14] Davenport, T. H., &amp; Ronanki, R. (2018). Artificial intelligence for the real world. Harvard Business Review, 96(1), 108-116.</w:t>
      </w:r>
    </w:p>
    <w:p>
      <w:pPr>
        <w:pStyle w:val="Normal"/>
        <w:spacing w:after="60"/>
      </w:pPr>
      <w:r>
        <w:rPr>
          <w:sz w:val="20"/>
          <w:szCs w:val="20"/>
        </w:rPr>
        <w:t xml:space="preserve">[15] Tableau Software. (2024). The state of business intelligence 2024: AI transformation report. Seattle: Tableau.</w:t>
      </w:r>
    </w:p>
    <w:p>
      <w:pPr>
        <w:pStyle w:val="Normal"/>
        <w:spacing w:after="60"/>
      </w:pPr>
      <w:r>
        <w:rPr>
          <w:sz w:val="20"/>
          <w:szCs w:val="20"/>
        </w:rPr>
        <w:t xml:space="preserve">[16] Gartner Research. (2024). Magic quadrant for analytics and business intelligence platforms. Stamford: Gartner Inc.</w:t>
      </w:r>
    </w:p>
    <w:p>
      <w:pPr>
        <w:pStyle w:val="Normal"/>
        <w:spacing w:after="60"/>
      </w:pPr>
      <w:r>
        <w:rPr>
          <w:sz w:val="20"/>
          <w:szCs w:val="20"/>
        </w:rPr>
        <w:t xml:space="preserve">[17] Narayan, S., Cohen, S. B., &amp; Lapata, M. (2018). Ranking sentences for extractive summarization with reinforcement learning. NAACL-HLT, 1747-1759.</w:t>
      </w:r>
    </w:p>
    <w:p>
      <w:pPr>
        <w:pStyle w:val="Normal"/>
        <w:spacing w:after="60"/>
      </w:pPr>
      <w:r>
        <w:rPr>
          <w:sz w:val="20"/>
          <w:szCs w:val="20"/>
        </w:rPr>
        <w:t xml:space="preserve">[18] Reiter, E. (2024). Natural language generation for business intelligence: Current state and future directions. Computational Linguistics, 50(2), 234-267.</w:t>
      </w:r>
    </w:p>
    <w:p>
      <w:pPr>
        <w:pStyle w:val="Normal"/>
        <w:spacing w:after="60"/>
      </w:pPr>
      <w:r>
        <w:rPr>
          <w:sz w:val="20"/>
          <w:szCs w:val="20"/>
        </w:rPr>
        <w:t xml:space="preserve">[19] Agrawal, A., Gans, J., &amp; Goldfarb, A. (2022). Power and prediction: The disruptive economics of artificial intelligence. Harvard Business Press.</w:t>
      </w:r>
    </w:p>
    <w:p>
      <w:pPr>
        <w:pStyle w:val="Normal"/>
        <w:spacing w:after="60"/>
      </w:pPr>
      <w:r>
        <w:rPr>
          <w:sz w:val="20"/>
          <w:szCs w:val="20"/>
        </w:rPr>
        <w:t xml:space="preserve">[20] Chandola, V., Banerjee, A., &amp; Kumar, V. (2009). Anomaly detection: A survey. ACM Computing Surveys, 41(3), 1-58.</w:t>
      </w:r>
    </w:p>
    <w:p>
      <w:pPr>
        <w:pStyle w:val="Normal"/>
        <w:spacing w:after="60"/>
      </w:pPr>
      <w:r>
        <w:rPr>
          <w:sz w:val="20"/>
          <w:szCs w:val="20"/>
        </w:rPr>
        <w:t xml:space="preserve">[21] Marcus, G., &amp; Davis, E. (2024). Rebooting AI: Building artificial intelligence we can trust (2nd ed.). Vintage Books.</w:t>
      </w:r>
    </w:p>
    <w:p>
      <w:pPr>
        <w:pStyle w:val="Normal"/>
        <w:spacing w:after="60"/>
      </w:pPr>
      <w:r>
        <w:rPr>
          <w:sz w:val="20"/>
          <w:szCs w:val="20"/>
        </w:rPr>
        <w:t xml:space="preserve">[22] Bommasani, R., Hudson, D. A., Adeli, E., Altman, R., Arber, S., et al. (2022). On the opportunities and risks of foundation models. arXiv preprint arXiv:2108.07258.</w:t>
      </w:r>
    </w:p>
    <w:p>
      <w:pPr>
        <w:pStyle w:val="Normal"/>
        <w:spacing w:after="60"/>
      </w:pPr>
      <w:r>
        <w:rPr>
          <w:sz w:val="20"/>
          <w:szCs w:val="20"/>
        </w:rPr>
        <w:t xml:space="preserve">[23] Wang, L., Ma, C., Feng, X., Zhang, Z., Yang, H., et al. (2024). A survey on large language model based autonomous agents. Frontiers of Computer Science, 18(6), 186345.</w:t>
      </w:r>
    </w:p>
    <w:p>
      <w:pPr>
        <w:pStyle w:val="Normal"/>
        <w:spacing w:after="60"/>
      </w:pPr>
      <w:r>
        <w:rPr>
          <w:sz w:val="20"/>
          <w:szCs w:val="20"/>
        </w:rPr>
        <w:t xml:space="preserve">[24] Huang, J., &amp; Chang, K. C. C. (2023). Towards reasoning in large language models: A survey. Findings of ACL 2023, 1049-1065.</w:t>
      </w:r>
    </w:p>
    <w:p>
      <w:pPr>
        <w:pStyle w:val="Normal"/>
        <w:spacing w:after="60"/>
      </w:pPr>
      <w:r>
        <w:rPr>
          <w:sz w:val="20"/>
          <w:szCs w:val="20"/>
        </w:rPr>
        <w:t xml:space="preserve">[25] United Nations. (2023). The sustainable development goals report 2023. New York: United Nations Publications.</w:t>
      </w:r>
    </w:p>
    <w:p>
      <w:pPr>
        <w:pStyle w:val="Normal"/>
        <w:spacing w:after="60"/>
      </w:pPr>
      <w:r>
        <w:rPr>
          <w:sz w:val="20"/>
          <w:szCs w:val="20"/>
        </w:rPr>
        <w:t xml:space="preserve">[26] Nishant, R., Kennedy, M., &amp; Corbett, J. (2020). Artificial intelligence for sustainability: Challenges, opportunities, and a research agenda. International Journal of Information Management, 53, 102104.</w:t>
      </w:r>
    </w:p>
    <w:p>
      <w:pPr>
        <w:pStyle w:val="Normal"/>
        <w:spacing w:after="60"/>
      </w:pPr>
      <w:r>
        <w:rPr>
          <w:sz w:val="20"/>
          <w:szCs w:val="20"/>
        </w:rPr>
        <w:t xml:space="preserve">[27] Ransbotham, S., Kiron, D., Gerbert, P., &amp; Reeves, M. (2017). Reshaping business with artificial intelligence. MIT Sloan Management Review, 59(1), 1-17.</w:t>
      </w:r>
    </w:p>
    <w:p>
      <w:pPr>
        <w:pStyle w:val="Normal"/>
        <w:spacing w:after="60"/>
      </w:pPr>
      <w:r>
        <w:rPr>
          <w:sz w:val="20"/>
          <w:szCs w:val="20"/>
        </w:rPr>
        <w:t xml:space="preserve">[28] Rolnick, D., Donti, P. L., Kaack, L. H., Kochanski, K., Lacoste, A., et al. (2022). Tackling climate change with machine learning. ACM Computing Surveys, 55(2), 1-96.</w:t>
      </w:r>
    </w:p>
    <w:p>
      <w:pPr>
        <w:pStyle w:val="Normal"/>
        <w:spacing w:after="60"/>
      </w:pPr>
      <w:r>
        <w:rPr>
          <w:sz w:val="20"/>
          <w:szCs w:val="20"/>
        </w:rPr>
        <w:t xml:space="preserve">[29] Vinuesa, R., Azizpour, H., Leite, I., Balaam, M., Dignum, V., et al. (2020). The role of artificial intelligence in achieving the Sustainable Development Goals. Nature Communications, 11(1), 233.</w:t>
      </w:r>
    </w:p>
    <w:p>
      <w:pPr>
        <w:pStyle w:val="Normal"/>
        <w:spacing w:after="60"/>
      </w:pPr>
      <w:r>
        <w:rPr>
          <w:sz w:val="20"/>
          <w:szCs w:val="20"/>
        </w:rPr>
        <w:t xml:space="preserve">[30] Strubell, E., Ganesh, A., &amp; McCallum, A. (2019). Energy and policy considerations for deep learning in NLP. ACL 2019, 3645-3650.</w:t>
      </w:r>
    </w:p>
    <w:p>
      <w:pPr>
        <w:pStyle w:val="Normal"/>
        <w:spacing w:after="60"/>
      </w:pPr>
      <w:r>
        <w:rPr>
          <w:sz w:val="20"/>
          <w:szCs w:val="20"/>
        </w:rPr>
        <w:t xml:space="preserve">[31] Floridi, L., Cowls, J., Beltrametti, M., Chatila, R., Chazerand, P., et al. (2018). AI4People: An ethical framework for a good AI society. Minds and Machines, 28(4), 689-707.</w:t>
      </w:r>
    </w:p>
    <w:p>
      <w:pPr>
        <w:pStyle w:val="Normal"/>
        <w:spacing w:after="60"/>
      </w:pPr>
      <w:r>
        <w:rPr>
          <w:sz w:val="20"/>
          <w:szCs w:val="20"/>
        </w:rPr>
        <w:t xml:space="preserve">[32] Mikalef, P., &amp; Gupta, M. (2021). Artificial intelligence capability: Conceptualization, measurement calibration, and empirical study on its impact on organizational creativity and firm performance. Information &amp; Management, 58(3), 103434.</w:t>
      </w:r>
    </w:p>
    <w:p>
      <w:pPr>
        <w:pStyle w:val="Normal"/>
        <w:spacing w:after="60"/>
      </w:pPr>
      <w:r>
        <w:rPr>
          <w:sz w:val="20"/>
          <w:szCs w:val="20"/>
        </w:rPr>
        <w:t xml:space="preserve">[33] Patterson, D., Gonzalez, J., Le, Q., Liang, C., Munguia, L. M., et al. (2021). Carbon emissions and large neural network training. arXiv preprint arXiv:2104.10350.</w:t>
      </w:r>
    </w:p>
    <w:p>
      <w:pPr>
        <w:pStyle w:val="Normal"/>
        <w:spacing w:after="60"/>
      </w:pPr>
      <w:r>
        <w:rPr>
          <w:sz w:val="20"/>
          <w:szCs w:val="20"/>
        </w:rPr>
        <w:t xml:space="preserve">[34] Schwartz, R., Dodge, J., Smith, N. A., &amp; Etzioni, O. (2020). Green AI. Communications of the ACM, 63(12), 54-63.</w:t>
      </w:r>
    </w:p>
    <w:p>
      <w:pPr>
        <w:pStyle w:val="Normal"/>
        <w:spacing w:after="60"/>
      </w:pPr>
      <w:r>
        <w:rPr>
          <w:sz w:val="20"/>
          <w:szCs w:val="20"/>
        </w:rPr>
        <w:t xml:space="preserve">[35] Tambe, P., Cappelli, P., &amp; Yakubovich, V. (2019). Artificial intelligence in human resources management: Challenges and a path forward. California Management Review, 61(4), 15-42.</w:t>
      </w:r>
    </w:p>
    <w:p>
      <w:pPr>
        <w:pStyle w:val="Normal"/>
        <w:spacing w:after="60"/>
      </w:pPr>
      <w:r>
        <w:rPr>
          <w:sz w:val="20"/>
          <w:szCs w:val="20"/>
        </w:rPr>
        <w:t xml:space="preserve">[36] Bersin, J. (2024). The definitive guide to AI in HR: 2024 edition. Josh Bersin Academy Publications.</w:t>
      </w:r>
    </w:p>
    <w:p>
      <w:pPr>
        <w:pStyle w:val="Normal"/>
        <w:spacing w:after="60"/>
      </w:pPr>
      <w:r>
        <w:rPr>
          <w:sz w:val="20"/>
          <w:szCs w:val="20"/>
        </w:rPr>
        <w:t xml:space="preserve">[37] Kellogg, K. C., Valentine, M. A., &amp; Christin, A. (2020). Algorithms at work: The new contested terrain of control. Academy of Management Annals, 14(1), 366-410.</w:t>
      </w:r>
    </w:p>
    <w:p>
      <w:pPr>
        <w:pStyle w:val="Normal"/>
        <w:spacing w:after="60"/>
      </w:pPr>
      <w:r>
        <w:rPr>
          <w:sz w:val="20"/>
          <w:szCs w:val="20"/>
        </w:rPr>
        <w:t xml:space="preserve">[38] Obermeyer, Z., Powers, B., Vogeli, C., &amp; Mullainathan, S. (2019). Dissecting racial bias in an algorithm used to manage the health of populations. Science, 366(6464), 447-453.</w:t>
      </w:r>
    </w:p>
    <w:p>
      <w:pPr>
        <w:pStyle w:val="Normal"/>
        <w:spacing w:after="60"/>
      </w:pPr>
      <w:r>
        <w:rPr>
          <w:sz w:val="20"/>
          <w:szCs w:val="20"/>
        </w:rPr>
        <w:t xml:space="preserve">[39] Raghavan, M., Barocas, S., Kleinberg, J., &amp; Levy, K. (2020). Mitigating bias in algorithmic hiring: Evaluating claims and practices. FAT* 2020, 469-481.</w:t>
      </w:r>
    </w:p>
    <w:p>
      <w:pPr>
        <w:pStyle w:val="Normal"/>
        <w:spacing w:after="60"/>
      </w:pPr>
      <w:r>
        <w:rPr>
          <w:sz w:val="20"/>
          <w:szCs w:val="20"/>
        </w:rPr>
        <w:t xml:space="preserve">[40] Bogen, M., &amp; Rieke, A. (2018). Help wanted: An examination of hiring algorithms, equity, and bias. Upturn Report.</w:t>
      </w:r>
    </w:p>
    <w:p>
      <w:pPr>
        <w:pStyle w:val="Normal"/>
        <w:spacing w:after="60"/>
      </w:pPr>
      <w:r>
        <w:rPr>
          <w:sz w:val="20"/>
          <w:szCs w:val="20"/>
        </w:rPr>
        <w:t xml:space="preserve">[41] Ajunwa, I. (2020). The paradox of automation as anti-bias intervention. Cardozo Law Review, 41(5), 1671-1742.</w:t>
      </w:r>
    </w:p>
    <w:p>
      <w:pPr>
        <w:pStyle w:val="Normal"/>
        <w:spacing w:after="60"/>
      </w:pPr>
      <w:r>
        <w:rPr>
          <w:sz w:val="20"/>
          <w:szCs w:val="20"/>
        </w:rPr>
        <w:t xml:space="preserve">[42] Dwork, C., &amp; Roth, A. (2014). The algorithmic foundations of differential privacy. Foundations and Trends in Theoretical Computer Science, 9(3-4), 211-407.</w:t>
      </w:r>
    </w:p>
    <w:p>
      <w:pPr>
        <w:pStyle w:val="Normal"/>
        <w:spacing w:after="60"/>
      </w:pPr>
      <w:r>
        <w:rPr>
          <w:sz w:val="20"/>
          <w:szCs w:val="20"/>
        </w:rPr>
        <w:t xml:space="preserve">[43] McMahan, H. B., Moore, E., Ramage, D., Hampson, S., &amp; Arcas, B. A. (2017). Communication-efficient learning of deep networks from decentralized data. AISTATS 2017, 1273-1282.</w:t>
      </w:r>
    </w:p>
    <w:p>
      <w:pPr>
        <w:pStyle w:val="Normal"/>
        <w:spacing w:after="60"/>
      </w:pPr>
      <w:r>
        <w:rPr>
          <w:sz w:val="20"/>
          <w:szCs w:val="20"/>
        </w:rPr>
        <w:t xml:space="preserve">[44] Jobin, A., Ienca, M., &amp; Vayena, E. (2019). The global landscape of AI ethics guidelines. Nature Machine Intelligence, 1(9), 389-399.</w:t>
      </w:r>
    </w:p>
    <w:p>
      <w:pPr>
        <w:pStyle w:val="Normal"/>
        <w:spacing w:after="60"/>
      </w:pPr>
      <w:r>
        <w:rPr>
          <w:sz w:val="20"/>
          <w:szCs w:val="20"/>
        </w:rPr>
        <w:t xml:space="preserve">[45] Mittelstadt, B. (2019). Principles alone cannot guarantee ethical AI. Nature Machine Intelligence, 1(11), 501-507.</w:t>
      </w:r>
    </w:p>
    <w:p>
      <w:pPr>
        <w:pStyle w:val="Normal"/>
        <w:spacing w:after="60"/>
      </w:pPr>
      <w:r>
        <w:rPr>
          <w:sz w:val="20"/>
          <w:szCs w:val="20"/>
        </w:rPr>
        <w:t xml:space="preserve">[46] Arrieta, A. B., Diaz-Rodriguez, N., Del Ser, J., Bennetot, A., Tabik, S., et al. (2020). Explainable artificial intelligence (XAI): Concepts, taxonomies, opportunities and challenges. Information Fusion, 58, 82-115.</w:t>
      </w:r>
    </w:p>
    <w:p>
      <w:pPr>
        <w:pStyle w:val="Normal"/>
        <w:spacing w:after="60"/>
      </w:pPr>
      <w:r>
        <w:rPr>
          <w:sz w:val="20"/>
          <w:szCs w:val="20"/>
        </w:rPr>
        <w:t xml:space="preserve">[47] Raji, I. D., Smart, A., White, R. N., Mitchell, M., Gebru, T., et al. (2020). Closing the AI accountability gap: Defining an end-to-end framework for internal algorithmic auditing. FAT* 2020, 33-44.</w:t>
      </w:r>
    </w:p>
    <w:p>
      <w:pPr>
        <w:pStyle w:val="Normal"/>
        <w:spacing w:after="60"/>
      </w:pPr>
      <w:r>
        <w:rPr>
          <w:sz w:val="20"/>
          <w:szCs w:val="20"/>
        </w:rPr>
        <w:t xml:space="preserve">[48] European Commission. (2024). The EU Artificial Intelligence Act: Final consolidated text. Official Journal of the European Union.</w:t>
      </w:r>
    </w:p>
    <w:p>
      <w:pPr>
        <w:pStyle w:val="Normal"/>
        <w:spacing w:after="60"/>
      </w:pPr>
      <w:r>
        <w:rPr>
          <w:sz w:val="20"/>
          <w:szCs w:val="20"/>
        </w:rPr>
        <w:t xml:space="preserve">[49] European Parliament. (2024). Regulation on artificial intelligence (AI Act): Implementation guidelines for employment applications. Brussels: EU Publications.</w:t>
      </w:r>
    </w:p>
    <w:p>
      <w:pPr>
        <w:pStyle w:val="Normal"/>
        <w:spacing w:after="60"/>
      </w:pPr>
      <w:r>
        <w:rPr>
          <w:sz w:val="20"/>
          <w:szCs w:val="20"/>
        </w:rPr>
        <w:t xml:space="preserve">[50] Shneiderman, B. (2022). Human-centered AI. Oxford University Press.</w:t>
      </w:r>
    </w:p>
    <w:p>
      <w:pPr>
        <w:pStyle w:val="Normal"/>
        <w:spacing w:after="60"/>
      </w:pPr>
      <w:r>
        <w:rPr>
          <w:sz w:val="20"/>
          <w:szCs w:val="20"/>
        </w:rPr>
        <w:t xml:space="preserve">[51] Brynjolfsson, E., &amp; McAfee, A. (2017). The business of artificial intelligence. Harvard Business Review, 95(7), 3-11.</w:t>
      </w:r>
    </w:p>
    <w:p>
      <w:pPr>
        <w:pStyle w:val="Normal"/>
        <w:spacing w:after="60"/>
      </w:pPr>
      <w:r>
        <w:rPr>
          <w:sz w:val="20"/>
          <w:szCs w:val="20"/>
        </w:rPr>
        <w:t xml:space="preserve">[52] Jarrahi, M. H. (2018). Artificial intelligence and the future of work: Human-AI symbiosis in organizational decision making. Business Horizons, 61(4), 577-586.</w:t>
      </w:r>
    </w:p>
    <w:p>
      <w:pPr>
        <w:pStyle w:val="Normal"/>
        <w:spacing w:after="60"/>
      </w:pPr>
      <w:r>
        <w:rPr>
          <w:sz w:val="20"/>
          <w:szCs w:val="20"/>
        </w:rPr>
        <w:t xml:space="preserve">[53] Kaplan, A., &amp; Haenlein, M. (2019). Siri, Siri, in my hand: Who is the fairest in the land? On the interpretations, illustrations, and implications of artificial intelligence. Business Horizons, 62(1), 15-25.</w:t>
      </w:r>
    </w:p>
    <w:p>
      <w:pPr>
        <w:pStyle w:val="Normal"/>
        <w:spacing w:after="60"/>
      </w:pPr>
      <w:r>
        <w:rPr>
          <w:sz w:val="20"/>
          <w:szCs w:val="20"/>
        </w:rPr>
        <w:t xml:space="preserve">[54] Daugherty, P. R., &amp; Wilson, H. J. (2018). Human + machine: Reimagining work in the age of AI. Harvard Business Press.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Heading1">
    <w:name w:val="heading 1"/>
    <w:basedOn w:val="Normal"/>
    <w:next w:val="Normal"/>
    <w:pPr>
      <w:keepNext/>
      <w:spacing w:before="360" w:after="120"/>
    </w:pPr>
    <w:rPr>
      <w:b/>
      <w:sz w:val="28"/>
      <w:szCs w:val="28"/>
      <w:rFonts w:ascii="Times New Roman" w:hAnsi="Times New Roman"/>
    </w:rPr>
  </w:style>
  <w:style w:type="paragraph" w:styleId="Heading2">
    <w:name w:val="heading 2"/>
    <w:basedOn w:val="Normal"/>
    <w:next w:val="Normal"/>
    <w:pPr>
      <w:keepNext/>
      <w:spacing w:before="240" w:after="120"/>
    </w:pPr>
    <w:rPr>
      <w:b/>
      <w:sz w:val="24"/>
      <w:szCs w:val="24"/>
      <w:rFonts w:ascii="Times New Roman" w:hAnsi="Times New Roman"/>
    </w:rPr>
  </w:style>
  <w:style w:type="paragraph" w:styleId="Heading3">
    <w:name w:val="heading 3"/>
    <w:basedOn w:val="Normal"/>
    <w:next w:val="Normal"/>
    <w:pPr>
      <w:keepNext/>
      <w:spacing w:before="200" w:after="100"/>
    </w:pPr>
    <w:rPr>
      <w:b/>
      <w:i/>
      <w:sz w:val="22"/>
      <w:szCs w:val="22"/>
      <w:rFonts w:ascii="Times New Roman" w:hAnsi="Times New Roman"/>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Figure_1_GenAI_Adoption_BI.png"/>
<Relationship Id="rId3" Type="http://schemas.openxmlformats.org/officeDocument/2006/relationships/image" Target="media/Figure_2_AI_Human_Capital_Framework.png"/>
<Relationship Id="rId4" Type="http://schemas.openxmlformats.org/officeDocument/2006/relationships/image" Target="media/Figure_3_Risk_Assessment_Matrix.png"/>
<Relationship Id="rId5" Type="http://schemas.openxmlformats.org/officeDocument/2006/relationships/image" Target="media/Figure_4_AI_Sustainability_Trajectory.png"/>
</Relationships>
</file>