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Chapter 18. AI Applications in Disease-Specific Pharmacology</w:t>
      </w:r>
    </w:p>
    <w:p>
      <w:pPr>
        <w:pStyle w:val="Heading1"/>
      </w:pPr>
      <w:r>
        <w:t xml:space="preserve">Abstract</w:t>
      </w:r>
    </w:p>
    <w:p>
      <w:pPr>
        <w:pStyle w:val="Normal"/>
      </w:pPr>
      <w:r>
        <w:t xml:space="preserve">Artificial intelligence (AI) has evolved from a peripheral analytical aid into a central engine driving contemporary pharmacology across virtually every therapeutic area. This chapter examines how machine learning, deep learning, and increasingly agentic AI systems are transforming disease-specific drug discovery, development, and clinical decision-making. It surveys three broad domains that together account for the overwhelming majority of the global disease burden: cardiovascular and respiratory pharmacology, cancer pharmacology and precision oncology, and the intertwined fields of neurological, metabolic, and infectious disease therapeutics. Within cardiovascular medicine, AI now guides antihypertensive and antithrombotic dosing, predicts adverse drug reactions, and stratifies heart-failure populations for tailored pharmacotherapy, while in respiratory care it optimizes inhaled therapies and anticipates exacerbations of asthma and chronic obstructive pulmonary disease. In oncology, computational models integrate genomic, transcriptomic, radiomic, and histopathological data to match patients to targeted agents and immunotherapies, forecast resistance, and design rational combination regimens. Across neurological, metabolic, and infectious diseases, AI accelerates the identification of disease-modifying molecules, personalizes glycemic and lipid control, and enables rapid antimicrobial and antiviral discovery in the face of emerging pathogens and rising resistance. The chapter emphasizes the practical mechanics of these systems, the data infrastructures that make them possible, and the validation frameworks required to translate algorithms into safe, equitable, and clinically meaningful therapeutics. Throughout, it stresses that the value of these methods derives not from algorithmic novelty alone but from their disciplined integration with pharmacological mechanism, clinical workflow, and prospective evidence. It closes by considering persistent challenges, including data heterogeneity, interpretability, regulatory oversight, algorithmic equity, and the pressing need for prospective clinical trials, arguing that the responsible integration of AI promises a genuinely personalized and mechanistically grounded pharmacology for the diseases that matter most to public health.</w:t>
      </w:r>
    </w:p>
    <w:p>
      <w:pPr>
        <w:pStyle w:val="Heading1"/>
      </w:pPr>
      <w:r>
        <w:t xml:space="preserve">18.1 Cardiovascular and Respiratory Pharmacology</w:t>
      </w:r>
    </w:p>
    <w:p>
      <w:pPr>
        <w:pStyle w:val="Normal"/>
      </w:pPr>
      <w:r>
        <w:t xml:space="preserve">Cardiovascular and respiratory diseases together constitute the leading causes of morbidity and mortality worldwide, and the pharmacological management of these conditions has historically relied on population-averaged dosing and reactive treatment paradigms. The infusion of artificial intelligence into this space is reshaping how clinicians select agents, titrate doses, and anticipate adverse events, moving therapy toward a more anticipatory and individualized footing [1]. Machine learning models trained on large electronic health record repositories, wearable-device telemetry, and pharmacogenomic datasets now support decisions that were once dependent solely on clinical intuition and static guideline thresholds [1]. The distinguishing feature of these systems is their capacity to learn from the vast, messy, and longitudinal data that accumulate during routine care, extracting signal that is invisible to the summary statistics on which conventional guidelines are built.</w:t>
      </w:r>
    </w:p>
    <w:p>
      <w:pPr>
        <w:pStyle w:val="Normal"/>
      </w:pPr>
      <w:r>
        <w:t xml:space="preserve">The clinical rationale for this shift is compelling. Cardiovascular pharmacotherapy is characterized by narrow therapeutic windows, pronounced interpatient variability, and a heavy burden of polypharmacy, all of which conspire to make optimal dosing difficult to achieve through rule-based protocols. Respiratory disease, meanwhile, is episodic and heterogeneous, punctuated by acute exacerbations that could often be prevented if only they could be predicted. In both cases, AI offers a means of converting the deluge of digital health data into timely, actionable, and patient-specific guidance [1]. The sections that follow examine the maturing applications of these methods, first in cardiovascular pharmacotherapy and then in the pharmacological management of airway disease.</w:t>
      </w:r>
    </w:p>
    <w:p>
      <w:pPr>
        <w:pStyle w:val="Normal"/>
      </w:pPr>
      <w:r>
        <w:t xml:space="preserve">It is worth situating this transformation within the wider trajectory of computational medicine. The premise underlying precision cardiovascular care is that the integration of diverse data streams—genomic, proteomic, imaging, and continuous physiological signals—permits therapy to be calibrated to the individual rather than the average [1]. For much of the past two decades this vision outran the tools available to realize it, but the maturation of scalable machine learning, together with the proliferation of digital health infrastructure, has brought the enabling technology into alignment with the aspiration. The practical consequence is that cardiovascular and respiratory pharmacology now function as a natural laboratory for computational therapeutics, both because their diseases are common enough to generate the large datasets that learning demands and because their outcomes are measured with an objectivity that facilitates model training and evaluation. Predictive modeling of incident disease—forecasting, for example, which normotensive individuals will develop hypertension within the coming year—illustrates how these data can be marshaled not only to treat established disease but to anticipate its onset and to intervene pharmacologically at the earliest and most tractable stage [2].</w:t>
      </w:r>
    </w:p>
    <w:p>
      <w:pPr>
        <w:pStyle w:val="Heading2"/>
      </w:pPr>
      <w:r>
        <w:t xml:space="preserve">18.1.1 AI in Cardiovascular Pharmacotherapy</w:t>
      </w:r>
    </w:p>
    <w:p>
      <w:pPr>
        <w:pStyle w:val="Normal"/>
      </w:pPr>
      <w:r>
        <w:t xml:space="preserve">Hypertension remains the single most prevalent modifiable cardiovascular risk factor, and its pharmacological control is complicated by substantial interpatient variability in drug response. Supervised learning algorithms, including gradient-boosted decision trees and regularized regression models, have been trained to predict which antihypertensive class—diuretic, calcium-channel blocker, angiotensin-converting enzyme inhibitor, or angiotensin receptor blocker—will most effectively lower blood pressure in a given patient based on demographic, biochemical, and genetic features [2]. Such models routinely outperform conventional stepped-care algorithms in retrospective validation, reducing the time to blood-pressure control and the cumulative exposure to ineffective agents [3]. By learning nonlinear interactions among plasma renin activity, sodium handling, and receptor polymorphisms, these systems approximate the mechanistic heterogeneity that guideline-based care tends to flatten into a single treatment ladder [3].</w:t>
      </w:r>
    </w:p>
    <w:p>
      <w:pPr>
        <w:pStyle w:val="Normal"/>
      </w:pPr>
      <w:r>
        <w:t xml:space="preserve">The value of this approach is not merely statistical. Uncontrolled hypertension is the product of a therapeutic trial-and-error process in which patients cycle through agents over months, accumulating side effects and losing confidence in treatment. A model that identifies the most likely effective agent at the outset compresses this process, shortening the interval to control and improving the adherence that ultimately determines outcome. When such models are integrated with home blood-pressure telemonitoring, they can trigger dose adjustments in near real time, transforming hypertension management from an episodic clinic-based activity into a continuous, data-driven collaboration between patient and system [2].</w:t>
      </w:r>
    </w:p>
    <w:p>
      <w:pPr>
        <w:pStyle w:val="Normal"/>
      </w:pPr>
      <w:r>
        <w:t xml:space="preserve">Anticoagulation represents a second domain where AI has demonstrated tangible clinical value. Warfarin dosing is notoriously difficult because of its narrow therapeutic index and pronounced influence from CYP2C9 and VKORC1 genotypes. Pharmacogenomic dosing algorithms that incorporate machine learning have been shown to predict stable maintenance doses more accurately than clinical algorithms alone, decreasing the incidence of both supratherapeutic and subtherapeutic international normalized ratios [4]. The clinical consequence is a meaningful reduction in the bleeding and thromboembolic events that make anticoagulation one of the most hazardous therapies in routine use. More recently, reinforcement learning frameworks have been proposed to manage anticoagulation dynamically, treating dose adjustment as a sequential decision problem in which the agent learns a policy that maximizes time in therapeutic range while penalizing bleeding and thrombotic events [5]. This sequential formulation captures the temporal dependencies that static regression models overlook and aligns naturally with the iterative nature of clinical titration.</w:t>
      </w:r>
    </w:p>
    <w:p>
      <w:pPr>
        <w:pStyle w:val="Normal"/>
      </w:pPr>
      <w:r>
        <w:t xml:space="preserve">The reinforcement learning paradigm has broader resonance in cardiovascular and critical care. The framing of dosing as a Markov decision process, in which the state comprises the patient's evolving physiology and the action is a therapeutic adjustment, has been applied to the management of vasopressors and fluids in circulatory shock, where sequential decisions compound over time and the consequences of error are severe [5]. Although these systems remain largely investigational and demand rigorous prospective evaluation before bedside deployment, they exemplify a conceptual advance: the treatment of pharmacotherapy not as a one-time choice but as a trajectory to be optimized over the course of an illness [5].</w:t>
      </w:r>
    </w:p>
    <w:p>
      <w:pPr>
        <w:pStyle w:val="Normal"/>
      </w:pPr>
      <w:r>
        <w:t xml:space="preserve">Heart failure pharmacology has benefited from AI-driven phenotyping. Unsupervised clustering of patients with preserved ejection fraction, using multidimensional data spanning echocardiographic strain, natriuretic peptide levels, and comorbidity profiles, has revealed distinct pharmacological response subgroups that respond differentially to mineralocorticoid receptor antagonists and sodium–glucose cotransporter-2 inhibitors [6]. These data-derived phenotypes offer a rational basis for enrichment strategies in clinical trials and for individualized therapy in practice, addressing the long-standing frustration that heart failure with preserved ejection fraction has resisted uniform treatment approaches [6]. By dissolving a clinically defined syndrome into its constituent biological subtypes, phenomapping realigns therapy with the underlying pathophysiology rather than with a convenient but heterogeneous label.</w:t>
      </w:r>
    </w:p>
    <w:p>
      <w:pPr>
        <w:pStyle w:val="Normal"/>
      </w:pPr>
      <w:r>
        <w:t xml:space="preserve">The pharmacological implications of phenomapping extend beyond trial design. When a heart-failure population is resolved into biologically coherent clusters, the differential efficacy of agents such as mineralocorticoid receptor antagonists and sodium–glucose cotransporter-2 inhibitors across those clusters becomes interpretable rather than merely empirical, and the clinician gains a principled basis for choosing among therapies that guidelines would otherwise recommend indiscriminately [6]. This is a recurring benefit of unsupervised learning in pharmacology: by revealing structure that clinical taxonomy has obscured, it converts a heterogeneous average treatment effect into a set of more homogeneous, and therefore more actionable, subgroup effects. The same logic that motivates molecular subtyping in oncology thus finds a natural application in the syndromic diseases of cardiology, where a single clinical label frequently conceals several distinct disorders with divergent optimal therapies [6].</w:t>
      </w:r>
    </w:p>
    <w:p>
      <w:pPr>
        <w:pStyle w:val="Normal"/>
      </w:pPr>
      <w:r>
        <w:t xml:space="preserve">Table 1 summarizes representative AI applications across major cardiovascular pharmacology tasks, illustrating the diversity of algorithmic approaches and their reported clinical benefits. As the table makes clear, the field spans supervised prediction, unsupervised phenotyping, and sequential decision-making, each suited to a distinct class of pharmacological problem.</w:t>
      </w:r>
    </w:p>
    <w:p>
      <w:pPr>
        <w:pStyle w:val="TableCaption"/>
      </w:pPr>
      <w:r>
        <w:t xml:space="preserve">Table 1. Representative AI applications in cardiovascular pharmacotherapy.</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shd w:val="clear" w:color="auto" w:fill="D9E2F3"/>
            <w:vAlign w:val="center"/>
          </w:tcPr>
          <w:p>
            <w:pPr>
              <w:jc w:val="center"/>
              <w:spacing w:after="20"/>
            </w:pPr>
            <w:r>
              <w:rPr>
                <w:b/>
              </w:rPr>
              <w:t xml:space="preserve">Pharmacology Task</w:t>
            </w:r>
          </w:p>
        </w:tc>
        <w:tc>
          <w:tcPr>
            <w:shd w:val="clear" w:color="auto" w:fill="D9E2F3"/>
            <w:vAlign w:val="center"/>
          </w:tcPr>
          <w:p>
            <w:pPr>
              <w:jc w:val="center"/>
              <w:spacing w:after="20"/>
            </w:pPr>
            <w:r>
              <w:rPr>
                <w:b/>
              </w:rPr>
              <w:t xml:space="preserve">Data Inputs</w:t>
            </w:r>
          </w:p>
        </w:tc>
        <w:tc>
          <w:tcPr>
            <w:shd w:val="clear" w:color="auto" w:fill="D9E2F3"/>
            <w:vAlign w:val="center"/>
          </w:tcPr>
          <w:p>
            <w:pPr>
              <w:jc w:val="center"/>
              <w:spacing w:after="20"/>
            </w:pPr>
            <w:r>
              <w:rPr>
                <w:b/>
              </w:rPr>
              <w:t xml:space="preserve">AI Approach</w:t>
            </w:r>
          </w:p>
        </w:tc>
        <w:tc>
          <w:tcPr>
            <w:shd w:val="clear" w:color="auto" w:fill="D9E2F3"/>
            <w:vAlign w:val="center"/>
          </w:tcPr>
          <w:p>
            <w:pPr>
              <w:jc w:val="center"/>
              <w:spacing w:after="20"/>
            </w:pPr>
            <w:r>
              <w:rPr>
                <w:b/>
              </w:rPr>
              <w:t xml:space="preserve">Reported Benefit</w:t>
            </w:r>
          </w:p>
        </w:tc>
      </w:tr>
      <w:tr>
        <w:tc>
          <w:tcPr>
            <w:vAlign w:val="center"/>
          </w:tcPr>
          <w:p>
            <w:pPr>
              <w:jc w:val="left"/>
              <w:spacing w:after="20"/>
            </w:pPr>
            <w:r>
              <w:t xml:space="preserve">Antihypertensive selection</w:t>
            </w:r>
          </w:p>
        </w:tc>
        <w:tc>
          <w:tcPr>
            <w:vAlign w:val="center"/>
          </w:tcPr>
          <w:p>
            <w:pPr>
              <w:jc w:val="left"/>
              <w:spacing w:after="20"/>
            </w:pPr>
            <w:r>
              <w:t xml:space="preserve">Demographics, labs, genotype</w:t>
            </w:r>
          </w:p>
        </w:tc>
        <w:tc>
          <w:tcPr>
            <w:vAlign w:val="center"/>
          </w:tcPr>
          <w:p>
            <w:pPr>
              <w:jc w:val="left"/>
              <w:spacing w:after="20"/>
            </w:pPr>
            <w:r>
              <w:t xml:space="preserve">Gradient-boosted trees</w:t>
            </w:r>
          </w:p>
        </w:tc>
        <w:tc>
          <w:tcPr>
            <w:vAlign w:val="center"/>
          </w:tcPr>
          <w:p>
            <w:pPr>
              <w:jc w:val="left"/>
              <w:spacing w:after="20"/>
            </w:pPr>
            <w:r>
              <w:t xml:space="preserve">Faster time to BP control</w:t>
            </w:r>
          </w:p>
        </w:tc>
      </w:tr>
      <w:tr>
        <w:tc>
          <w:tcPr>
            <w:vAlign w:val="center"/>
          </w:tcPr>
          <w:p>
            <w:pPr>
              <w:jc w:val="left"/>
              <w:spacing w:after="20"/>
            </w:pPr>
            <w:r>
              <w:t xml:space="preserve">Warfarin dose prediction</w:t>
            </w:r>
          </w:p>
        </w:tc>
        <w:tc>
          <w:tcPr>
            <w:vAlign w:val="center"/>
          </w:tcPr>
          <w:p>
            <w:pPr>
              <w:jc w:val="left"/>
              <w:spacing w:after="20"/>
            </w:pPr>
            <w:r>
              <w:t xml:space="preserve">CYP2C9, VKORC1, clinical</w:t>
            </w:r>
          </w:p>
        </w:tc>
        <w:tc>
          <w:tcPr>
            <w:vAlign w:val="center"/>
          </w:tcPr>
          <w:p>
            <w:pPr>
              <w:jc w:val="left"/>
              <w:spacing w:after="20"/>
            </w:pPr>
            <w:r>
              <w:t xml:space="preserve">Regression / neural networks</w:t>
            </w:r>
          </w:p>
        </w:tc>
        <w:tc>
          <w:tcPr>
            <w:vAlign w:val="center"/>
          </w:tcPr>
          <w:p>
            <w:pPr>
              <w:jc w:val="left"/>
              <w:spacing w:after="20"/>
            </w:pPr>
            <w:r>
              <w:t xml:space="preserve">Higher time in therapeutic range</w:t>
            </w:r>
          </w:p>
        </w:tc>
      </w:tr>
      <w:tr>
        <w:tc>
          <w:tcPr>
            <w:vAlign w:val="center"/>
          </w:tcPr>
          <w:p>
            <w:pPr>
              <w:jc w:val="left"/>
              <w:spacing w:after="20"/>
            </w:pPr>
            <w:r>
              <w:t xml:space="preserve">Dynamic anticoagulation</w:t>
            </w:r>
          </w:p>
        </w:tc>
        <w:tc>
          <w:tcPr>
            <w:vAlign w:val="center"/>
          </w:tcPr>
          <w:p>
            <w:pPr>
              <w:jc w:val="left"/>
              <w:spacing w:after="20"/>
            </w:pPr>
            <w:r>
              <w:t xml:space="preserve">Longitudinal INR, events</w:t>
            </w:r>
          </w:p>
        </w:tc>
        <w:tc>
          <w:tcPr>
            <w:vAlign w:val="center"/>
          </w:tcPr>
          <w:p>
            <w:pPr>
              <w:jc w:val="left"/>
              <w:spacing w:after="20"/>
            </w:pPr>
            <w:r>
              <w:t xml:space="preserve">Reinforcement learning</w:t>
            </w:r>
          </w:p>
        </w:tc>
        <w:tc>
          <w:tcPr>
            <w:vAlign w:val="center"/>
          </w:tcPr>
          <w:p>
            <w:pPr>
              <w:jc w:val="left"/>
              <w:spacing w:after="20"/>
            </w:pPr>
            <w:r>
              <w:t xml:space="preserve">Reduced bleeding and clotting events</w:t>
            </w:r>
          </w:p>
        </w:tc>
      </w:tr>
      <w:tr>
        <w:tc>
          <w:tcPr>
            <w:vAlign w:val="center"/>
          </w:tcPr>
          <w:p>
            <w:pPr>
              <w:jc w:val="left"/>
              <w:spacing w:after="20"/>
            </w:pPr>
            <w:r>
              <w:t xml:space="preserve">HFpEF phenotyping</w:t>
            </w:r>
          </w:p>
        </w:tc>
        <w:tc>
          <w:tcPr>
            <w:vAlign w:val="center"/>
          </w:tcPr>
          <w:p>
            <w:pPr>
              <w:jc w:val="left"/>
              <w:spacing w:after="20"/>
            </w:pPr>
            <w:r>
              <w:t xml:space="preserve">Echo strain, biomarkers</w:t>
            </w:r>
          </w:p>
        </w:tc>
        <w:tc>
          <w:tcPr>
            <w:vAlign w:val="center"/>
          </w:tcPr>
          <w:p>
            <w:pPr>
              <w:jc w:val="left"/>
              <w:spacing w:after="20"/>
            </w:pPr>
            <w:r>
              <w:t xml:space="preserve">Unsupervised clustering</w:t>
            </w:r>
          </w:p>
        </w:tc>
        <w:tc>
          <w:tcPr>
            <w:vAlign w:val="center"/>
          </w:tcPr>
          <w:p>
            <w:pPr>
              <w:jc w:val="left"/>
              <w:spacing w:after="20"/>
            </w:pPr>
            <w:r>
              <w:t xml:space="preserve">Subgroup-tailored therapy</w:t>
            </w:r>
          </w:p>
        </w:tc>
      </w:tr>
      <w:tr>
        <w:tc>
          <w:tcPr>
            <w:vAlign w:val="center"/>
          </w:tcPr>
          <w:p>
            <w:pPr>
              <w:jc w:val="left"/>
              <w:spacing w:after="20"/>
            </w:pPr>
            <w:r>
              <w:t xml:space="preserve">QT-prolongation risk</w:t>
            </w:r>
          </w:p>
        </w:tc>
        <w:tc>
          <w:tcPr>
            <w:vAlign w:val="center"/>
          </w:tcPr>
          <w:p>
            <w:pPr>
              <w:jc w:val="left"/>
              <w:spacing w:after="20"/>
            </w:pPr>
            <w:r>
              <w:t xml:space="preserve">ECG, drug list, electrolytes</w:t>
            </w:r>
          </w:p>
        </w:tc>
        <w:tc>
          <w:tcPr>
            <w:vAlign w:val="center"/>
          </w:tcPr>
          <w:p>
            <w:pPr>
              <w:jc w:val="left"/>
              <w:spacing w:after="20"/>
            </w:pPr>
            <w:r>
              <w:t xml:space="preserve">Deep neural network</w:t>
            </w:r>
          </w:p>
        </w:tc>
        <w:tc>
          <w:tcPr>
            <w:vAlign w:val="center"/>
          </w:tcPr>
          <w:p>
            <w:pPr>
              <w:jc w:val="left"/>
              <w:spacing w:after="20"/>
            </w:pPr>
            <w:r>
              <w:t xml:space="preserve">Proactive avoidance of arrhythmia</w:t>
            </w:r>
          </w:p>
        </w:tc>
      </w:tr>
    </w:tbl>
    <w:p>
      <w:pPr>
        <w:spacing w:after="120"/>
      </w:pPr>
    </w:p>
    <w:p>
      <w:pPr>
        <w:pStyle w:val="Normal"/>
      </w:pPr>
      <w:r>
        <w:t xml:space="preserve">Deep learning applied to the twelve-lead electrocardiogram has extended the reach of cardiovascular AI still further, enabling the detection of subclinical left-ventricular dysfunction from a routine tracing and prompting earlier initiation of guideline-directed medical therapy before overt symptoms emerge [7]. The same electrocardiographic deep-learning approach can identify patients with intermittent atrial fibrillation during periods of sinus rhythm, informing decisions about anticoagulation in cryptogenic stroke and illustrating how a single, inexpensive, and ubiquitous test can be mined by AI for pharmacologically actionable information [7]. These capabilities effectively convert the electrocardiogram into a screening biomarker for conditions whose treatment hinges on early recognition.</w:t>
      </w:r>
    </w:p>
    <w:p>
      <w:pPr>
        <w:pStyle w:val="Normal"/>
      </w:pPr>
      <w:r>
        <w:t xml:space="preserve">The prediction of adverse drug reactions is a particularly consequential application. Drug-induced QT prolongation, a precursor to torsades de pointes, can be forecast by neural networks that combine baseline electrocardiographic features with concomitant medication lists and electrolyte values, allowing clinicians to avoid dangerous drug combinations proactively [8]. This capability is especially valuable in the polypharmacy that characterizes older cardiovascular patients, in whom the additive QT effects of multiple agents are difficult to reason about manually. Complementary work using natural language processing to mine the free text of clinical notes has improved the detection of medication-related harm that structured data alone would miss, surfacing adverse events buried in narrative documentation and feeding pharmacovigilance systems that operate at the scale of entire health systems [8]. Figure 1 depicts a generalized clinical decision-support pipeline in which multimodal patient data are ingested, processed by predictive models, and returned to the clinician as actionable pharmacotherapeutic recommendations, with a feedback loop that allows the system to learn continuously from observed outcomes.</w:t>
      </w:r>
    </w:p>
    <w:p>
      <w:pPr>
        <w:pStyle w:val="FigureImage"/>
      </w:pPr>
      <w:r>
        <w:drawing>
          <wp:inline xmlns:wp="http://schemas.openxmlformats.org/drawingml/2006/wordprocessingDrawing" distT="0" distB="0" distL="0" distR="0">
            <wp:extent cx="5669280" cy="3506002"/>
            <wp:effectExtent l="0" t="0" r="0" b="0"/>
            <wp:docPr id="1" name="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_1"/>
                    <pic:cNvPicPr/>
                  </pic:nvPicPr>
                  <pic:blipFill>
                    <a:blip xmlns:r="http://schemas.openxmlformats.org/officeDocument/2006/relationships" r:embed="rIdImg1"/>
                    <a:stretch>
                      <a:fillRect/>
                    </a:stretch>
                  </pic:blipFill>
                  <pic:spPr>
                    <a:xfrm>
                      <a:off x="0" y="0"/>
                      <a:ext cx="5669280" cy="3506002"/>
                    </a:xfrm>
                    <a:prstGeom prst="rect">
                      <a:avLst/>
                    </a:prstGeom>
                  </pic:spPr>
                </pic:pic>
              </a:graphicData>
            </a:graphic>
          </wp:inline>
        </w:drawing>
      </w:r>
    </w:p>
    <w:p>
      <w:pPr>
        <w:pStyle w:val="FigureCaption"/>
      </w:pPr>
      <w:r>
        <w:t xml:space="preserve">Figure 1. A generalized AI-enabled clinical decision-support pipeline for pharmacotherapy, in which multimodal patient data are ingested, harmonized, and processed by predictive models to generate individualized recommendations, with a continuous feedback loop for learning from observed outcomes.</w:t>
      </w:r>
    </w:p>
    <w:p>
      <w:pPr>
        <w:pStyle w:val="Heading2"/>
      </w:pPr>
      <w:r>
        <w:t xml:space="preserve">18.1.2 AI in Respiratory Pharmacotherapy</w:t>
      </w:r>
    </w:p>
    <w:p>
      <w:pPr>
        <w:pStyle w:val="Normal"/>
      </w:pPr>
      <w:r>
        <w:t xml:space="preserve">Respiratory pharmacology presents its own distinctive challenges, chief among them the difficulty of delivering drugs to the airways reliably and the episodic, exacerbation-prone nature of chronic airway disease. In asthma, machine learning models integrating spirometry, fractional exhaled nitric oxide, symptom diaries, and environmental exposure data can predict impending exacerbations days in advance, creating a window for the preemptive escalation of inhaled corticosteroid or biologic therapy [9]. The clinical significance of such foresight is considerable, because exacerbations drive most of the morbidity, cost, and mortality of asthma, and each one accelerates the decline in lung function. A model that converts an unpredictable crisis into a manageable, anticipated event fundamentally changes the therapeutic posture from reactive to preventive.</w:t>
      </w:r>
    </w:p>
    <w:p>
      <w:pPr>
        <w:pStyle w:val="Normal"/>
      </w:pPr>
      <w:r>
        <w:t xml:space="preserve">These predictive systems are increasingly embedded in connected inhalers that record actuation timing and technique, feeding real-world adherence data back into the model and closing the loop between monitoring and intervention [10]. Poor adherence and faulty inhaler technique are among the most common reasons that airway disease appears refractory to treatment, and by measuring these behaviors directly rather than inferring them from self-report, digital platforms distinguish genuine treatment failure from simple nonadherence. This distinction is pharmacologically crucial, since the appropriate response to the former is escalation of therapy while the response to the latter is education and support, and prescribing more medication to a nonadherent patient merely compounds the problem [10].</w:t>
      </w:r>
    </w:p>
    <w:p>
      <w:pPr>
        <w:pStyle w:val="Normal"/>
      </w:pPr>
      <w:r>
        <w:t xml:space="preserve">The emergence of biologic therapies for severe asthma—monoclonal antibodies targeting immunoglobulin E, interleukin-5, and the interleukin-4 receptor—has created a pressing need for biomarker-guided selection, since these agents are costly and effective only in specific inflammatory phenotypes. AI models that cluster patients by eosinophil counts, immunoglobulin E levels, and transcriptomic signatures help match individuals to the biologic most likely to reduce their exacerbation frequency, thereby improving both outcomes and cost-effectiveness [11]. This phenotype-to-therapy matching mirrors the precision paradigm that has taken hold in oncology and reflects a broader convergence across therapeutic areas, in which the goal is to identify the patient subgroup in whom a mechanistically targeted agent will deliver its greatest benefit [12]. The concept of treatable traits—identifiable, measurable, and treatable characteristics of airway disease—provides a clinical framework that AI is well suited to operationalize, since machine learning excels precisely at recognizing such traits within complex, high-dimensional patient data [12].</w:t>
      </w:r>
    </w:p>
    <w:p>
      <w:pPr>
        <w:pStyle w:val="Normal"/>
      </w:pPr>
      <w:r>
        <w:t xml:space="preserve">Chronic obstructive pulmonary disease (COPD) similarly benefits from AI-enabled risk stratification. Predictive models identify patients at high risk of frequent exacerbations who may benefit from triple inhaled therapy or the addition of macrolide prophylaxis, while distinguishing them from those in whom escalation would add toxicity without benefit [13]. This stratification matters because inhaled corticosteroids in COPD carry a real risk of pneumonia, so the decision to intensify therapy must be weighed carefully against the exacerbation risk it is meant to mitigate. Table 2 presents a comparison of AI approaches applied to asthma and COPD pharmacotherapy, highlighting the input data modalities and the clinical decisions they inform.</w:t>
      </w:r>
    </w:p>
    <w:p>
      <w:pPr>
        <w:pStyle w:val="TableCaption"/>
      </w:pPr>
      <w:r>
        <w:t xml:space="preserve">Table 2. AI approaches in airway disease pharmacotherapy.</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shd w:val="clear" w:color="auto" w:fill="D9E2F3"/>
            <w:vAlign w:val="center"/>
          </w:tcPr>
          <w:p>
            <w:pPr>
              <w:jc w:val="center"/>
              <w:spacing w:after="20"/>
            </w:pPr>
            <w:r>
              <w:rPr>
                <w:b/>
              </w:rPr>
              <w:t xml:space="preserve">Disease</w:t>
            </w:r>
          </w:p>
        </w:tc>
        <w:tc>
          <w:tcPr>
            <w:shd w:val="clear" w:color="auto" w:fill="D9E2F3"/>
            <w:vAlign w:val="center"/>
          </w:tcPr>
          <w:p>
            <w:pPr>
              <w:jc w:val="center"/>
              <w:spacing w:after="20"/>
            </w:pPr>
            <w:r>
              <w:rPr>
                <w:b/>
              </w:rPr>
              <w:t xml:space="preserve">Input Data</w:t>
            </w:r>
          </w:p>
        </w:tc>
        <w:tc>
          <w:tcPr>
            <w:shd w:val="clear" w:color="auto" w:fill="D9E2F3"/>
            <w:vAlign w:val="center"/>
          </w:tcPr>
          <w:p>
            <w:pPr>
              <w:jc w:val="center"/>
              <w:spacing w:after="20"/>
            </w:pPr>
            <w:r>
              <w:rPr>
                <w:b/>
              </w:rPr>
              <w:t xml:space="preserve">Clinical Decision Supported</w:t>
            </w:r>
          </w:p>
        </w:tc>
        <w:tc>
          <w:tcPr>
            <w:shd w:val="clear" w:color="auto" w:fill="D9E2F3"/>
            <w:vAlign w:val="center"/>
          </w:tcPr>
          <w:p>
            <w:pPr>
              <w:jc w:val="center"/>
              <w:spacing w:after="20"/>
            </w:pPr>
            <w:r>
              <w:rPr>
                <w:b/>
              </w:rPr>
              <w:t xml:space="preserve">Modeling Strategy</w:t>
            </w:r>
          </w:p>
        </w:tc>
      </w:tr>
      <w:tr>
        <w:tc>
          <w:tcPr>
            <w:vAlign w:val="center"/>
          </w:tcPr>
          <w:p>
            <w:pPr>
              <w:jc w:val="left"/>
              <w:spacing w:after="20"/>
            </w:pPr>
            <w:r>
              <w:t xml:space="preserve">Asthma</w:t>
            </w:r>
          </w:p>
        </w:tc>
        <w:tc>
          <w:tcPr>
            <w:vAlign w:val="center"/>
          </w:tcPr>
          <w:p>
            <w:pPr>
              <w:jc w:val="left"/>
              <w:spacing w:after="20"/>
            </w:pPr>
            <w:r>
              <w:t xml:space="preserve">Spirometry, FeNO, symptoms, weather</w:t>
            </w:r>
          </w:p>
        </w:tc>
        <w:tc>
          <w:tcPr>
            <w:vAlign w:val="center"/>
          </w:tcPr>
          <w:p>
            <w:pPr>
              <w:jc w:val="left"/>
              <w:spacing w:after="20"/>
            </w:pPr>
            <w:r>
              <w:t xml:space="preserve">Exacerbation preemption</w:t>
            </w:r>
          </w:p>
        </w:tc>
        <w:tc>
          <w:tcPr>
            <w:vAlign w:val="center"/>
          </w:tcPr>
          <w:p>
            <w:pPr>
              <w:jc w:val="left"/>
              <w:spacing w:after="20"/>
            </w:pPr>
            <w:r>
              <w:t xml:space="preserve">Supervised classification</w:t>
            </w:r>
          </w:p>
        </w:tc>
      </w:tr>
      <w:tr>
        <w:tc>
          <w:tcPr>
            <w:vAlign w:val="center"/>
          </w:tcPr>
          <w:p>
            <w:pPr>
              <w:jc w:val="left"/>
              <w:spacing w:after="20"/>
            </w:pPr>
            <w:r>
              <w:t xml:space="preserve">Asthma</w:t>
            </w:r>
          </w:p>
        </w:tc>
        <w:tc>
          <w:tcPr>
            <w:vAlign w:val="center"/>
          </w:tcPr>
          <w:p>
            <w:pPr>
              <w:jc w:val="left"/>
              <w:spacing w:after="20"/>
            </w:pPr>
            <w:r>
              <w:t xml:space="preserve">Eosinophils, IgE, transcriptomics</w:t>
            </w:r>
          </w:p>
        </w:tc>
        <w:tc>
          <w:tcPr>
            <w:vAlign w:val="center"/>
          </w:tcPr>
          <w:p>
            <w:pPr>
              <w:jc w:val="left"/>
              <w:spacing w:after="20"/>
            </w:pPr>
            <w:r>
              <w:t xml:space="preserve">Biologic selection</w:t>
            </w:r>
          </w:p>
        </w:tc>
        <w:tc>
          <w:tcPr>
            <w:vAlign w:val="center"/>
          </w:tcPr>
          <w:p>
            <w:pPr>
              <w:jc w:val="left"/>
              <w:spacing w:after="20"/>
            </w:pPr>
            <w:r>
              <w:t xml:space="preserve">Phenotype clustering</w:t>
            </w:r>
          </w:p>
        </w:tc>
      </w:tr>
      <w:tr>
        <w:tc>
          <w:tcPr>
            <w:vAlign w:val="center"/>
          </w:tcPr>
          <w:p>
            <w:pPr>
              <w:jc w:val="left"/>
              <w:spacing w:after="20"/>
            </w:pPr>
            <w:r>
              <w:t xml:space="preserve">COPD</w:t>
            </w:r>
          </w:p>
        </w:tc>
        <w:tc>
          <w:tcPr>
            <w:vAlign w:val="center"/>
          </w:tcPr>
          <w:p>
            <w:pPr>
              <w:jc w:val="left"/>
              <w:spacing w:after="20"/>
            </w:pPr>
            <w:r>
              <w:t xml:space="preserve">Exacerbation history, spirometry</w:t>
            </w:r>
          </w:p>
        </w:tc>
        <w:tc>
          <w:tcPr>
            <w:vAlign w:val="center"/>
          </w:tcPr>
          <w:p>
            <w:pPr>
              <w:jc w:val="left"/>
              <w:spacing w:after="20"/>
            </w:pPr>
            <w:r>
              <w:t xml:space="preserve">Triple therapy / prophylaxis</w:t>
            </w:r>
          </w:p>
        </w:tc>
        <w:tc>
          <w:tcPr>
            <w:vAlign w:val="center"/>
          </w:tcPr>
          <w:p>
            <w:pPr>
              <w:jc w:val="left"/>
              <w:spacing w:after="20"/>
            </w:pPr>
            <w:r>
              <w:t xml:space="preserve">Risk stratification models</w:t>
            </w:r>
          </w:p>
        </w:tc>
      </w:tr>
      <w:tr>
        <w:tc>
          <w:tcPr>
            <w:vAlign w:val="center"/>
          </w:tcPr>
          <w:p>
            <w:pPr>
              <w:jc w:val="left"/>
              <w:spacing w:after="20"/>
            </w:pPr>
            <w:r>
              <w:t xml:space="preserve">Both</w:t>
            </w:r>
          </w:p>
        </w:tc>
        <w:tc>
          <w:tcPr>
            <w:vAlign w:val="center"/>
          </w:tcPr>
          <w:p>
            <w:pPr>
              <w:jc w:val="left"/>
              <w:spacing w:after="20"/>
            </w:pPr>
            <w:r>
              <w:t xml:space="preserve">Connected inhaler telemetry</w:t>
            </w:r>
          </w:p>
        </w:tc>
        <w:tc>
          <w:tcPr>
            <w:vAlign w:val="center"/>
          </w:tcPr>
          <w:p>
            <w:pPr>
              <w:jc w:val="left"/>
              <w:spacing w:after="20"/>
            </w:pPr>
            <w:r>
              <w:t xml:space="preserve">Adherence and technique feedback</w:t>
            </w:r>
          </w:p>
        </w:tc>
        <w:tc>
          <w:tcPr>
            <w:vAlign w:val="center"/>
          </w:tcPr>
          <w:p>
            <w:pPr>
              <w:jc w:val="left"/>
              <w:spacing w:after="20"/>
            </w:pPr>
            <w:r>
              <w:t xml:space="preserve">Sensor-based analytics</w:t>
            </w:r>
          </w:p>
        </w:tc>
      </w:tr>
      <w:tr>
        <w:tc>
          <w:tcPr>
            <w:vAlign w:val="center"/>
          </w:tcPr>
          <w:p>
            <w:pPr>
              <w:jc w:val="left"/>
              <w:spacing w:after="20"/>
            </w:pPr>
            <w:r>
              <w:t xml:space="preserve">Both</w:t>
            </w:r>
          </w:p>
        </w:tc>
        <w:tc>
          <w:tcPr>
            <w:vAlign w:val="center"/>
          </w:tcPr>
          <w:p>
            <w:pPr>
              <w:jc w:val="left"/>
              <w:spacing w:after="20"/>
            </w:pPr>
            <w:r>
              <w:t xml:space="preserve">Airway CT geometry</w:t>
            </w:r>
          </w:p>
        </w:tc>
        <w:tc>
          <w:tcPr>
            <w:vAlign w:val="center"/>
          </w:tcPr>
          <w:p>
            <w:pPr>
              <w:jc w:val="left"/>
              <w:spacing w:after="20"/>
            </w:pPr>
            <w:r>
              <w:t xml:space="preserve">Device and particle-size choice</w:t>
            </w:r>
          </w:p>
        </w:tc>
        <w:tc>
          <w:tcPr>
            <w:vAlign w:val="center"/>
          </w:tcPr>
          <w:p>
            <w:pPr>
              <w:jc w:val="left"/>
              <w:spacing w:after="20"/>
            </w:pPr>
            <w:r>
              <w:t xml:space="preserve">ML-augmented fluid dynamics</w:t>
            </w:r>
          </w:p>
        </w:tc>
      </w:tr>
    </w:tbl>
    <w:p>
      <w:pPr>
        <w:spacing w:after="120"/>
      </w:pPr>
    </w:p>
    <w:p>
      <w:pPr>
        <w:pStyle w:val="Normal"/>
      </w:pPr>
      <w:r>
        <w:t xml:space="preserve">Beyond exacerbation prediction, computational fluid dynamics coupled with machine learning has been used to model aerosol deposition in patient-specific airway geometries, optimizing inhaler device selection and particle-size distribution to maximize drug delivery to the intended lung regions [14]. Because the fraction of an inhaled dose that actually reaches the small airways can vary enormously with anatomy and technique, this physics-informed personalization addresses one of the most fundamental and underappreciated determinants of respiratory drug efficacy. The marriage of mechanistic simulation with data-driven learning is emblematic of a hybrid modeling philosophy that recurs throughout modern pharmacology, in which known physical laws constrain and inform the flexibility of statistical learning [14].</w:t>
      </w:r>
    </w:p>
    <w:p>
      <w:pPr>
        <w:pStyle w:val="Normal"/>
      </w:pPr>
      <w:r>
        <w:t xml:space="preserve">Pharmacokinetic and pharmacodynamic modeling has also been enriched by AI. Population pharmacokinetic analyses, traditionally reliant on nonlinear mixed-effects modeling, are increasingly augmented by machine learning to identify covariates that explain variability in drug clearance and volume of distribution [15]. For inhaled and systemically absorbed respiratory drugs alike, these hybrid models improve dose individualization, particularly in vulnerable populations such as children and the elderly, where physiological differences complicate standard dosing [15]. Machine learning methods now assist in screening the large candidate covariate spaces that arise in complex pharmacometric models, accelerating an analytical step that historically demanded extensive manual model building and expert judgment [15]. As Figure 1 illustrates in the broader decision-support context, the integration of pharmacokinetic prediction with real-time monitoring data enables truly adaptive dosing regimens that respond to a patient's evolving clinical state rather than to fixed labels [15].</w:t>
      </w:r>
    </w:p>
    <w:p>
      <w:pPr>
        <w:pStyle w:val="Normal"/>
      </w:pPr>
      <w:r>
        <w:t xml:space="preserve">The COVID-19 pandemic underscored the value of rapid AI-driven insight in respiratory pharmacology, as models were deployed to predict which hospitalized patients would progress to respiratory failure and might benefit from immunomodulatory agents such as corticosteroids and interleukin-6 receptor antagonists [16]. A systematic appraisal of these efforts found that many early models were at high risk of bias and poorly validated, exposing important limitations in generalizability and the dangers of deploying algorithms trained on narrow or shifting data [16]. Yet the same period also demonstrated the constructive potential of AI, as generative deep-learning systems proposed candidate therapeutic molecules and repurposing opportunities within remarkably short timeframes, informing the rapid triage of pharmacological options under conditions of acute clinical uncertainty [17]. The lesson of the pandemic was thus twofold: AI can accelerate pharmacological response dramatically, but only rigorous validation prevents that speed from becoming a liability.</w:t>
      </w:r>
    </w:p>
    <w:p>
      <w:pPr>
        <w:pStyle w:val="Heading1"/>
      </w:pPr>
      <w:r>
        <w:t xml:space="preserve">18.2 Cancer Pharmacology and Precision Oncology</w:t>
      </w:r>
    </w:p>
    <w:p>
      <w:pPr>
        <w:pStyle w:val="Normal"/>
      </w:pPr>
      <w:r>
        <w:t xml:space="preserve">Oncology has arguably been the most fertile ground for the application of artificial intelligence in disease-specific pharmacology, driven by the extraordinary molecular heterogeneity of cancer and the corresponding proliferation of targeted and immunological therapies. Precision oncology aspires to match each patient's tumor to the drug or combination most likely to be effective, and AI provides the computational machinery to navigate the combinatorial complexity that this ambition entails [18]. The integration of genomic, transcriptomic, epigenomic, proteomic, radiomic, and histopathological data into unified predictive models represents one of the defining achievements of modern computational pharmacology, and it has moved the field from a single-target, single-drug mentality toward a systems-level view of the tumor as a dynamic and adaptive entity [19].</w:t>
      </w:r>
    </w:p>
    <w:p>
      <w:pPr>
        <w:pStyle w:val="Normal"/>
      </w:pPr>
      <w:r>
        <w:t xml:space="preserve">The scale of the challenge helps explain why oncology has become the proving ground for these methods. A comprehensive tumor profile may report thousands of somatic alterations, expression changes across the entire transcriptome, and complex features extracted from imaging and pathology, and no human clinician can integrate this information manually into a coherent therapeutic plan. AI systems that ingest these heterogeneous data and distill them into ranked, interpretable treatment options have therefore become an operational necessity in leading cancer centers rather than a mere academic curiosity [19]. The subsections that follow trace this capability through the principal domains of oncological pharmacology: genomics-driven therapy selection, immuno-oncology and biomarker prediction, and the prediction of resistance together with the rational design of combinations.</w:t>
      </w:r>
    </w:p>
    <w:p>
      <w:pPr>
        <w:pStyle w:val="Normal"/>
      </w:pPr>
      <w:r>
        <w:t xml:space="preserve">A further reason for oncology's prominence is the maturity of its data ecosystem. Few other therapeutic areas can draw upon reference resources of comparable scale and quality, from large pharmacogenomic screens that pair molecular annotation with quantitative drug response to curated knowledge bases that link specific alterations to approved and investigational therapies. This infrastructure lowers the barrier to developing and validating predictive models, and it creates a virtuous cycle in which each new dataset improves the models that in turn generate hypotheses for the next round of experimentation [18]. The clinical apparatus of oncology, organized around molecular tumor boards that already deliberate over complex multi-omic evidence, provides a ready institutional home for AI-derived recommendations, so that computational output can be embedded into an existing decision-making structure rather than requiring one to be built from scratch [18]. In this sense, oncology exemplifies not only the technical feasibility of AI-guided pharmacology but also the organizational conditions under which it can be adopted responsibly and at scale.</w:t>
      </w:r>
    </w:p>
    <w:p>
      <w:pPr>
        <w:pStyle w:val="Heading2"/>
      </w:pPr>
      <w:r>
        <w:t xml:space="preserve">18.2.1 Genomics-Driven Therapy Selection</w:t>
      </w:r>
    </w:p>
    <w:p>
      <w:pPr>
        <w:pStyle w:val="Normal"/>
      </w:pPr>
      <w:r>
        <w:t xml:space="preserve">The foundation of precision oncology is the identification of actionable molecular alterations that render a tumor susceptible to a specific agent. Machine learning classifiers trained on next-generation sequencing data can distinguish driver mutations from passenger mutations, prioritize variants of uncertain significance, and predict the functional consequences of novel alterations for which no clinical annotation yet exists [20]. These capabilities are indispensable given that the volume of genomic data generated by comprehensive tumor profiling far exceeds the capacity of manual curation, and they allow molecular tumor boards to focus their deliberation on the alterations most likely to be therapeutically relevant [21]. Large-scale characterization efforts that have catalogued the landscape of cancer driver genes provide the labeled training data on which such classifiers depend, and the reciprocal relationship between these reference resources and predictive models continues to sharpen both [21].</w:t>
      </w:r>
    </w:p>
    <w:p>
      <w:pPr>
        <w:pStyle w:val="Normal"/>
      </w:pPr>
      <w:r>
        <w:t xml:space="preserve">Beyond single-gene matching, AI models increasingly predict drug sensitivity directly from multi-omic tumor profiles. Deep neural networks and ensemble methods trained on large pharmacogenomic screening datasets, such as those derived from cancer cell line encyclopedias, learn mappings from molecular features to drug response that generalize to patient-derived samples [22]. The landmark screens that assayed hundreds of compounds across large panels of molecularly annotated cell lines established that drug response is often governed by identifiable genomic markers, furnishing both the biological insight and the training data that data-driven prediction requires [22]. Table 3 catalogs major categories of AI-driven oncology applications, spanning therapy selection, resistance prediction, combination design, and toxicity anticipation, together with the data types and modeling strategies each employs.</w:t>
      </w:r>
    </w:p>
    <w:p>
      <w:pPr>
        <w:pStyle w:val="TableCaption"/>
      </w:pPr>
      <w:r>
        <w:t xml:space="preserve">Table 3. Categories of AI applications in precision oncology.</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shd w:val="clear" w:color="auto" w:fill="D9E2F3"/>
            <w:vAlign w:val="center"/>
          </w:tcPr>
          <w:p>
            <w:pPr>
              <w:jc w:val="center"/>
              <w:spacing w:after="20"/>
            </w:pPr>
            <w:r>
              <w:rPr>
                <w:b/>
              </w:rPr>
              <w:t xml:space="preserve">Application</w:t>
            </w:r>
          </w:p>
        </w:tc>
        <w:tc>
          <w:tcPr>
            <w:shd w:val="clear" w:color="auto" w:fill="D9E2F3"/>
            <w:vAlign w:val="center"/>
          </w:tcPr>
          <w:p>
            <w:pPr>
              <w:jc w:val="center"/>
              <w:spacing w:after="20"/>
            </w:pPr>
            <w:r>
              <w:rPr>
                <w:b/>
              </w:rPr>
              <w:t xml:space="preserve">Primary Data Types</w:t>
            </w:r>
          </w:p>
        </w:tc>
        <w:tc>
          <w:tcPr>
            <w:shd w:val="clear" w:color="auto" w:fill="D9E2F3"/>
            <w:vAlign w:val="center"/>
          </w:tcPr>
          <w:p>
            <w:pPr>
              <w:jc w:val="center"/>
              <w:spacing w:after="20"/>
            </w:pPr>
            <w:r>
              <w:rPr>
                <w:b/>
              </w:rPr>
              <w:t xml:space="preserve">Modeling Strategy</w:t>
            </w:r>
          </w:p>
        </w:tc>
        <w:tc>
          <w:tcPr>
            <w:shd w:val="clear" w:color="auto" w:fill="D9E2F3"/>
            <w:vAlign w:val="center"/>
          </w:tcPr>
          <w:p>
            <w:pPr>
              <w:jc w:val="center"/>
              <w:spacing w:after="20"/>
            </w:pPr>
            <w:r>
              <w:rPr>
                <w:b/>
              </w:rPr>
              <w:t xml:space="preserve">Clinical Objective</w:t>
            </w:r>
          </w:p>
        </w:tc>
      </w:tr>
      <w:tr>
        <w:tc>
          <w:tcPr>
            <w:vAlign w:val="center"/>
          </w:tcPr>
          <w:p>
            <w:pPr>
              <w:jc w:val="left"/>
              <w:spacing w:after="20"/>
            </w:pPr>
            <w:r>
              <w:t xml:space="preserve">Variant interpretation</w:t>
            </w:r>
          </w:p>
        </w:tc>
        <w:tc>
          <w:tcPr>
            <w:vAlign w:val="center"/>
          </w:tcPr>
          <w:p>
            <w:pPr>
              <w:jc w:val="left"/>
              <w:spacing w:after="20"/>
            </w:pPr>
            <w:r>
              <w:t xml:space="preserve">Tumor DNA sequencing</w:t>
            </w:r>
          </w:p>
        </w:tc>
        <w:tc>
          <w:tcPr>
            <w:vAlign w:val="center"/>
          </w:tcPr>
          <w:p>
            <w:pPr>
              <w:jc w:val="left"/>
              <w:spacing w:after="20"/>
            </w:pPr>
            <w:r>
              <w:t xml:space="preserve">Deep classification</w:t>
            </w:r>
          </w:p>
        </w:tc>
        <w:tc>
          <w:tcPr>
            <w:vAlign w:val="center"/>
          </w:tcPr>
          <w:p>
            <w:pPr>
              <w:jc w:val="left"/>
              <w:spacing w:after="20"/>
            </w:pPr>
            <w:r>
              <w:t xml:space="preserve">Prioritize actionable mutations</w:t>
            </w:r>
          </w:p>
        </w:tc>
      </w:tr>
      <w:tr>
        <w:tc>
          <w:tcPr>
            <w:vAlign w:val="center"/>
          </w:tcPr>
          <w:p>
            <w:pPr>
              <w:jc w:val="left"/>
              <w:spacing w:after="20"/>
            </w:pPr>
            <w:r>
              <w:t xml:space="preserve">Drug sensitivity prediction</w:t>
            </w:r>
          </w:p>
        </w:tc>
        <w:tc>
          <w:tcPr>
            <w:vAlign w:val="center"/>
          </w:tcPr>
          <w:p>
            <w:pPr>
              <w:jc w:val="left"/>
              <w:spacing w:after="20"/>
            </w:pPr>
            <w:r>
              <w:t xml:space="preserve">Multi-omic profiles</w:t>
            </w:r>
          </w:p>
        </w:tc>
        <w:tc>
          <w:tcPr>
            <w:vAlign w:val="center"/>
          </w:tcPr>
          <w:p>
            <w:pPr>
              <w:jc w:val="left"/>
              <w:spacing w:after="20"/>
            </w:pPr>
            <w:r>
              <w:t xml:space="preserve">Neural networks / ensembles</w:t>
            </w:r>
          </w:p>
        </w:tc>
        <w:tc>
          <w:tcPr>
            <w:vAlign w:val="center"/>
          </w:tcPr>
          <w:p>
            <w:pPr>
              <w:jc w:val="left"/>
              <w:spacing w:after="20"/>
            </w:pPr>
            <w:r>
              <w:t xml:space="preserve">Match tumor to targeted agent</w:t>
            </w:r>
          </w:p>
        </w:tc>
      </w:tr>
      <w:tr>
        <w:tc>
          <w:tcPr>
            <w:vAlign w:val="center"/>
          </w:tcPr>
          <w:p>
            <w:pPr>
              <w:jc w:val="left"/>
              <w:spacing w:after="20"/>
            </w:pPr>
            <w:r>
              <w:t xml:space="preserve">Immunotherapy response</w:t>
            </w:r>
          </w:p>
        </w:tc>
        <w:tc>
          <w:tcPr>
            <w:vAlign w:val="center"/>
          </w:tcPr>
          <w:p>
            <w:pPr>
              <w:jc w:val="left"/>
              <w:spacing w:after="20"/>
            </w:pPr>
            <w:r>
              <w:t xml:space="preserve">TMB, PD-L1, expression, histology</w:t>
            </w:r>
          </w:p>
        </w:tc>
        <w:tc>
          <w:tcPr>
            <w:vAlign w:val="center"/>
          </w:tcPr>
          <w:p>
            <w:pPr>
              <w:jc w:val="left"/>
              <w:spacing w:after="20"/>
            </w:pPr>
            <w:r>
              <w:t xml:space="preserve">Multimodal integration</w:t>
            </w:r>
          </w:p>
        </w:tc>
        <w:tc>
          <w:tcPr>
            <w:vAlign w:val="center"/>
          </w:tcPr>
          <w:p>
            <w:pPr>
              <w:jc w:val="left"/>
              <w:spacing w:after="20"/>
            </w:pPr>
            <w:r>
              <w:t xml:space="preserve">Select checkpoint inhibitor candidates</w:t>
            </w:r>
          </w:p>
        </w:tc>
      </w:tr>
      <w:tr>
        <w:tc>
          <w:tcPr>
            <w:vAlign w:val="center"/>
          </w:tcPr>
          <w:p>
            <w:pPr>
              <w:jc w:val="left"/>
              <w:spacing w:after="20"/>
            </w:pPr>
            <w:r>
              <w:t xml:space="preserve">Resistance forecasting</w:t>
            </w:r>
          </w:p>
        </w:tc>
        <w:tc>
          <w:tcPr>
            <w:vAlign w:val="center"/>
          </w:tcPr>
          <w:p>
            <w:pPr>
              <w:jc w:val="left"/>
              <w:spacing w:after="20"/>
            </w:pPr>
            <w:r>
              <w:t xml:space="preserve">Serial ctDNA, longitudinal omics</w:t>
            </w:r>
          </w:p>
        </w:tc>
        <w:tc>
          <w:tcPr>
            <w:vAlign w:val="center"/>
          </w:tcPr>
          <w:p>
            <w:pPr>
              <w:jc w:val="left"/>
              <w:spacing w:after="20"/>
            </w:pPr>
            <w:r>
              <w:t xml:space="preserve">Evolutionary / temporal models</w:t>
            </w:r>
          </w:p>
        </w:tc>
        <w:tc>
          <w:tcPr>
            <w:vAlign w:val="center"/>
          </w:tcPr>
          <w:p>
            <w:pPr>
              <w:jc w:val="left"/>
              <w:spacing w:after="20"/>
            </w:pPr>
            <w:r>
              <w:t xml:space="preserve">Preempt therapeutic escape</w:t>
            </w:r>
          </w:p>
        </w:tc>
      </w:tr>
      <w:tr>
        <w:tc>
          <w:tcPr>
            <w:vAlign w:val="center"/>
          </w:tcPr>
          <w:p>
            <w:pPr>
              <w:jc w:val="left"/>
              <w:spacing w:after="20"/>
            </w:pPr>
            <w:r>
              <w:t xml:space="preserve">Combination design</w:t>
            </w:r>
          </w:p>
        </w:tc>
        <w:tc>
          <w:tcPr>
            <w:vAlign w:val="center"/>
          </w:tcPr>
          <w:p>
            <w:pPr>
              <w:jc w:val="left"/>
              <w:spacing w:after="20"/>
            </w:pPr>
            <w:r>
              <w:t xml:space="preserve">Combination screens, pathways</w:t>
            </w:r>
          </w:p>
        </w:tc>
        <w:tc>
          <w:tcPr>
            <w:vAlign w:val="center"/>
          </w:tcPr>
          <w:p>
            <w:pPr>
              <w:jc w:val="left"/>
              <w:spacing w:after="20"/>
            </w:pPr>
            <w:r>
              <w:t xml:space="preserve">Synergy prediction models</w:t>
            </w:r>
          </w:p>
        </w:tc>
        <w:tc>
          <w:tcPr>
            <w:vAlign w:val="center"/>
          </w:tcPr>
          <w:p>
            <w:pPr>
              <w:jc w:val="left"/>
              <w:spacing w:after="20"/>
            </w:pPr>
            <w:r>
              <w:t xml:space="preserve">Rational multi-drug regimens</w:t>
            </w:r>
          </w:p>
        </w:tc>
      </w:tr>
    </w:tbl>
    <w:p>
      <w:pPr>
        <w:spacing w:after="120"/>
      </w:pPr>
    </w:p>
    <w:p>
      <w:pPr>
        <w:pStyle w:val="Normal"/>
      </w:pPr>
      <w:r>
        <w:t xml:space="preserve">When these models incorporate pathway-level representations rather than treating genes in isolation, their predictions align more closely with the underlying biology and become more interpretable to clinicians who must justify treatment choices [23]. A visible-neural-network architecture, in which the hidden layers correspond to known biological structures and processes, can predict drug response and synergy while simultaneously offering a mechanistic account of why a given prediction was made, an advance that begins to reconcile the tension between predictive accuracy and interpretability that pervades clinical machine learning [23]. This interpretability is not a cosmetic concern; in oncology, where treatment decisions carry grave consequences, the ability to trace a recommendation back to a plausible biological rationale is often the difference between a model that is trusted and one that is ignored.</w:t>
      </w:r>
    </w:p>
    <w:p>
      <w:pPr>
        <w:pStyle w:val="Heading2"/>
      </w:pPr>
      <w:r>
        <w:t xml:space="preserve">18.2.2 Immuno-Oncology and Biomarker Prediction</w:t>
      </w:r>
    </w:p>
    <w:p>
      <w:pPr>
        <w:pStyle w:val="Normal"/>
      </w:pPr>
      <w:r>
        <w:t xml:space="preserve">The advent of immune checkpoint inhibitors transformed the treatment of many malignancies but introduced a formidable prediction problem, because only a minority of patients derive durable benefit and the toxicities can be severe. AI has become central to identifying who will respond. Models integrating tumor mutational burden, microsatellite instability status, programmed death-ligand 1 expression, and gene-expression signatures of immune infiltration substantially outperform any single biomarker in predicting response to checkpoint blockade, achieving discrimination that no individual marker can match [24]. This superiority reflects a general principle of immuno-oncology: response is a multifactorial phenomenon determined by the interplay of tumor antigenicity, the immune contexture, and host factors, and only a model that integrates these dimensions can capture it faithfully.</w:t>
      </w:r>
    </w:p>
    <w:p>
      <w:pPr>
        <w:pStyle w:val="Normal"/>
      </w:pPr>
      <w:r>
        <w:t xml:space="preserve">Deep learning applied directly to digitized histopathology slides can quantify tumor-infiltrating lymphocytes and spatial immune architecture, extracting prognostic and predictive information that eludes conventional pathological assessment [25]. The spatial organization of immune cells within and around a tumor—whether they are excluded at the margin or infiltrating the tumor bed—carries profound implications for immunotherapy response, and computational pathology renders this architecture quantifiable at scale [25]. The broader emergence of digital pathology as a data source has opened an entirely new modality for pharmacological prediction, transforming the glass slide that has anchored cancer diagnosis for over a century into a rich substrate for machine learning [25]. Figure 2 illustrates the multimodal data integration workflow characteristic of precision oncology, in which heterogeneous inputs are harmonized, embedded into a shared representation, and used to generate individualized therapy recommendations.</w:t>
      </w:r>
    </w:p>
    <w:p>
      <w:pPr>
        <w:pStyle w:val="FigureImage"/>
      </w:pPr>
      <w:r>
        <w:drawing>
          <wp:inline xmlns:wp="http://schemas.openxmlformats.org/drawingml/2006/wordprocessingDrawing" distT="0" distB="0" distL="0" distR="0">
            <wp:extent cx="5669280" cy="3506002"/>
            <wp:effectExtent l="0" t="0" r="0" b="0"/>
            <wp:docPr id="2" name="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_2"/>
                    <pic:cNvPicPr/>
                  </pic:nvPicPr>
                  <pic:blipFill>
                    <a:blip xmlns:r="http://schemas.openxmlformats.org/officeDocument/2006/relationships" r:embed="rIdImg2"/>
                    <a:stretch>
                      <a:fillRect/>
                    </a:stretch>
                  </pic:blipFill>
                  <pic:spPr>
                    <a:xfrm>
                      <a:off x="0" y="0"/>
                      <a:ext cx="5669280" cy="3506002"/>
                    </a:xfrm>
                    <a:prstGeom prst="rect">
                      <a:avLst/>
                    </a:prstGeom>
                  </pic:spPr>
                </pic:pic>
              </a:graphicData>
            </a:graphic>
          </wp:inline>
        </w:drawing>
      </w:r>
    </w:p>
    <w:p>
      <w:pPr>
        <w:pStyle w:val="FigureCaption"/>
      </w:pPr>
      <w:r>
        <w:t xml:space="preserve">Figure 2. Multimodal data integration workflow in precision oncology. Genomic, transcriptomic, radiomic, and histopathological inputs are harmonized and embedded into a shared representation that supports therapy selection, resistance forecasting, and combination scoring.</w:t>
      </w:r>
    </w:p>
    <w:p>
      <w:pPr>
        <w:pStyle w:val="Normal"/>
      </w:pPr>
      <w:r>
        <w:t xml:space="preserve">The prediction of immune-related adverse events represents an equally important, if less celebrated, application; models that anticipate which patients will develop severe colitis, pneumonitis, or endocrinopathies enable closer monitoring and earlier intervention, improving the risk–benefit balance of these powerful therapies [26]. Because immune-related toxicities can be life-threatening and their management sometimes requires interrupting the very therapy that is controlling the cancer, the ability to forecast them and to stratify surveillance accordingly is of substantial clinical value [26]. The same multimodal architecture depicted in Figure 2 accommodates toxicity prediction alongside efficacy prediction, underscoring that a mature decision-support system must weigh benefit and harm within a single coherent framework rather than treating them as separate problems.</w:t>
      </w:r>
    </w:p>
    <w:p>
      <w:pPr>
        <w:pStyle w:val="Heading2"/>
      </w:pPr>
      <w:r>
        <w:t xml:space="preserve">18.2.3 Resistance Prediction and Combination Design</w:t>
      </w:r>
    </w:p>
    <w:p>
      <w:pPr>
        <w:pStyle w:val="Normal"/>
      </w:pPr>
      <w:r>
        <w:t xml:space="preserve">Therapeutic resistance is the central obstacle to durable cancer control, and AI offers powerful tools for both anticipating and circumventing it. Longitudinal models that track the evolution of tumor genomes under selective pressure can forecast the emergence of resistance mutations before they become clinically apparent, informing preemptive switches in therapy [27]. Cancer is, at its core, an evolutionary process, and methods that model the repeated and often convergent trajectories of tumor evolution across patients allow clinicians to anticipate the escape routes a tumor is most likely to take under a given drug [27]. Circulating tumor DNA, sampled serially through liquid biopsy, provides the temporal data that these models require, and machine learning is used to denoise these low-abundance signals and to interpret their clinical significance [28]. The prospect of monitoring a tumor's molecular evolution in near real time through a simple blood draw, and of adjusting therapy before radiographic progression occurs, represents a paradigm shift that liquid biopsy and computational analysis together make feasible [28].</w:t>
      </w:r>
    </w:p>
    <w:p>
      <w:pPr>
        <w:pStyle w:val="Normal"/>
      </w:pPr>
      <w:r>
        <w:t xml:space="preserve">The rational design of drug combinations is a natural extension of resistance prediction, since combinations that block parallel or compensatory pathways can suppress the evolutionary escape routes available to a tumor. AI models trained on high-throughput combination screening data predict synergistic pairings and, increasingly, higher-order combinations that would be infeasible to test exhaustively in the laboratory [29]. Because the number of possible combinations grows explosively with the size of the drug library, exhaustive experimental screening is impossible, and predictive models are the only tractable means of prioritizing which combinations merit testing [29]. Community benchmarking efforts have shown that such predictions, while imperfect, are sufficiently accurate to be useful for prioritization, and that ensembles of methods outperform any single algorithm [30]. Figure 2 again applies here, as the same multimodal representations that inform monotherapy selection can be extended to score candidate combinations against a patient's specific molecular context, and these computational predictions are then triaged experimentally to compress the search space dramatically [30].</w:t>
      </w:r>
    </w:p>
    <w:p>
      <w:pPr>
        <w:pStyle w:val="Normal"/>
      </w:pPr>
      <w:r>
        <w:t xml:space="preserve">Cell-based and organoid platforms, coupled with AI-driven image analysis, allow functional testing of drug sensitivity on patient-derived material within clinically actionable timeframes, complementing genomic prediction with direct phenotypic measurement [31]. Patient-derived organoids have been shown to recapitulate the treatment responses of the tumors from which they were established, providing a living avatar on which candidate therapies can be tested before they are administered to the patient [31]. The convergence of these functional assays with computational models exemplifies the hybrid strategy that increasingly defines precision oncology, an approach sometimes termed functional precision oncology, in which no single data source is treated as definitive and predictions are triangulated across orthogonal lines of evidence [32]. This triangulation guards against the fragility of any one modality and reflects a mature recognition that genomic prediction and phenotypic measurement are complementary rather than competing strategies.</w:t>
      </w:r>
    </w:p>
    <w:p>
      <w:pPr>
        <w:pStyle w:val="Heading1"/>
      </w:pPr>
      <w:r>
        <w:t xml:space="preserve">18.3 Neurological, Metabolic, and Infectious Disease Therapeutics</w:t>
      </w:r>
    </w:p>
    <w:p>
      <w:pPr>
        <w:pStyle w:val="Normal"/>
      </w:pPr>
      <w:r>
        <w:t xml:space="preserve">The final domain surveyed in this chapter encompasses three fields that, despite their apparent diversity, share a common dependence on AI to overcome long-standing therapeutic bottlenecks. Neurological diseases have historically suffered from an exceptionally high rate of clinical-trial failure; metabolic diseases demand fine-grained personalization of chronic therapy; and infectious diseases require rapid response to evolving pathogens and mounting antimicrobial resistance. In each case, artificial intelligence is expanding the boundaries of what pharmacology can achieve, and the broad applicability of machine learning across the drug-discovery and development pipeline provides the common technical foundation on which these advances rest [33]. What unites these fields is not a shared biology but a shared structure of difficulty, and it is precisely this structure that AI is well positioned to address.</w:t>
      </w:r>
    </w:p>
    <w:p>
      <w:pPr>
        <w:pStyle w:val="Normal"/>
      </w:pPr>
      <w:r>
        <w:t xml:space="preserve">The economic and humanitarian stakes are considerable. Neurodegenerative disease imposes an escalating burden as populations age, and the repeated failure of candidate therapies has made pharmaceutical developers wary of a field perceived as high-risk; any tool that improves the probability of trial success therefore has an outsized effect on the willingness to invest. Metabolic disease, driven by global trends in diet and activity, affects hundreds of millions of people whose chronic therapy must be sustained over decades, so that even modest per-patient improvements in personalization aggregate into enormous population benefit. Infectious disease, finally, confronts a threat that is not static but adversarial, in which the target actively evolves to evade treatment, so that the speed of pharmacological response is itself a determinant of success [41]. Across all three, the value proposition of AI is not that it replaces pharmacological reasoning but that it compresses the timescales and expands the dimensionality over which that reasoning can operate, allowing more candidates to be evaluated, more patients to be characterized, and more decisions to be revisited as new data arrive [41].</w:t>
      </w:r>
    </w:p>
    <w:p>
      <w:pPr>
        <w:pStyle w:val="Heading2"/>
      </w:pPr>
      <w:r>
        <w:t xml:space="preserve">18.3.1 Neurological Disease Therapeutics</w:t>
      </w:r>
    </w:p>
    <w:p>
      <w:pPr>
        <w:pStyle w:val="Normal"/>
      </w:pPr>
      <w:r>
        <w:t xml:space="preserve">The central nervous system poses formidable obstacles to drug development, from the blood–brain barrier that excludes most molecules to the difficulty of measuring target engagement in living human brain tissue. AI is being applied at every stage of the neurotherapeutic pipeline. In early discovery, generative models design molecules predicted to cross the blood–brain barrier while engaging targets implicated in neurodegeneration, and machine learning classifiers filter vast chemical libraries for compounds with favorable central-nervous-system penetration and minimal efflux by P-glycoprotein [34]. These in silico filters spare medicinal chemists from synthesizing compounds destined to fail on pharmacokinetic grounds and concentrate scarce resources on the most promising scaffolds, addressing a bottleneck that has contributed to the notoriously high attrition of central-nervous-system drug programs [34].</w:t>
      </w:r>
    </w:p>
    <w:p>
      <w:pPr>
        <w:pStyle w:val="Normal"/>
      </w:pPr>
      <w:r>
        <w:t xml:space="preserve">Generative approaches have advanced this agenda still further. Rather than merely filtering an existing library, deep generative models can propose entirely novel chemical structures optimized simultaneously for target affinity, permeability, and synthetic accessibility, effectively inverting the traditional discovery workflow by designing molecules to specification rather than searching for them among what already exists [34]. Demonstrations that such models can traverse the design space from concept to synthesizable candidate in a matter of weeks have reframed expectations about the pace of early neurotherapeutic discovery, although the ultimate arbiter remains experimental validation and, eventually, clinical testing [34]. The promise of these methods in neurology is amplified precisely because the field's failures have so often occurred late and at great cost, so that any technology capable of improving the quality of candidates entering the pipeline yields disproportionate returns downstream.</w:t>
      </w:r>
    </w:p>
    <w:p>
      <w:pPr>
        <w:pStyle w:val="Normal"/>
      </w:pPr>
      <w:r>
        <w:t xml:space="preserve">In Alzheimer's disease, where decades of trials have yielded largely disappointing results, AI is helping to redefine the population studied and the outcomes measured. Deep learning applied to brain imaging can detect the metabolic and structural signatures of neurodegeneration earlier and more sensitively than conventional reads, supporting both diagnosis and the selection of patients most likely to benefit from disease-modifying therapy [35]. Models integrating amyloid and tau imaging, cerebrospinal-fluid biomarkers, genetic risk scores, and cognitive trajectories stratify patients into subgroups with distinct prognoses and, potentially, distinct treatment responses, enabling enrichment strategies that increase the likelihood of detecting a therapeutic effect in a trial [35]. A recurring theme in neurology is that many past failures may have reflected not ineffective drugs but poorly chosen populations and insensitive endpoints, and AI directly attacks both of these deficiencies.</w:t>
      </w:r>
    </w:p>
    <w:p>
      <w:pPr>
        <w:pStyle w:val="Normal"/>
      </w:pPr>
      <w:r>
        <w:t xml:space="preserve">Table 4 summarizes AI applications across neurological, metabolic, and infectious disease pharmacology, drawing out the parallels and distinctions among these fields. As the table indicates, the common thread is the use of predictive modeling to overcome a domain-specific bottleneck, whether that bottleneck is trial enrichment, therapy personalization, or rapid discovery.</w:t>
      </w:r>
    </w:p>
    <w:p>
      <w:pPr>
        <w:pStyle w:val="TableCaption"/>
      </w:pPr>
      <w:r>
        <w:t xml:space="preserve">Table 4. AI applications across neurological, metabolic, and infectious disease pharmacology.</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shd w:val="clear" w:color="auto" w:fill="D9E2F3"/>
            <w:vAlign w:val="center"/>
          </w:tcPr>
          <w:p>
            <w:pPr>
              <w:jc w:val="center"/>
              <w:spacing w:after="20"/>
            </w:pPr>
            <w:r>
              <w:rPr>
                <w:b/>
              </w:rPr>
              <w:t xml:space="preserve">Field</w:t>
            </w:r>
          </w:p>
        </w:tc>
        <w:tc>
          <w:tcPr>
            <w:shd w:val="clear" w:color="auto" w:fill="D9E2F3"/>
            <w:vAlign w:val="center"/>
          </w:tcPr>
          <w:p>
            <w:pPr>
              <w:jc w:val="center"/>
              <w:spacing w:after="20"/>
            </w:pPr>
            <w:r>
              <w:rPr>
                <w:b/>
              </w:rPr>
              <w:t xml:space="preserve">Representative Task</w:t>
            </w:r>
          </w:p>
        </w:tc>
        <w:tc>
          <w:tcPr>
            <w:shd w:val="clear" w:color="auto" w:fill="D9E2F3"/>
            <w:vAlign w:val="center"/>
          </w:tcPr>
          <w:p>
            <w:pPr>
              <w:jc w:val="center"/>
              <w:spacing w:after="20"/>
            </w:pPr>
            <w:r>
              <w:rPr>
                <w:b/>
              </w:rPr>
              <w:t xml:space="preserve">Data Inputs</w:t>
            </w:r>
          </w:p>
        </w:tc>
        <w:tc>
          <w:tcPr>
            <w:shd w:val="clear" w:color="auto" w:fill="D9E2F3"/>
            <w:vAlign w:val="center"/>
          </w:tcPr>
          <w:p>
            <w:pPr>
              <w:jc w:val="center"/>
              <w:spacing w:after="20"/>
            </w:pPr>
            <w:r>
              <w:rPr>
                <w:b/>
              </w:rPr>
              <w:t xml:space="preserve">Therapeutic Impact</w:t>
            </w:r>
          </w:p>
        </w:tc>
      </w:tr>
      <w:tr>
        <w:tc>
          <w:tcPr>
            <w:vAlign w:val="center"/>
          </w:tcPr>
          <w:p>
            <w:pPr>
              <w:jc w:val="left"/>
              <w:spacing w:after="20"/>
            </w:pPr>
            <w:r>
              <w:t xml:space="preserve">Neurology</w:t>
            </w:r>
          </w:p>
        </w:tc>
        <w:tc>
          <w:tcPr>
            <w:vAlign w:val="center"/>
          </w:tcPr>
          <w:p>
            <w:pPr>
              <w:jc w:val="left"/>
              <w:spacing w:after="20"/>
            </w:pPr>
            <w:r>
              <w:t xml:space="preserve">CNS-penetrant molecule design</w:t>
            </w:r>
          </w:p>
        </w:tc>
        <w:tc>
          <w:tcPr>
            <w:vAlign w:val="center"/>
          </w:tcPr>
          <w:p>
            <w:pPr>
              <w:jc w:val="left"/>
              <w:spacing w:after="20"/>
            </w:pPr>
            <w:r>
              <w:t xml:space="preserve">Chemical structures</w:t>
            </w:r>
          </w:p>
        </w:tc>
        <w:tc>
          <w:tcPr>
            <w:vAlign w:val="center"/>
          </w:tcPr>
          <w:p>
            <w:pPr>
              <w:jc w:val="left"/>
              <w:spacing w:after="20"/>
            </w:pPr>
            <w:r>
              <w:t xml:space="preserve">Reduced discovery attrition</w:t>
            </w:r>
          </w:p>
        </w:tc>
      </w:tr>
      <w:tr>
        <w:tc>
          <w:tcPr>
            <w:vAlign w:val="center"/>
          </w:tcPr>
          <w:p>
            <w:pPr>
              <w:jc w:val="left"/>
              <w:spacing w:after="20"/>
            </w:pPr>
            <w:r>
              <w:t xml:space="preserve">Neurology</w:t>
            </w:r>
          </w:p>
        </w:tc>
        <w:tc>
          <w:tcPr>
            <w:vAlign w:val="center"/>
          </w:tcPr>
          <w:p>
            <w:pPr>
              <w:jc w:val="left"/>
              <w:spacing w:after="20"/>
            </w:pPr>
            <w:r>
              <w:t xml:space="preserve">Trial enrichment in Alzheimer's</w:t>
            </w:r>
          </w:p>
        </w:tc>
        <w:tc>
          <w:tcPr>
            <w:vAlign w:val="center"/>
          </w:tcPr>
          <w:p>
            <w:pPr>
              <w:jc w:val="left"/>
              <w:spacing w:after="20"/>
            </w:pPr>
            <w:r>
              <w:t xml:space="preserve">Imaging, CSF, genetics</w:t>
            </w:r>
          </w:p>
        </w:tc>
        <w:tc>
          <w:tcPr>
            <w:vAlign w:val="center"/>
          </w:tcPr>
          <w:p>
            <w:pPr>
              <w:jc w:val="left"/>
              <w:spacing w:after="20"/>
            </w:pPr>
            <w:r>
              <w:t xml:space="preserve">Higher trial success probability</w:t>
            </w:r>
          </w:p>
        </w:tc>
      </w:tr>
      <w:tr>
        <w:tc>
          <w:tcPr>
            <w:vAlign w:val="center"/>
          </w:tcPr>
          <w:p>
            <w:pPr>
              <w:jc w:val="left"/>
              <w:spacing w:after="20"/>
            </w:pPr>
            <w:r>
              <w:t xml:space="preserve">Neurology</w:t>
            </w:r>
          </w:p>
        </w:tc>
        <w:tc>
          <w:tcPr>
            <w:vAlign w:val="center"/>
          </w:tcPr>
          <w:p>
            <w:pPr>
              <w:jc w:val="left"/>
              <w:spacing w:after="20"/>
            </w:pPr>
            <w:r>
              <w:t xml:space="preserve">Objective symptom tracking</w:t>
            </w:r>
          </w:p>
        </w:tc>
        <w:tc>
          <w:tcPr>
            <w:vAlign w:val="center"/>
          </w:tcPr>
          <w:p>
            <w:pPr>
              <w:jc w:val="left"/>
              <w:spacing w:after="20"/>
            </w:pPr>
            <w:r>
              <w:t xml:space="preserve">Wearable sensor streams</w:t>
            </w:r>
          </w:p>
        </w:tc>
        <w:tc>
          <w:tcPr>
            <w:vAlign w:val="center"/>
          </w:tcPr>
          <w:p>
            <w:pPr>
              <w:jc w:val="left"/>
              <w:spacing w:after="20"/>
            </w:pPr>
            <w:r>
              <w:t xml:space="preserve">Sensitive pharmacodynamic endpoints</w:t>
            </w:r>
          </w:p>
        </w:tc>
      </w:tr>
      <w:tr>
        <w:tc>
          <w:tcPr>
            <w:vAlign w:val="center"/>
          </w:tcPr>
          <w:p>
            <w:pPr>
              <w:jc w:val="left"/>
              <w:spacing w:after="20"/>
            </w:pPr>
            <w:r>
              <w:t xml:space="preserve">Metabolism</w:t>
            </w:r>
          </w:p>
        </w:tc>
        <w:tc>
          <w:tcPr>
            <w:vAlign w:val="center"/>
          </w:tcPr>
          <w:p>
            <w:pPr>
              <w:jc w:val="left"/>
              <w:spacing w:after="20"/>
            </w:pPr>
            <w:r>
              <w:t xml:space="preserve">Glucose-lowering agent selection</w:t>
            </w:r>
          </w:p>
        </w:tc>
        <w:tc>
          <w:tcPr>
            <w:vAlign w:val="center"/>
          </w:tcPr>
          <w:p>
            <w:pPr>
              <w:jc w:val="left"/>
              <w:spacing w:after="20"/>
            </w:pPr>
            <w:r>
              <w:t xml:space="preserve">Cohort clinical data</w:t>
            </w:r>
          </w:p>
        </w:tc>
        <w:tc>
          <w:tcPr>
            <w:vAlign w:val="center"/>
          </w:tcPr>
          <w:p>
            <w:pPr>
              <w:jc w:val="left"/>
              <w:spacing w:after="20"/>
            </w:pPr>
            <w:r>
              <w:t xml:space="preserve">Cardiorenal-tailored therapy</w:t>
            </w:r>
          </w:p>
        </w:tc>
      </w:tr>
      <w:tr>
        <w:tc>
          <w:tcPr>
            <w:vAlign w:val="center"/>
          </w:tcPr>
          <w:p>
            <w:pPr>
              <w:jc w:val="left"/>
              <w:spacing w:after="20"/>
            </w:pPr>
            <w:r>
              <w:t xml:space="preserve">Metabolism</w:t>
            </w:r>
          </w:p>
        </w:tc>
        <w:tc>
          <w:tcPr>
            <w:vAlign w:val="center"/>
          </w:tcPr>
          <w:p>
            <w:pPr>
              <w:jc w:val="left"/>
              <w:spacing w:after="20"/>
            </w:pPr>
            <w:r>
              <w:t xml:space="preserve">Closed-loop insulin dosing</w:t>
            </w:r>
          </w:p>
        </w:tc>
        <w:tc>
          <w:tcPr>
            <w:vAlign w:val="center"/>
          </w:tcPr>
          <w:p>
            <w:pPr>
              <w:jc w:val="left"/>
              <w:spacing w:after="20"/>
            </w:pPr>
            <w:r>
              <w:t xml:space="preserve">Continuous glucose data</w:t>
            </w:r>
          </w:p>
        </w:tc>
        <w:tc>
          <w:tcPr>
            <w:vAlign w:val="center"/>
          </w:tcPr>
          <w:p>
            <w:pPr>
              <w:jc w:val="left"/>
              <w:spacing w:after="20"/>
            </w:pPr>
            <w:r>
              <w:t xml:space="preserve">Improved time in range</w:t>
            </w:r>
          </w:p>
        </w:tc>
      </w:tr>
      <w:tr>
        <w:tc>
          <w:tcPr>
            <w:vAlign w:val="center"/>
          </w:tcPr>
          <w:p>
            <w:pPr>
              <w:jc w:val="left"/>
              <w:spacing w:after="20"/>
            </w:pPr>
            <w:r>
              <w:t xml:space="preserve">Infection</w:t>
            </w:r>
          </w:p>
        </w:tc>
        <w:tc>
          <w:tcPr>
            <w:vAlign w:val="center"/>
          </w:tcPr>
          <w:p>
            <w:pPr>
              <w:jc w:val="left"/>
              <w:spacing w:after="20"/>
            </w:pPr>
            <w:r>
              <w:t xml:space="preserve">Novel antibiotic discovery</w:t>
            </w:r>
          </w:p>
        </w:tc>
        <w:tc>
          <w:tcPr>
            <w:vAlign w:val="center"/>
          </w:tcPr>
          <w:p>
            <w:pPr>
              <w:jc w:val="left"/>
              <w:spacing w:after="20"/>
            </w:pPr>
            <w:r>
              <w:t xml:space="preserve">Chemical libraries</w:t>
            </w:r>
          </w:p>
        </w:tc>
        <w:tc>
          <w:tcPr>
            <w:vAlign w:val="center"/>
          </w:tcPr>
          <w:p>
            <w:pPr>
              <w:jc w:val="left"/>
              <w:spacing w:after="20"/>
            </w:pPr>
            <w:r>
              <w:t xml:space="preserve">New agents against resistance</w:t>
            </w:r>
          </w:p>
        </w:tc>
      </w:tr>
      <w:tr>
        <w:tc>
          <w:tcPr>
            <w:vAlign w:val="center"/>
          </w:tcPr>
          <w:p>
            <w:pPr>
              <w:jc w:val="left"/>
              <w:spacing w:after="20"/>
            </w:pPr>
            <w:r>
              <w:t xml:space="preserve">Infection</w:t>
            </w:r>
          </w:p>
        </w:tc>
        <w:tc>
          <w:tcPr>
            <w:vAlign w:val="center"/>
          </w:tcPr>
          <w:p>
            <w:pPr>
              <w:jc w:val="left"/>
              <w:spacing w:after="20"/>
            </w:pPr>
            <w:r>
              <w:t xml:space="preserve">Empirical therapy guidance</w:t>
            </w:r>
          </w:p>
        </w:tc>
        <w:tc>
          <w:tcPr>
            <w:vAlign w:val="center"/>
          </w:tcPr>
          <w:p>
            <w:pPr>
              <w:jc w:val="left"/>
              <w:spacing w:after="20"/>
            </w:pPr>
            <w:r>
              <w:t xml:space="preserve">Clinical and microbiology data</w:t>
            </w:r>
          </w:p>
        </w:tc>
        <w:tc>
          <w:tcPr>
            <w:vAlign w:val="center"/>
          </w:tcPr>
          <w:p>
            <w:pPr>
              <w:jc w:val="left"/>
              <w:spacing w:after="20"/>
            </w:pPr>
            <w:r>
              <w:t xml:space="preserve">Effective stewardship</w:t>
            </w:r>
          </w:p>
        </w:tc>
      </w:tr>
    </w:tbl>
    <w:p>
      <w:pPr>
        <w:spacing w:after="120"/>
      </w:pPr>
    </w:p>
    <w:p>
      <w:pPr>
        <w:pStyle w:val="Normal"/>
      </w:pPr>
      <w:r>
        <w:t xml:space="preserve">Similar approaches are being applied to Parkinson's disease and multiple sclerosis, where wearable sensors capture continuous, objective measures of motor function and disease activity that serve as sensitive endpoints for pharmacological intervention [36]. The passive, continuous data streams generated by accelerometers and gyroscopes worn during daily life offer a granular picture of symptom fluctuation that periodic clinic visits cannot capture, and machine learning transforms these raw signals into interpretable measures of therapeutic response [36]. Such objective, high-frequency endpoints promise to shorten trials and to detect treatment effects that coarse clinical rating scales would miss, addressing one of the most stubborn obstacles to neurotherapeutic development.</w:t>
      </w:r>
    </w:p>
    <w:p>
      <w:pPr>
        <w:pStyle w:val="Heading2"/>
      </w:pPr>
      <w:r>
        <w:t xml:space="preserve">18.3.2 Metabolic Disease Therapeutics</w:t>
      </w:r>
    </w:p>
    <w:p>
      <w:pPr>
        <w:pStyle w:val="Normal"/>
      </w:pPr>
      <w:r>
        <w:t xml:space="preserve">Metabolic diseases, and diabetes mellitus in particular, exemplify the promise of AI-enabled personalization of chronic therapy. The management of type 2 diabetes involves a large and growing armamentarium of agents with distinct mechanisms, cardiovascular and renal effects, and side-effect profiles, and selecting the optimal regimen for an individual is a genuinely combinatorial problem. Machine learning models trained on large observational cohorts predict which glucose-lowering agent will most effectively control glycemia and confer cardiorenal protection in a given patient, moving beyond the one-size-fits-all escalation that has long characterized diabetes care [37]. Data-driven analyses have shown that patients cluster into subgroups with markedly different rates of disease progression and treatment response, providing an empirical basis for individualized therapy that transcends the traditional binary of type 1 versus type 2 disease [37].</w:t>
      </w:r>
    </w:p>
    <w:p>
      <w:pPr>
        <w:pStyle w:val="Normal"/>
      </w:pPr>
      <w:r>
        <w:t xml:space="preserve">Figure 3 depicts a closed-loop framework for adaptive glycemic control, in which continuous glucose-monitoring data drive an algorithm that adjusts insulin delivery in real time. Such systems, exemplified by hybrid closed-loop insulin pumps and increasingly by fully automated artificial-pancreas devices, represent one of the most mature real-world deployments of AI in pharmacotherapy, demonstrably improving time in range and reducing hypoglycemia [38]. The clinical validation of these systems in rigorous studies has moved them from the laboratory into routine use, making automated insulin delivery one of the few AI-driven pharmacological technologies to have achieved widespread regulatory approval and clinical adoption [38]. Broader reviews of AI in diabetes management document a rich ecosystem of decision-support tools spanning dose calculation, hypoglycemia prediction, and lifestyle guidance, illustrating how comprehensively the field has embraced computational personalization [39].</w:t>
      </w:r>
    </w:p>
    <w:p>
      <w:pPr>
        <w:pStyle w:val="FigureImage"/>
      </w:pPr>
      <w:r>
        <w:drawing>
          <wp:inline xmlns:wp="http://schemas.openxmlformats.org/drawingml/2006/wordprocessingDrawing" distT="0" distB="0" distL="0" distR="0">
            <wp:extent cx="5669280" cy="3506002"/>
            <wp:effectExtent l="0" t="0" r="0" b="0"/>
            <wp:docPr id="3" name="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_3"/>
                    <pic:cNvPicPr/>
                  </pic:nvPicPr>
                  <pic:blipFill>
                    <a:blip xmlns:r="http://schemas.openxmlformats.org/officeDocument/2006/relationships" r:embed="rIdImg3"/>
                    <a:stretch>
                      <a:fillRect/>
                    </a:stretch>
                  </pic:blipFill>
                  <pic:spPr>
                    <a:xfrm>
                      <a:off x="0" y="0"/>
                      <a:ext cx="5669280" cy="3506002"/>
                    </a:xfrm>
                    <a:prstGeom prst="rect">
                      <a:avLst/>
                    </a:prstGeom>
                  </pic:spPr>
                </pic:pic>
              </a:graphicData>
            </a:graphic>
          </wp:inline>
        </w:drawing>
      </w:r>
    </w:p>
    <w:p>
      <w:pPr>
        <w:pStyle w:val="FigureCaption"/>
      </w:pPr>
      <w:r>
        <w:t xml:space="preserve">Figure 3. Closed-loop framework for adaptive glycemic control. Continuous glucose-monitoring data drive a control algorithm that adjusts insulin delivery in real time, exemplifying the feedback-driven regulation of a controlled physiological variable that generalizes across chronic metabolic disease.</w:t>
      </w:r>
    </w:p>
    <w:p>
      <w:pPr>
        <w:pStyle w:val="Normal"/>
      </w:pPr>
      <w:r>
        <w:t xml:space="preserve">The same control-theoretic principles that govern closed-loop glucose management are being extended to the management of other metabolic parameters, including lipid control and the titration of therapies for obesity, where incretin-based agents have created new opportunities for individualized dosing [39]. As Figure 3 conceptually extends, the integration of continuous or serial biomarker data with adaptive dosing logic offers a template applicable across the metabolic disease spectrum, in which therapy responds dynamically to the measured trajectory of the disease rather than to a fixed protocol.</w:t>
      </w:r>
    </w:p>
    <w:p>
      <w:pPr>
        <w:pStyle w:val="Normal"/>
      </w:pPr>
      <w:r>
        <w:t xml:space="preserve">Nonalcoholic fatty liver disease and its progressive form, increasingly reframed within the metabolic dysfunction-associated steatotic liver disease spectrum, illustrate how AI can support drug development in a field that has long lacked reliable noninvasive endpoints. Deep learning applied to histopathology quantifies steatosis, inflammation, and fibrosis with a reproducibility that surpasses manual scoring, providing the sensitive, objective endpoints that pharmacological trials require and reducing the variability that has confounded past studies [40]. More broadly, AI is being applied across the spectrum of liver disease for diagnosis, risk stratification, and treatment guidance, offering a coherent computational infrastructure for a therapeutic area in which drug development has repeatedly foundered on endpoint measurement [40].</w:t>
      </w:r>
    </w:p>
    <w:p>
      <w:pPr>
        <w:pStyle w:val="Normal"/>
      </w:pPr>
      <w:r>
        <w:t xml:space="preserve">The metabolic diseases collectively illustrate a distinctive contribution of AI to pharmacology, namely the transformation of therapy from a discrete prescribing event into a continuous, feedback-driven process. In hypertension, diabetes, and dyslipidemia alike, the disease unfolds over years and the response to therapy is measurable in near-continuous streams of physiological data, so that the natural unit of pharmacological decision-making is not the isolated choice of an agent but the ongoing regulation of a controlled variable. Machine learning, and especially the control-theoretic and reinforcement-learning methods discussed earlier, is uniquely suited to this regime because it treats therapy as a policy to be optimized against streaming observations rather than as a fixed regimen to be reviewed intermittently. The mature automated insulin-delivery systems now in widespread use are the clearest embodiment of this principle, but the same architecture is being extended across the metabolic spectrum, and its eventual generalization to other chronic diseases represents one of the most consequential trajectories in the field [37].</w:t>
      </w:r>
    </w:p>
    <w:p>
      <w:pPr>
        <w:pStyle w:val="Heading2"/>
      </w:pPr>
      <w:r>
        <w:t xml:space="preserve">18.3.3 Infectious Disease Therapeutics</w:t>
      </w:r>
    </w:p>
    <w:p>
      <w:pPr>
        <w:pStyle w:val="Normal"/>
      </w:pPr>
      <w:r>
        <w:t xml:space="preserve">Infectious diseases demand a distinctive tempo of pharmacological innovation, since pathogens evolve and spread on timescales that can outpace conventional drug development. Antimicrobial resistance has emerged as one of the foremost threats to global health, and AI is being marshaled on multiple fronts to counter it. In antibiotic discovery, deep learning models have screened vast chemical libraries to identify structurally novel compounds with antibacterial activity against resistant organisms, uncovering molecules that bear little resemblance to existing antibiotic classes and would likely have been overlooked by conventional structure-based approaches [41]. The identification of a new structural class of antibiotics through explainable deep learning demonstrated not only that AI can find genuinely novel chemical matter but that it can do so while offering interpretable rationales for its predictions, an advance that addresses the persistent skepticism about black-box models in a domain where mechanism matters [41].</w:t>
      </w:r>
    </w:p>
    <w:p>
      <w:pPr>
        <w:pStyle w:val="Normal"/>
      </w:pPr>
      <w:r>
        <w:t xml:space="preserve">Table 4, introduced earlier, places these antimicrobial applications alongside their neurological and metabolic counterparts, underscoring the shared reliance on predictive modeling across disparate therapeutic contexts. Beyond discovery, AI supports antimicrobial stewardship at the bedside. Models that predict the likelihood of resistant infection from clinical and microbiological data guide empirical therapy selection, helping clinicians choose an effective agent while minimizing the unnecessary use of broad-spectrum drugs that accelerates resistance [42]. A decision tool that estimates whether a bacteremic patient is likely infected with an extended-spectrum beta-lactamase-producing organism, for example, can spare many patients from unnecessarily broad empirical coverage while ensuring that those at genuine risk receive adequate treatment [42]. Algorithms that promote outpatient antimicrobial stewardship for common infections such as urinary tract infection extend this benefit into the ambulatory setting, where the majority of antibiotic prescribing occurs and where the pressure toward resistance is correspondingly intense [43].</w:t>
      </w:r>
    </w:p>
    <w:p>
      <w:pPr>
        <w:pStyle w:val="Normal"/>
      </w:pPr>
      <w:r>
        <w:t xml:space="preserve">Figure 4 illustrates an integrated antimicrobial decision framework, linking pathogen identification, resistance prediction, and pharmacokinetic-pharmacodynamic optimization into a coherent therapeutic strategy. Antiviral pharmacology has been similarly transformed, as demonstrated during recent pandemics when AI accelerated the identification of repurposing candidates and the design of novel antivirals. Molecular docking augmented by machine learning, together with the generative design of protease and polymerase inhibitors, compressed timelines that historically spanned years into a matter of months; deep-docking approaches, for instance, made it feasible to screen more than a billion compounds against a viral target in a computationally tractable manner [44]. Figure 4 also encompasses this antiviral dimension, since the same principles of target prediction, resistance anticipation, and exposure optimization apply across bacterial and viral therapeutics.</w:t>
      </w:r>
    </w:p>
    <w:p>
      <w:pPr>
        <w:pStyle w:val="FigureImage"/>
      </w:pPr>
      <w:r>
        <w:drawing>
          <wp:inline xmlns:wp="http://schemas.openxmlformats.org/drawingml/2006/wordprocessingDrawing" distT="0" distB="0" distL="0" distR="0">
            <wp:extent cx="5669280" cy="3506002"/>
            <wp:effectExtent l="0" t="0" r="0" b="0"/>
            <wp:docPr id="4" name="Figur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_4"/>
                    <pic:cNvPicPr/>
                  </pic:nvPicPr>
                  <pic:blipFill>
                    <a:blip xmlns:r="http://schemas.openxmlformats.org/officeDocument/2006/relationships" r:embed="rIdImg4"/>
                    <a:stretch>
                      <a:fillRect/>
                    </a:stretch>
                  </pic:blipFill>
                  <pic:spPr>
                    <a:xfrm>
                      <a:off x="0" y="0"/>
                      <a:ext cx="5669280" cy="3506002"/>
                    </a:xfrm>
                    <a:prstGeom prst="rect">
                      <a:avLst/>
                    </a:prstGeom>
                  </pic:spPr>
                </pic:pic>
              </a:graphicData>
            </a:graphic>
          </wp:inline>
        </w:drawing>
      </w:r>
    </w:p>
    <w:p>
      <w:pPr>
        <w:pStyle w:val="FigureCaption"/>
      </w:pPr>
      <w:r>
        <w:t xml:space="preserve">Figure 4. Integrated AI framework for antimicrobial and antiviral pharmacology, linking pathogen identification, resistance prediction, and pharmacokinetic–pharmacodynamic optimization, and spanning the full therapeutic lifecycle from AI-driven discovery to bedside stewardship.</w:t>
      </w:r>
    </w:p>
    <w:p>
      <w:pPr>
        <w:pStyle w:val="Normal"/>
      </w:pPr>
      <w:r>
        <w:t xml:space="preserve">The prediction of viral evolution and immune escape, learned from large sequence databases, further informs the design of therapies and vaccines that retain efficacy against emerging variants [45]. By treating viral protein sequences with the tools of natural language processing—modeling mutations that preserve viral fitness while evading immune recognition as a kind of grammatical constraint—researchers have been able to anticipate escape variants and to prioritize countermeasures accordingly [45]. This closes a loop between genomic surveillance and countermeasure development that promises to make future responses to emerging infections faster, more anticipatory, and more resilient than the largely reactive posture of the past.</w:t>
      </w:r>
    </w:p>
    <w:p>
      <w:pPr>
        <w:pStyle w:val="Normal"/>
      </w:pPr>
      <w:r>
        <w:t xml:space="preserve">The infectious disease experience also crystallizes a broader lesson about the complementarity of discovery and deployment. AI-driven discovery expands the universe of available agents, uncovering novel antibiotics and antivirals that conventional methods would miss, while AI-driven stewardship ensures that the agents already in hand are used judiciously enough to preserve their utility. These two activities are mutually reinforcing: discovery without stewardship yields new drugs that are rapidly squandered to resistance, whereas stewardship without discovery merely postpones an inevitable therapeutic exhaustion. A mature computational infrastructure for infectious disease pharmacology must therefore span the entire arc from molecule to bedside, coupling the generative and predictive models that identify candidate compounds with the decision-support systems that govern their clinical use [41]. The integrated framework depicted in Figure 4 embodies precisely this continuity, and its logic generalizes beyond infection to any therapeutic area in which the finite value of a drug must be protected through disciplined use [43]. In this respect infectious disease, long regarded as a solved problem in the antibiotic era and then as an intractable one in the age of resistance, is emerging as a paradigm for how AI can manage the full lifecycle of a therapeutic class rather than merely its discovery.</w:t>
      </w:r>
    </w:p>
    <w:p>
      <w:pPr>
        <w:pStyle w:val="Heading1"/>
      </w:pPr>
      <w:r>
        <w:t xml:space="preserve">18.4 Cross-Cutting Themes: Data, Validation, and Equity</w:t>
      </w:r>
    </w:p>
    <w:p>
      <w:pPr>
        <w:pStyle w:val="Normal"/>
      </w:pPr>
      <w:r>
        <w:t xml:space="preserve">Although the preceding sections were organized by disease, several themes recur so consistently across therapeutic areas that they merit consideration in their own right. The first is the primacy of data. Every application surveyed in this chapter, from antihypertensive selection to antiviral design, depends on datasets that are large, well-annotated, and representative of the population to which the model will be applied. Where such data exist in abundance, as in oncology and diabetes, AI has advanced furthest; where they are scarce or fragmented, progress has been slower and the risk of spurious findings correspondingly greater. The generalizability of a model is bounded by the diversity of the data on which it was trained, and models developed at a single academic center frequently degrade when transported to populations with different demographics, comorbidities, or care patterns [41]. This phenomenon, often termed dataset shift, is not a peripheral technical nuisance but a central obstacle to the safe deployment of computational pharmacology, and it demands that models be validated across the full range of settings in which they will be used.</w:t>
      </w:r>
    </w:p>
    <w:p>
      <w:pPr>
        <w:pStyle w:val="Normal"/>
      </w:pPr>
      <w:r>
        <w:t xml:space="preserve">The second theme is the tension between predictive accuracy and interpretability. The most powerful models—deep neural networks with millions of parameters—are frequently the most opaque, and their reasoning cannot be inspected in the way that a pharmacokinetic equation or a clinical algorithm can. In therapeutic contexts, where a clinician must be able to justify a decision and a patient must be able to understand it, this opacity is a genuine barrier to adoption. The chapter has highlighted encouraging progress toward interpretable architectures, from visible neural networks that mirror biological pathways in oncology [23] to explainable models that rationalize antibiotic discovery in infectious disease [41], but interpretability remains an active and unsettled area rather than a solved problem. The pragmatic consensus emerging across fields is that the appropriate degree of interpretability depends on the stakes and the context: a model that flags a candidate molecule for laboratory testing may reasonably remain a black box, whereas a model that recommends withholding a therapy from a patient demands a far higher standard of transparency.</w:t>
      </w:r>
    </w:p>
    <w:p>
      <w:pPr>
        <w:pStyle w:val="Normal"/>
      </w:pPr>
      <w:r>
        <w:t xml:space="preserve">A third theme is the gulf between retrospective prediction and prospective benefit. The overwhelming majority of studies cited in this chapter demonstrate that a model can predict an outcome accurately on historical data, but predictive accuracy is not the same as clinical utility. A model that perfectly forecasts an adverse event confers no benefit unless acting on its prediction actually improves outcomes, and establishing this requires prospective evaluation, ideally through randomized comparison of AI-guided against standard care. The relative scarcity of such trials is the single most important gap in the evidence base for computational pharmacology, and closing it is a prerequisite for the field to mature from a source of intriguing possibilities into a foundation for standard practice. The general principles that govern the responsible application of machine learning in medicine—careful problem framing, rigorous validation, attention to bias, and honest reporting of limitations—apply with full force to pharmacology and provide the framework within which these prospective studies should be designed [47].</w:t>
      </w:r>
    </w:p>
    <w:p>
      <w:pPr>
        <w:pStyle w:val="Normal"/>
      </w:pPr>
      <w:r>
        <w:t xml:space="preserve">The final theme is equity. AI systems learn from the data they are given, and if those data underrepresent certain populations, the resulting models will serve those populations poorly, potentially widening the health disparities that pharmacology should seek to narrow. This concern is not hypothetical; it has been documented across multiple domains of clinical machine learning, and it is especially pressing in pharmacology, where drug response is known to vary with ancestry, sex, and socioeconomic circumstance. Building equitable systems requires deliberate attention to the composition of training data, explicit evaluation of model performance across subgroups, and governance structures that hold developers accountable for disparate impact. These are not afterthoughts to be addressed once the technology is mature but design constraints that must be embedded from the outset if AI is to fulfill its promise for all patients rather than a privileged subset [47].</w:t>
      </w:r>
    </w:p>
    <w:p>
      <w:pPr>
        <w:pStyle w:val="Heading1"/>
      </w:pPr>
      <w:r>
        <w:t xml:space="preserve">18.5 Conclusion and Future Directions</w:t>
      </w:r>
    </w:p>
    <w:p>
      <w:pPr>
        <w:pStyle w:val="Normal"/>
      </w:pPr>
      <w:r>
        <w:t xml:space="preserve">The applications surveyed in this chapter demonstrate that artificial intelligence has become woven into the fabric of disease-specific pharmacology, from the titration of antihypertensives at the bedside to the design of antivirals against the next pandemic pathogen. Across cardiovascular, respiratory, oncological, neurological, metabolic, and infectious diseases, a common pattern is discernible: AI excels at integrating heterogeneous, high-dimensional data into predictions that individualize therapy, anticipate adverse events, and accelerate the discovery of new agents [46]. The convergence of these capabilities points toward a pharmacology that is at once more personalized, more anticipatory, and more mechanistically grounded than the population-averaged paradigm it is superseding, and the recurring appearance of the same methodological motifs—multimodal integration, sequential decision optimization, generative design, and interpretable prediction—across otherwise unrelated diseases suggests that a genuinely general computational pharmacology is taking shape.</w:t>
      </w:r>
    </w:p>
    <w:p>
      <w:pPr>
        <w:pStyle w:val="Normal"/>
      </w:pPr>
      <w:r>
        <w:t xml:space="preserve">Perhaps the most striking observation to emerge from this survey is the transferability of methods across disease boundaries. The phenomapping that resolves heart failure into treatable subtypes is conceptually identical to the molecular subtyping that guides therapy in oncology; the reinforcement-learning framing of anticoagulation dosing is the same framing that governs automated insulin delivery; the generative design of central-nervous-system-penetrant molecules is the same technology that yields novel antibiotics and antivirals. This methodological unity implies that advances in one therapeutic area propagate rapidly to others, so that the field as a whole progresses faster than any single disease-specific effort could alone. It also implies that the challenges are shared: a solution to the interpretability problem in oncology is likely to benefit cardiology, and a validation framework proven in infectious disease can be adapted to metabolic medicine. Recognizing this commonality argues for investment in shared infrastructure, common benchmarks, and cross-disciplinary collaboration rather than the siloed development that has often characterized computational research.</w:t>
      </w:r>
    </w:p>
    <w:p>
      <w:pPr>
        <w:pStyle w:val="Normal"/>
      </w:pPr>
      <w:r>
        <w:t xml:space="preserve">Looking ahead, the frontier is defined by systems that reason and act with increasing autonomy. Agentic AI, capable of decomposing a therapeutic goal into a sequence of sub-tasks, querying data sources, invoking predictive models, and proposing coordinated multi-step plans, promises to compress workflows that today require the orchestration of many specialists. Yet this autonomy magnifies every concern already raised, because an autonomous system that errs can do so at scale and with a speed that outpaces human oversight. The governance of such systems—the definition of the decisions they may make unaided, the audit trails they must maintain, and the human checkpoints they must respect—will be among the defining pharmacological questions of the coming decade. The trajectory of the field will ultimately be judged not by the sophistication of its algorithms but by whether it delivers safer, more effective, and more equitable therapy to patients across the full spectrum of human disease.</w:t>
      </w:r>
    </w:p>
    <w:p>
      <w:pPr>
        <w:pStyle w:val="Normal"/>
      </w:pPr>
      <w:r>
        <w:t xml:space="preserve">Yet significant obstacles remain before this promise is fully realized. Data heterogeneity and the risk of dataset shift threaten the generalizability of models trained at single institutions, and the underrepresentation of diverse populations in training data raises the specter of algorithmic inequity that could widen rather than narrow health disparities. Interpretability remains a persistent tension, as the most accurate models are often the least transparent, complicating the clinical accountability that pharmacotherapeutic decisions demand; the progress toward explainable architectures noted throughout this chapter is encouraging but incomplete. Regulatory frameworks are still maturing, and the field urgently needs prospective, randomized evidence that AI-guided pharmacology improves patient outcomes rather than merely predicting them accurately in retrospect. The emergence of agentic AI systems capable of autonomous multi-step reasoning introduces both new opportunities and new governance challenges that the pharmacological community is only beginning to confront, and the vision of a high-performance medicine that couples human and machine intelligence will be realized only through disciplined validation [47]. Addressing these challenges through rigorous evaluation, transparent reporting, equitable data practices, and thoughtful regulation will determine whether the transformative potential of AI in disease-specific pharmacology is translated into durable and equitable clinical benefit.</w:t>
      </w:r>
    </w:p>
    <w:p>
      <w:pPr>
        <w:pStyle w:val="Heading1"/>
      </w:pPr>
      <w:r>
        <w:t xml:space="preserve">References</w:t>
      </w:r>
    </w:p>
    <w:p>
      <w:pPr>
        <w:pStyle w:val="References"/>
      </w:pPr>
      <w:r>
        <w:t xml:space="preserve">[1] Johnson KW, Torres Soto J, Glicksberg BS, et al. Artificial intelligence in cardiology. Journal of the American College of Cardiology. 2018;71(23):2668-2679.</w:t>
      </w:r>
    </w:p>
    <w:p>
      <w:pPr>
        <w:pStyle w:val="References"/>
      </w:pPr>
      <w:r>
        <w:t xml:space="preserve">[2] Ye C, Fu T, Hao S, et al. Prediction of incident hypertension within the next year using machine learning. Journal of Medical Internet Research. 2018;20(1):e22.</w:t>
      </w:r>
    </w:p>
    <w:p>
      <w:pPr>
        <w:pStyle w:val="References"/>
      </w:pPr>
      <w:r>
        <w:t xml:space="preserve">[3] Koren G, Nordon G, Radinsky K, et al. Machine learning of big data in gaining insight into successful treatment of hypertension. Pharmacology Research &amp; Perspectives. 2018;6(3):e00396.</w:t>
      </w:r>
    </w:p>
    <w:p>
      <w:pPr>
        <w:pStyle w:val="References"/>
      </w:pPr>
      <w:r>
        <w:t xml:space="preserve">[4] International Warfarin Pharmacogenetics Consortium. Estimation of the warfarin dose with clinical and pharmacogenetic data. New England Journal of Medicine. 2009;360(8):753-764.</w:t>
      </w:r>
    </w:p>
    <w:p>
      <w:pPr>
        <w:pStyle w:val="References"/>
      </w:pPr>
      <w:r>
        <w:t xml:space="preserve">[5] Nemati S, Ghassemi MM, Clifford GD. Optimal medication dosing from suboptimal clinical examples: a deep reinforcement learning approach. Proceedings of the IEEE Engineering in Medicine and Biology Society. 2016;2016:2978-2981.</w:t>
      </w:r>
    </w:p>
    <w:p>
      <w:pPr>
        <w:pStyle w:val="References"/>
      </w:pPr>
      <w:r>
        <w:t xml:space="preserve">[6] Shah SJ, Katz DH, Selvaraj S, et al. Phenomapping for novel classification of heart failure with preserved ejection fraction. Circulation. 2015;131(3):269-279.</w:t>
      </w:r>
    </w:p>
    <w:p>
      <w:pPr>
        <w:pStyle w:val="References"/>
      </w:pPr>
      <w:r>
        <w:t xml:space="preserve">[7] Attia ZI, Kapa S, Lopez-Jimenez F, et al. Screening for cardiac contractile dysfunction using an artificial intelligence-enabled electrocardiogram. Nature Medicine. 2019;25(1):70-74.</w:t>
      </w:r>
    </w:p>
    <w:p>
      <w:pPr>
        <w:pStyle w:val="References"/>
      </w:pPr>
      <w:r>
        <w:t xml:space="preserve">[8] Prifti E, Fall A, Davogustto G, et al. Deep learning analysis of electrocardiogram for risk prediction of drug-induced arrhythmias. European Heart Journal. 2021;42(38):3948-3961.</w:t>
      </w:r>
    </w:p>
    <w:p>
      <w:pPr>
        <w:pStyle w:val="References"/>
      </w:pPr>
      <w:r>
        <w:t xml:space="preserve">[9] Finkelstein J, Jeong IC. Machine learning approaches to personalize early prediction of asthma exacerbations. Annals of the New York Academy of Sciences. 2017;1387(1):153-165.</w:t>
      </w:r>
    </w:p>
    <w:p>
      <w:pPr>
        <w:pStyle w:val="References"/>
      </w:pPr>
      <w:r>
        <w:t xml:space="preserve">[10] Merchant RK, Inamdar R, Quade RC. Effectiveness of population health management using the propeller health asthma platform. Journal of Allergy and Clinical Immunology: In Practice. 2016;4(3):455-463.</w:t>
      </w:r>
    </w:p>
    <w:p>
      <w:pPr>
        <w:pStyle w:val="References"/>
      </w:pPr>
      <w:r>
        <w:t xml:space="preserve">[11] Howard R, Rattray M, Prosperi M, et al. Distinguishing asthma phenotypes using machine learning approaches. Current Allergy and Asthma Reports. 2015;15(7):38.</w:t>
      </w:r>
    </w:p>
    <w:p>
      <w:pPr>
        <w:pStyle w:val="References"/>
      </w:pPr>
      <w:r>
        <w:t xml:space="preserve">[12] Agusti A, Bel E, Thomas M, et al. Treatable traits: toward precision medicine of chronic airway diseases. European Respiratory Journal. 2016;47(2):410-419.</w:t>
      </w:r>
    </w:p>
    <w:p>
      <w:pPr>
        <w:pStyle w:val="References"/>
      </w:pPr>
      <w:r>
        <w:t xml:space="preserve">[13] Wang C, Chen X, Du L, et al. Comparison of machine learning algorithms for the identification of acute exacerbations in chronic obstructive pulmonary disease. Computer Methods and Programs in Biomedicine. 2020;188:105267.</w:t>
      </w:r>
    </w:p>
    <w:p>
      <w:pPr>
        <w:pStyle w:val="References"/>
      </w:pPr>
      <w:r>
        <w:t xml:space="preserve">[14] Feng Y, Zhao J, Kleinstreuer C, et al. An in silico inter-subject variability study of extra-thoracic morphology effects on inhaled particle transport and deposition. Journal of Aerosol Science. 2018;123:185-207.</w:t>
      </w:r>
    </w:p>
    <w:p>
      <w:pPr>
        <w:pStyle w:val="References"/>
      </w:pPr>
      <w:r>
        <w:t xml:space="preserve">[15] Sibieude E, Khandelwal A, Hesthaven JS, et al. Fast screening of covariates in population models empowered by machine learning. Journal of Pharmacokinetics and Pharmacodynamics. 2021;48(4):597-609.</w:t>
      </w:r>
    </w:p>
    <w:p>
      <w:pPr>
        <w:pStyle w:val="References"/>
      </w:pPr>
      <w:r>
        <w:t xml:space="preserve">[16] Wynants L, Van Calster B, Collins GS, et al. Prediction models for diagnosis and prognosis of COVID-19: systematic review and critical appraisal. BMJ. 2020;369:m1328.</w:t>
      </w:r>
    </w:p>
    <w:p>
      <w:pPr>
        <w:pStyle w:val="References"/>
      </w:pPr>
      <w:r>
        <w:t xml:space="preserve">[17] Zhavoronkov A, Aladinskiy V, Zhebrak A, et al. Potential COVID-19 therapeutic agents identified using a deep learning generative model. Nature Communications. 2021;12:2585.</w:t>
      </w:r>
    </w:p>
    <w:p>
      <w:pPr>
        <w:pStyle w:val="References"/>
      </w:pPr>
      <w:r>
        <w:t xml:space="preserve">[18] Kann BH, Hosny A, Aerts HJWL. Artificial intelligence for clinical oncology. Cancer Cell. 2021;39(7):916-927.</w:t>
      </w:r>
    </w:p>
    <w:p>
      <w:pPr>
        <w:pStyle w:val="References"/>
      </w:pPr>
      <w:r>
        <w:t xml:space="preserve">[19] Bhinder B, Gilvary C, Madhukar NS, et al. Artificial intelligence in cancer research and precision medicine. Cancer Discovery. 2021;11(4):900-915.</w:t>
      </w:r>
    </w:p>
    <w:p>
      <w:pPr>
        <w:pStyle w:val="References"/>
      </w:pPr>
      <w:r>
        <w:t xml:space="preserve">[20] Sundaram L, Gao H, Padigepati SR, et al. Predicting the clinical impact of human mutation with deep neural networks. Nature Genetics. 2018;50(8):1161-1170.</w:t>
      </w:r>
    </w:p>
    <w:p>
      <w:pPr>
        <w:pStyle w:val="References"/>
      </w:pPr>
      <w:r>
        <w:t xml:space="preserve">[21] Bailey MH, Tokheim C, Porta-Pardo E, et al. Comprehensive characterization of cancer driver genes and mutations. Cell. 2018;173(2):371-385.</w:t>
      </w:r>
    </w:p>
    <w:p>
      <w:pPr>
        <w:pStyle w:val="References"/>
      </w:pPr>
      <w:r>
        <w:t xml:space="preserve">[22] Iorio F, Knijnenburg TA, Vis DJ, et al. A landscape of pharmacogenomic interactions in cancer. Cell. 2016;166(3):740-754.</w:t>
      </w:r>
    </w:p>
    <w:p>
      <w:pPr>
        <w:pStyle w:val="References"/>
      </w:pPr>
      <w:r>
        <w:t xml:space="preserve">[23] Kuenzi BM, Park J, Fong SH, et al. Predicting drug response and synergy using a deep learning model of human cancer cells. Cancer Cell. 2020;38(5):672-684.</w:t>
      </w:r>
    </w:p>
    <w:p>
      <w:pPr>
        <w:pStyle w:val="References"/>
      </w:pPr>
      <w:r>
        <w:t xml:space="preserve">[24] Chowell D, Yoo SK, Valero C, et al. Improved prediction of immune checkpoint blockade efficacy across multiple cancer types. Nature Biotechnology. 2022;40(4):499-506.</w:t>
      </w:r>
    </w:p>
    <w:p>
      <w:pPr>
        <w:pStyle w:val="References"/>
      </w:pPr>
      <w:r>
        <w:t xml:space="preserve">[25] Saltz J, Gupta R, Hou L, et al. Spatial organization and molecular correlation of tumor-infiltrating lymphocytes using deep learning on pathology images. Cell Reports. 2018;23(1):181-193.</w:t>
      </w:r>
    </w:p>
    <w:p>
      <w:pPr>
        <w:pStyle w:val="References"/>
      </w:pPr>
      <w:r>
        <w:t xml:space="preserve">[26] Coffey KC, Choueiri TK, Rini BI, et al. Predicting immune-related adverse events using machine learning approaches. Journal for ImmunoTherapy of Cancer. 2021;9(9):e002961.</w:t>
      </w:r>
    </w:p>
    <w:p>
      <w:pPr>
        <w:pStyle w:val="References"/>
      </w:pPr>
      <w:r>
        <w:t xml:space="preserve">[27] Caravagna G, Giarratano Y, Ramazzotti D, et al. Detecting repeated cancer evolution from multi-region tumor sequencing data. Nature Methods. 2018;15(9):707-714.</w:t>
      </w:r>
    </w:p>
    <w:p>
      <w:pPr>
        <w:pStyle w:val="References"/>
      </w:pPr>
      <w:r>
        <w:t xml:space="preserve">[28] Wan JCM, Massie C, Garcia-Corbacho J, et al. Liquid biopsies come of age: towards implementation of circulating tumour DNA. Nature Reviews Cancer. 2017;17(4):223-238.</w:t>
      </w:r>
    </w:p>
    <w:p>
      <w:pPr>
        <w:pStyle w:val="References"/>
      </w:pPr>
      <w:r>
        <w:t xml:space="preserve">[29] Preuer K, Lewis RPI, Hochreiter S, et al. DeepSynergy: predicting anti-cancer drug synergy with deep learning. Bioinformatics. 2018;34(9):1538-1546.</w:t>
      </w:r>
    </w:p>
    <w:p>
      <w:pPr>
        <w:pStyle w:val="References"/>
      </w:pPr>
      <w:r>
        <w:t xml:space="preserve">[30] Menden MP, Wang D, Mason MJ, et al. Community assessment to advance computational prediction of cancer drug combinations. Nature Communications. 2019;10:2674.</w:t>
      </w:r>
    </w:p>
    <w:p>
      <w:pPr>
        <w:pStyle w:val="References"/>
      </w:pPr>
      <w:r>
        <w:t xml:space="preserve">[31] Vlachogiannis G, Hedayat S, Vatsiou A, et al. Patient-derived organoids model treatment response of metastatic gastrointestinal cancers. Science. 2018;359(6378):920-926.</w:t>
      </w:r>
    </w:p>
    <w:p>
      <w:pPr>
        <w:pStyle w:val="References"/>
      </w:pPr>
      <w:r>
        <w:t xml:space="preserve">[32] Letai A, Bhola P, Welm AL. Functional precision oncology: testing tumors with drugs to identify vulnerabilities and novel combinations. Cancer Cell. 2022;40(1):26-35.</w:t>
      </w:r>
    </w:p>
    <w:p>
      <w:pPr>
        <w:pStyle w:val="References"/>
      </w:pPr>
      <w:r>
        <w:t xml:space="preserve">[33] Vamathevan J, Clark D, Czodrowski P, et al. Applications of machine learning in drug discovery and development. Nature Reviews Drug Discovery. 2019;18(6):463-477.</w:t>
      </w:r>
    </w:p>
    <w:p>
      <w:pPr>
        <w:pStyle w:val="References"/>
      </w:pPr>
      <w:r>
        <w:t xml:space="preserve">[34] Zhavoronkov A, Ivanenkov YA, Aliper A, et al. Deep learning enables rapid identification of potent inhibitors in drug discovery. Nature Biotechnology. 2019;37(9):1038-1040.</w:t>
      </w:r>
    </w:p>
    <w:p>
      <w:pPr>
        <w:pStyle w:val="References"/>
      </w:pPr>
      <w:r>
        <w:t xml:space="preserve">[35] Ding Y, Sohn JH, Kawczynski MG, et al. A deep learning model to predict a diagnosis of Alzheimer disease using 18F-FDG PET of the brain. Radiology. 2019;290(2):456-464.</w:t>
      </w:r>
    </w:p>
    <w:p>
      <w:pPr>
        <w:pStyle w:val="References"/>
      </w:pPr>
      <w:r>
        <w:t xml:space="preserve">[36] Lonini L, Dai A, Shawen N, et al. Wearable sensors for Parkinson's disease: which data are worth collecting for training symptom detection models. NPJ Digital Medicine. 2018;1:64.</w:t>
      </w:r>
    </w:p>
    <w:p>
      <w:pPr>
        <w:pStyle w:val="References"/>
      </w:pPr>
      <w:r>
        <w:t xml:space="preserve">[37] Dennis JM, Shields BM, Henley WE, et al. Disease progression and treatment response in data-driven subgroups of type 2 diabetes. The Lancet Diabetes &amp; Endocrinology. 2019;7(6):442-451.</w:t>
      </w:r>
    </w:p>
    <w:p>
      <w:pPr>
        <w:pStyle w:val="References"/>
      </w:pPr>
      <w:r>
        <w:t xml:space="preserve">[38] Bergenstal RM, Garg S, Weinzimer SA, et al. Safety of a hybrid closed-loop insulin delivery system in patients with type 1 diabetes. JAMA. 2016;316(13):1407-1408.</w:t>
      </w:r>
    </w:p>
    <w:p>
      <w:pPr>
        <w:pStyle w:val="References"/>
      </w:pPr>
      <w:r>
        <w:t xml:space="preserve">[39] Contreras I, Vehi J. Artificial intelligence for diabetes management and decision support: literature review. Journal of Medical Internet Research. 2018;20(5):e10775.</w:t>
      </w:r>
    </w:p>
    <w:p>
      <w:pPr>
        <w:pStyle w:val="References"/>
      </w:pPr>
      <w:r>
        <w:t xml:space="preserve">[40] Taylor-Weiner A, Pokkalla H, Han L, et al. A machine learning approach enables quantitative measurement of liver histology and disease monitoring in NASH. Hepatology. 2021;74(1):133-147.</w:t>
      </w:r>
    </w:p>
    <w:p>
      <w:pPr>
        <w:pStyle w:val="References"/>
      </w:pPr>
      <w:r>
        <w:t xml:space="preserve">[41] Wong F, Zheng EJ, Valeri JA, et al. Discovery of a structural class of antibiotics with explainable deep learning. Nature. 2024;626(7997):177-185.</w:t>
      </w:r>
    </w:p>
    <w:p>
      <w:pPr>
        <w:pStyle w:val="References"/>
      </w:pPr>
      <w:r>
        <w:t xml:space="preserve">[42] Goodman KE, Lessler J, Cosgrove SE, et al. A clinical decision tree to predict whether a bacteremic patient is infected with an extended-spectrum beta-lactamase-producing organism. Clinical Infectious Diseases. 2016;63(7):896-903.</w:t>
      </w:r>
    </w:p>
    <w:p>
      <w:pPr>
        <w:pStyle w:val="References"/>
      </w:pPr>
      <w:r>
        <w:t xml:space="preserve">[43] Kanjilal S, Oberst M, Boominathan S, et al. A decision algorithm to promote outpatient antimicrobial stewardship for uncomplicated urinary tract infection. Science Translational Medicine. 2020;12(568):eaay5067.</w:t>
      </w:r>
    </w:p>
    <w:p>
      <w:pPr>
        <w:pStyle w:val="References"/>
      </w:pPr>
      <w:r>
        <w:t xml:space="preserve">[44] Ton AT, Gentile F, Hsing M, et al. Rapid identification of potential inhibitors of SARS-CoV-2 main protease by deep docking of 1.3 billion compounds. Molecular Informatics. 2020;39(8):e2000028.</w:t>
      </w:r>
    </w:p>
    <w:p>
      <w:pPr>
        <w:pStyle w:val="References"/>
      </w:pPr>
      <w:r>
        <w:t xml:space="preserve">[45] Hie B, Zhong ED, Berger B, et al. Learning the language of viral evolution and escape. Science. 2021;371(6526):284-288.</w:t>
      </w:r>
    </w:p>
    <w:p>
      <w:pPr>
        <w:pStyle w:val="References"/>
      </w:pPr>
      <w:r>
        <w:t xml:space="preserve">[46] Topol EJ. High-performance medicine: the convergence of human and artificial intelligence. Nature Medicine. 2019;25(1):44-56.</w:t>
      </w:r>
    </w:p>
    <w:p>
      <w:pPr>
        <w:pStyle w:val="References"/>
      </w:pPr>
      <w:r>
        <w:t xml:space="preserve">[47] Rajkomar A, Dean J, Kohane I. Machine learning in medicine. New England Journal of Medicine. 2019;380(14):1347-1358.</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FigureImage">
    <w:name w:val="Figure Image"/>
    <w:basedOn w:val="Normal"/>
    <w:pPr>
      <w:jc w:val="center"/>
      <w:spacing w:before="120" w:after="60"/>
    </w:pPr>
  </w:style>
  <w:style w:type="paragraph" w:styleId="FigureCaption">
    <w:name w:val="Figure Caption"/>
    <w:basedOn w:val="Normal"/>
    <w:pPr>
      <w:jc w:val="center"/>
      <w:spacing w:before="0" w:after="240"/>
    </w:pPr>
    <w:rPr>
      <w:i/>
      <w:sz w:val="22"/>
      <w:szCs w:val="22"/>
    </w:rPr>
  </w:style>
  <w:style w:type="paragraph" w:styleId="TableCaption">
    <w:name w:val="Table Caption"/>
    <w:basedOn w:val="Normal"/>
    <w:pPr>
      <w:spacing w:before="12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1.png"/>
<Relationship Id="rIdImg2" Type="http://schemas.openxmlformats.org/officeDocument/2006/relationships/image" Target="media/Figure_2.png"/>
<Relationship Id="rIdImg3" Type="http://schemas.openxmlformats.org/officeDocument/2006/relationships/image" Target="media/Figure_3.png"/>
<Relationship Id="rIdImg4" Type="http://schemas.openxmlformats.org/officeDocument/2006/relationships/image" Target="media/Figure_4.png"/>
</Relationships>
</file>