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12. Computational Fluid Dynamics and AI in Drug Delivery</w:t>
      </w:r>
    </w:p>
    <w:p>
      <w:pPr>
        <w:pStyle w:val="Heading1"/>
      </w:pPr>
      <w:r>
        <w:t xml:space="preserve">Abstract</w:t>
      </w:r>
    </w:p>
    <w:p>
      <w:pPr>
        <w:pStyle w:val="Abstract"/>
      </w:pPr>
      <w:r>
        <w:t xml:space="preserve">Computational fluid dynamics (CFD) has evolved from a specialized engineering discipline into an indispensable tool for understanding, designing, and optimizing drug delivery systems. By numerically solving the governing equations of fluid motion, mass transport, and heat transfer, CFD provides quantitative, spatially resolved insight into phenomena that are difficult, expensive, or impossible to measure experimentally within the human body. Across inhalation therapy, intravascular drug transport, ocular and intranasal delivery, targeted nanoparticle circulation, and implantable devices, CFD reveals how patient-specific anatomy, physiological flow conditions, and formulation properties jointly govern where a therapeutic agent deposits, how long it resides, and at what concentration it reaches its intended target. This chapter presents the fundamentals of CFD as applied to biomedical fluid systems, describes the modelling of fluid flow and drug transport in representative biological geometries, and examines the rapidly maturing integration of CFD with machine learning and digital simulation. It is organized to move progressively from foundational theory, through domain-specific application, to the emerging computational methods that are reshaping the discipline, so that the reader acquires both the conceptual grounding and an appreciation of the current research frontier. The convergence of high-fidelity physics-based modelling with data-driven surrogates, physics-informed neural networks, reduced-order models, and digital twins is transforming drug delivery from an empirical, trial-and-error endeavour into a predictive, personalized, and computationally efficient science. Emphasis is placed on the practical workflow: geometry reconstruction, mesh generation, boundary condition specification, turbulence and multiphase treatment, particle tracking, and validation against in vitro and in vivo data. The chapter also addresses the principal challenges of accuracy, computational cost, uncertainty quantification, and regulatory acceptance, and outlines how hybrid CFD–AI frameworks are poised to accelerate the design of next-generation delivery platforms. The material is intended to equip researchers and practitioners with a conceptual and methodological foundation for deploying these tools in translational biomedical engineering.</w:t>
      </w:r>
    </w:p>
    <w:p>
      <w:pPr>
        <w:pStyle w:val="Heading1"/>
      </w:pPr>
      <w:r>
        <w:t xml:space="preserve">12.1 Fundamentals of Computational Fluid Dynamics</w:t>
      </w:r>
    </w:p>
    <w:p>
      <w:pPr>
        <w:pStyle w:val="Heading2"/>
      </w:pPr>
      <w:r>
        <w:t xml:space="preserve">12.1.1 Governing Equations of Fluid Motion</w:t>
      </w:r>
    </w:p>
    <w:p>
      <w:pPr>
        <w:pStyle w:val="Normal"/>
      </w:pPr>
      <w:r>
        <w:t xml:space="preserve">Computational fluid dynamics rests on the numerical solution of the conservation laws that describe the motion of fluids. The foundation is the set of Navier–Stokes equations, which express the conservation of mass and momentum for a continuous medium. For an incompressible Newtonian fluid, the continuity equation enforces that the divergence of the velocity field vanishes, while the momentum equation balances inertial forces against pressure gradients, viscous stresses, and body forces [1]. These equations are derived from the continuum hypothesis, which treats the fluid as a smooth field of properties rather than a collection of discrete molecules; this assumption holds well for the length scales of most drug delivery problems, from centimetre-scale airways to micrometre-scale capillaries, breaking down only at the very smallest scales approaching the mean free path of the fluid molecules. In most physiological contexts, blood plasma, airway mucus, interstitial fluid, and pharmaceutical carrier liquids can be treated as incompressible, so the density is held constant and the pressure acts as a Lagrange multiplier enforcing the incompressibility constraint [2]. This incompressibility assumption simplifies the equations considerably, but it also gives rise to the pressure–velocity coupling that makes the numerical solution of the incompressible Navier–Stokes equations a distinctive challenge, addressed by specialized algorithms that iterate between the momentum and continuity equations until both are satisfied simultaneously.</w:t>
      </w:r>
    </w:p>
    <w:p>
      <w:pPr>
        <w:pStyle w:val="Normal"/>
      </w:pPr>
      <w:r>
        <w:t xml:space="preserve">Where thermal effects or concentration-dependent buoyancy matter, an energy conservation equation and a species transport equation are solved alongside the momentum balance. The species transport, or advection–diffusion–reaction equation, is of central importance to drug delivery because it governs how a dissolved or suspended therapeutic agent is carried by the bulk flow, spreads by molecular and turbulent diffusion, and is consumed or produced by reaction, binding, or metabolism [3]. The relative magnitude of advective to diffusive transport is characterized by the Peclet number; in large arteries advection dominates and drug is swept rapidly downstream, whereas in the stagnant vitreous humour of the eye diffusion controls the slow spread of an injected agent. Recognizing which regime prevails in a given anatomical compartment is essential to choosing appropriate numerical resolution and to interpreting the predicted concentration fields. High-Peclet flows dominated by advection are prone to numerical difficulties, because the sharp concentration gradients they produce can generate spurious oscillations unless the discretization is chosen carefully or stabilized, a practical concern that recurs whenever a drug plume is convected through a vessel or airway. The reaction term in the transport equation adds a further layer of coupling, representing binding to receptors, uptake by cells, degradation, or metabolism, and its inclusion transforms a passive tracer problem into one in which the drug is actively consumed or transformed as it travels, which is essential for predicting the effective dose delivered to a tissue rather than merely the amount that passes by it. Together, these coupled partial differential equations form a nonlinear system that admits closed-form solutions only for a handful of idealized geometries; realistic biological domains demand numerical approximation [4].</w:t>
      </w:r>
    </w:p>
    <w:p>
      <w:pPr>
        <w:pStyle w:val="Normal"/>
      </w:pPr>
      <w:r>
        <w:t xml:space="preserve">A defining feature of biological fluids is that many of them are non-Newtonian. Blood, for example, exhibits shear-thinning behaviour arising from the aggregation and deformation of red blood cells, and is commonly represented by the Carreau–Yasuda or Casson constitutive models rather than a constant viscosity [5]. At high shear rates in large vessels blood approaches a constant asymptotic viscosity and a Newtonian assumption is often acceptable, but in regions of recirculation, low shear, and stasis, such as aneurysm sacs or downstream of a stenosis, the shear-thinning character becomes important and neglecting it can substantially misestimate the wall shear stress that governs particle deposition. Mucus and synovial fluid display viscoelastic responses, and pharmaceutical suspensions may show yield-stress behaviour that resists flow until a threshold stress is exceeded. Selecting an appropriate rheological model is therefore a first-order decision that materially affects predicted wall shear stress, particle trajectories, and drug dispersion [6]. The coupling between rheology and transport is bidirectional: the flow field shaped by the fluid's viscosity determines where a drug is carried, while in some formulations the local drug or particle concentration itself alters the effective viscosity, closing a feedback loop that must be captured for concentrated suspensions.</w:t>
      </w:r>
    </w:p>
    <w:p>
      <w:pPr>
        <w:pStyle w:val="Heading2"/>
      </w:pPr>
      <w:r>
        <w:t xml:space="preserve">12.1.2 Discretization and Numerical Methods</w:t>
      </w:r>
    </w:p>
    <w:p>
      <w:pPr>
        <w:pStyle w:val="Normal"/>
      </w:pPr>
      <w:r>
        <w:t xml:space="preserve">Because the governing equations cannot generally be solved analytically over complex anatomies, CFD discretizes the continuous domain into a finite collection of cells or elements and converts the differential equations into a large system of algebraic equations that a computer can solve. This transformation from a continuous problem with infinitely many degrees of freedom to a discrete one with finitely many is the essential act of computational fluid dynamics, and the manner in which it is performed determines the accuracy, stability, and cost of the resulting method. The three dominant discretization strategies are the finite difference method, the finite volume method, and the finite element method [7]. The finite difference method, the oldest and conceptually simplest, approximates derivatives directly on a structured grid and is straightforward to implement but ill-suited to the irregular geometries of biological anatomy. The finite volume method is the workhorse of commercial and open-source CFD codes because it enforces conservation locally over each control volume, an attractive property when tracking drug mass through the domain, since it guarantees that the amount of a species leaving one cell exactly enters its neighbour, with no spurious creation or loss of drug. The finite element method, by contrast, offers superior flexibility for complex geometries and coupled multiphysics problems and is favoured in many biomechanical solvers [8]. These distinctions, together with the mesoscopic lattice Boltzmann method, are compared in Table 1.</w:t>
      </w:r>
    </w:p>
    <w:p>
      <w:pPr>
        <w:pStyle w:val="Normal"/>
      </w:pPr>
      <w:r>
        <w:t xml:space="preserve">The fidelity of a CFD solution is inseparable from the quality of the computational mesh. Mesh generation over patient-specific anatomy reconstructed from computed tomography or magnetic resonance imaging is often the most labour-intensive stage of a study. Raw medical images must first be segmented to delineate the fluid domain, the resulting surface smoothed and repaired to remove artefacts, and only then discretized into a volume mesh. Near walls, where velocity gradients and wall shear stress are steep, thin prismatic boundary layers are required to resolve the flow accurately; in the bulk, tetrahedral or polyhedral cells provide geometric flexibility [9]. Polyhedral meshes have grown popular in biomedical work because they achieve comparable accuracy to tetrahedral meshes with fewer cells, reducing memory and runtime. A rigorous mesh-independence study, in which the solution is shown to be insensitive to further refinement, is a non-negotiable prerequisite for credible results, and its omission is a common source of unreliable published findings [10]. Quantities such as wall shear stress and near-wall particle deposition are particularly sensitive to boundary-layer resolution, so mesh convergence must be demonstrated for the specific output of interest rather than for a global average alone.</w:t>
      </w:r>
    </w:p>
    <w:p>
      <w:pPr>
        <w:pStyle w:val="Normal"/>
      </w:pPr>
      <w:r>
        <w:t xml:space="preserve">Time integration adds a further dimension. Many drug delivery flows are inherently unsteady, driven by the cardiac cycle, the respiratory cycle, or pulsatile pump operation. Transient simulations therefore march the solution forward through time using implicit or explicit schemes, with the time step constrained by stability and accuracy considerations captured in the Courant–Friedrichs–Lewy condition [11]. Implicit schemes permit larger time steps and are common for the relatively slow, incompressible physiological flows of interest, whereas explicit schemes are reserved for problems dominated by fast transients. Because periodic flows require several cycles to shed the influence of arbitrary initial conditions before a repeatable cycle-to-cycle solution emerges, a single transient study may demand thousands of time steps, each requiring the solution of a large linear system. The computational expense of resolving many cardiac or breathing cycles at fine spatial resolution is one of the principal motivations for the AI-based acceleration methods discussed later in this chapter.</w:t>
      </w:r>
    </w:p>
    <w:p>
      <w:pPr>
        <w:pStyle w:val="Normal"/>
      </w:pPr>
      <w:r>
        <w:t xml:space="preserve">Beyond these classical schemes, the lattice Boltzmann method has gained traction for biomedical flows in geometrically complex or porous domains such as the microvasculature and tissue scaffolds, because its mesoscopic formulation handles intricate boundaries and parallelizes efficiently. Table 1 summarizes the principal numerical methods and their characteristic strengths and limitations in the biomedical context, and the trade-offs it captures recur throughout the applications discussed in the remainder of this chapter.</w:t>
      </w:r>
    </w:p>
    <w:p>
      <w:pPr>
        <w:pStyle w:val="TableCaption"/>
      </w:pPr>
      <w:r>
        <w:t xml:space="preserve">Table 1. Comparison of discretization methods used in biomedical CFD.</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40"/>
        <w:gridCol w:w="1840"/>
        <w:gridCol w:w="1840"/>
        <w:gridCol w:w="1840"/>
        <w:gridCol w:w="1840"/>
      </w:tblGrid>
      <w:tr>
        <w:trPr>
          <w:tblHeader/>
        </w:trPr>
        <w:tc>
          <w:tcPr>
            <w:shd w:val="clear" w:color="auto" w:fill="D9E2F3"/>
            <w:vAlign w:val="center"/>
          </w:tcPr>
          <w:p>
            <w:pPr>
              <w:jc w:val="center"/>
              <w:spacing w:after="20" w:line="240" w:lineRule="auto"/>
            </w:pPr>
            <w:r>
              <w:rPr>
                <w:b/>
                <w:sz w:val="20"/>
              </w:rPr>
              <w:t xml:space="preserve">Method</w:t>
            </w:r>
          </w:p>
        </w:tc>
        <w:tc>
          <w:tcPr>
            <w:shd w:val="clear" w:color="auto" w:fill="D9E2F3"/>
            <w:vAlign w:val="center"/>
          </w:tcPr>
          <w:p>
            <w:pPr>
              <w:jc w:val="center"/>
              <w:spacing w:after="20" w:line="240" w:lineRule="auto"/>
            </w:pPr>
            <w:r>
              <w:rPr>
                <w:b/>
                <w:sz w:val="20"/>
              </w:rPr>
              <w:t xml:space="preserve">Conservation</w:t>
            </w:r>
          </w:p>
        </w:tc>
        <w:tc>
          <w:tcPr>
            <w:shd w:val="clear" w:color="auto" w:fill="D9E2F3"/>
            <w:vAlign w:val="center"/>
          </w:tcPr>
          <w:p>
            <w:pPr>
              <w:jc w:val="center"/>
              <w:spacing w:after="20" w:line="240" w:lineRule="auto"/>
            </w:pPr>
            <w:r>
              <w:rPr>
                <w:b/>
                <w:sz w:val="20"/>
              </w:rPr>
              <w:t xml:space="preserve">Geometry Handling</w:t>
            </w:r>
          </w:p>
        </w:tc>
        <w:tc>
          <w:tcPr>
            <w:shd w:val="clear" w:color="auto" w:fill="D9E2F3"/>
            <w:vAlign w:val="center"/>
          </w:tcPr>
          <w:p>
            <w:pPr>
              <w:jc w:val="center"/>
              <w:spacing w:after="20" w:line="240" w:lineRule="auto"/>
            </w:pPr>
            <w:r>
              <w:rPr>
                <w:b/>
                <w:sz w:val="20"/>
              </w:rPr>
              <w:t xml:space="preserve">Typical Use in Drug Delivery</w:t>
            </w:r>
          </w:p>
        </w:tc>
        <w:tc>
          <w:tcPr>
            <w:shd w:val="clear" w:color="auto" w:fill="D9E2F3"/>
            <w:vAlign w:val="center"/>
          </w:tcPr>
          <w:p>
            <w:pPr>
              <w:jc w:val="center"/>
              <w:spacing w:after="20" w:line="240" w:lineRule="auto"/>
            </w:pPr>
            <w:r>
              <w:rPr>
                <w:b/>
                <w:sz w:val="20"/>
              </w:rPr>
              <w:t xml:space="preserve">Key Limitation</w:t>
            </w:r>
          </w:p>
        </w:tc>
      </w:tr>
      <w:tr>
        <w:tc>
          <w:tcPr>
            <w:vAlign w:val="center"/>
          </w:tcPr>
          <w:p>
            <w:pPr>
              <w:spacing w:after="20" w:line="240" w:lineRule="auto"/>
            </w:pPr>
            <w:r>
              <w:rPr>
                <w:sz w:val="20"/>
              </w:rPr>
              <w:t xml:space="preserve">Finite Difference</w:t>
            </w:r>
          </w:p>
        </w:tc>
        <w:tc>
          <w:tcPr>
            <w:vAlign w:val="center"/>
          </w:tcPr>
          <w:p>
            <w:pPr>
              <w:spacing w:after="20" w:line="240" w:lineRule="auto"/>
            </w:pPr>
            <w:r>
              <w:rPr>
                <w:sz w:val="20"/>
              </w:rPr>
              <w:t xml:space="preserve">Not inherently local</w:t>
            </w:r>
          </w:p>
        </w:tc>
        <w:tc>
          <w:tcPr>
            <w:vAlign w:val="center"/>
          </w:tcPr>
          <w:p>
            <w:pPr>
              <w:spacing w:after="20" w:line="240" w:lineRule="auto"/>
            </w:pPr>
            <w:r>
              <w:rPr>
                <w:sz w:val="20"/>
              </w:rPr>
              <w:t xml:space="preserve">Poor for complex shapes</w:t>
            </w:r>
          </w:p>
        </w:tc>
        <w:tc>
          <w:tcPr>
            <w:vAlign w:val="center"/>
          </w:tcPr>
          <w:p>
            <w:pPr>
              <w:spacing w:after="20" w:line="240" w:lineRule="auto"/>
            </w:pPr>
            <w:r>
              <w:rPr>
                <w:sz w:val="20"/>
              </w:rPr>
              <w:t xml:space="preserve">Idealized channels, benchmarks</w:t>
            </w:r>
          </w:p>
        </w:tc>
        <w:tc>
          <w:tcPr>
            <w:vAlign w:val="center"/>
          </w:tcPr>
          <w:p>
            <w:pPr>
              <w:spacing w:after="20" w:line="240" w:lineRule="auto"/>
            </w:pPr>
            <w:r>
              <w:rPr>
                <w:sz w:val="20"/>
              </w:rPr>
              <w:t xml:space="preserve">Structured grids only</w:t>
            </w:r>
          </w:p>
        </w:tc>
      </w:tr>
      <w:tr>
        <w:tc>
          <w:tcPr>
            <w:vAlign w:val="center"/>
          </w:tcPr>
          <w:p>
            <w:pPr>
              <w:spacing w:after="20" w:line="240" w:lineRule="auto"/>
            </w:pPr>
            <w:r>
              <w:rPr>
                <w:sz w:val="20"/>
              </w:rPr>
              <w:t xml:space="preserve">Finite Volume</w:t>
            </w:r>
          </w:p>
        </w:tc>
        <w:tc>
          <w:tcPr>
            <w:vAlign w:val="center"/>
          </w:tcPr>
          <w:p>
            <w:pPr>
              <w:spacing w:after="20" w:line="240" w:lineRule="auto"/>
            </w:pPr>
            <w:r>
              <w:rPr>
                <w:sz w:val="20"/>
              </w:rPr>
              <w:t xml:space="preserve">Locally conservative</w:t>
            </w:r>
          </w:p>
        </w:tc>
        <w:tc>
          <w:tcPr>
            <w:vAlign w:val="center"/>
          </w:tcPr>
          <w:p>
            <w:pPr>
              <w:spacing w:after="20" w:line="240" w:lineRule="auto"/>
            </w:pPr>
            <w:r>
              <w:rPr>
                <w:sz w:val="20"/>
              </w:rPr>
              <w:t xml:space="preserve">Good with unstructured meshes</w:t>
            </w:r>
          </w:p>
        </w:tc>
        <w:tc>
          <w:tcPr>
            <w:vAlign w:val="center"/>
          </w:tcPr>
          <w:p>
            <w:pPr>
              <w:spacing w:after="20" w:line="240" w:lineRule="auto"/>
            </w:pPr>
            <w:r>
              <w:rPr>
                <w:sz w:val="20"/>
              </w:rPr>
              <w:t xml:space="preserve">Airway, arterial, nozzle flows</w:t>
            </w:r>
          </w:p>
        </w:tc>
        <w:tc>
          <w:tcPr>
            <w:vAlign w:val="center"/>
          </w:tcPr>
          <w:p>
            <w:pPr>
              <w:spacing w:after="20" w:line="240" w:lineRule="auto"/>
            </w:pPr>
            <w:r>
              <w:rPr>
                <w:sz w:val="20"/>
              </w:rPr>
              <w:t xml:space="preserve">Higher-order accuracy harder</w:t>
            </w:r>
          </w:p>
        </w:tc>
      </w:tr>
      <w:tr>
        <w:tc>
          <w:tcPr>
            <w:vAlign w:val="center"/>
          </w:tcPr>
          <w:p>
            <w:pPr>
              <w:spacing w:after="20" w:line="240" w:lineRule="auto"/>
            </w:pPr>
            <w:r>
              <w:rPr>
                <w:sz w:val="20"/>
              </w:rPr>
              <w:t xml:space="preserve">Finite Element</w:t>
            </w:r>
          </w:p>
        </w:tc>
        <w:tc>
          <w:tcPr>
            <w:vAlign w:val="center"/>
          </w:tcPr>
          <w:p>
            <w:pPr>
              <w:spacing w:after="20" w:line="240" w:lineRule="auto"/>
            </w:pPr>
            <w:r>
              <w:rPr>
                <w:sz w:val="20"/>
              </w:rPr>
              <w:t xml:space="preserve">Weak-form conservation</w:t>
            </w:r>
          </w:p>
        </w:tc>
        <w:tc>
          <w:tcPr>
            <w:vAlign w:val="center"/>
          </w:tcPr>
          <w:p>
            <w:pPr>
              <w:spacing w:after="20" w:line="240" w:lineRule="auto"/>
            </w:pPr>
            <w:r>
              <w:rPr>
                <w:sz w:val="20"/>
              </w:rPr>
              <w:t xml:space="preserve">Excellent for complex anatomy</w:t>
            </w:r>
          </w:p>
        </w:tc>
        <w:tc>
          <w:tcPr>
            <w:vAlign w:val="center"/>
          </w:tcPr>
          <w:p>
            <w:pPr>
              <w:spacing w:after="20" w:line="240" w:lineRule="auto"/>
            </w:pPr>
            <w:r>
              <w:rPr>
                <w:sz w:val="20"/>
              </w:rPr>
              <w:t xml:space="preserve">Tissue coupling, FSI, transport</w:t>
            </w:r>
          </w:p>
        </w:tc>
        <w:tc>
          <w:tcPr>
            <w:vAlign w:val="center"/>
          </w:tcPr>
          <w:p>
            <w:pPr>
              <w:spacing w:after="20" w:line="240" w:lineRule="auto"/>
            </w:pPr>
            <w:r>
              <w:rPr>
                <w:sz w:val="20"/>
              </w:rPr>
              <w:t xml:space="preserve">Higher memory cost</w:t>
            </w:r>
          </w:p>
        </w:tc>
      </w:tr>
      <w:tr>
        <w:tc>
          <w:tcPr>
            <w:vAlign w:val="center"/>
          </w:tcPr>
          <w:p>
            <w:pPr>
              <w:spacing w:after="20" w:line="240" w:lineRule="auto"/>
            </w:pPr>
            <w:r>
              <w:rPr>
                <w:sz w:val="20"/>
              </w:rPr>
              <w:t xml:space="preserve">Lattice Boltzmann</w:t>
            </w:r>
          </w:p>
        </w:tc>
        <w:tc>
          <w:tcPr>
            <w:vAlign w:val="center"/>
          </w:tcPr>
          <w:p>
            <w:pPr>
              <w:spacing w:after="20" w:line="240" w:lineRule="auto"/>
            </w:pPr>
            <w:r>
              <w:rPr>
                <w:sz w:val="20"/>
              </w:rPr>
              <w:t xml:space="preserve">Mesoscopic, conservative</w:t>
            </w:r>
          </w:p>
        </w:tc>
        <w:tc>
          <w:tcPr>
            <w:vAlign w:val="center"/>
          </w:tcPr>
          <w:p>
            <w:pPr>
              <w:spacing w:after="20" w:line="240" w:lineRule="auto"/>
            </w:pPr>
            <w:r>
              <w:rPr>
                <w:sz w:val="20"/>
              </w:rPr>
              <w:t xml:space="preserve">Excellent for porous/complex</w:t>
            </w:r>
          </w:p>
        </w:tc>
        <w:tc>
          <w:tcPr>
            <w:vAlign w:val="center"/>
          </w:tcPr>
          <w:p>
            <w:pPr>
              <w:spacing w:after="20" w:line="240" w:lineRule="auto"/>
            </w:pPr>
            <w:r>
              <w:rPr>
                <w:sz w:val="20"/>
              </w:rPr>
              <w:t xml:space="preserve">Microcirculation, porous media</w:t>
            </w:r>
          </w:p>
        </w:tc>
        <w:tc>
          <w:tcPr>
            <w:vAlign w:val="center"/>
          </w:tcPr>
          <w:p>
            <w:pPr>
              <w:spacing w:after="20" w:line="240" w:lineRule="auto"/>
            </w:pPr>
            <w:r>
              <w:rPr>
                <w:sz w:val="20"/>
              </w:rPr>
              <w:t xml:space="preserve">Compressibility artefacts</w:t>
            </w:r>
          </w:p>
        </w:tc>
      </w:tr>
    </w:tbl>
    <w:p>
      <w:pPr>
        <w:spacing w:after="120"/>
      </w:pPr>
    </w:p>
    <w:p>
      <w:pPr>
        <w:pStyle w:val="Heading2"/>
      </w:pPr>
      <w:r>
        <w:t xml:space="preserve">12.1.3 Turbulence, Laminar Flow, and Multiphase Considerations</w:t>
      </w:r>
    </w:p>
    <w:p>
      <w:pPr>
        <w:pStyle w:val="Normal"/>
      </w:pPr>
      <w:r>
        <w:t xml:space="preserve">Whether a flow is laminar or turbulent has profound consequences for drug transport. In laminar flow the fluid moves in smooth, orderly layers and mixing occurs only by molecular diffusion, whereas in turbulent flow chaotic eddies dramatically enhance mixing and dispersion; a drug released into a turbulent stream spreads far more rapidly and reaches the walls far more readily than one released into a laminar stream. The Reynolds number, the ratio of inertial to viscous forces, indicates which regime prevails. Blood flow in most arteries is nominally laminar but can become transitional or locally turbulent downstream of stenoses, at bifurcations, or across prosthetic heart valves, producing recirculation zones that trap particles and alter deposition [12]. These recirculation zones are double-edged for drug delivery: they prolong the residence time of a carrier near a target site, aiding accumulation, but they also generate the disturbed shear associated with disease and, in the case of prosthetic valves, with the activation of blood components. Airflow in the upper respiratory tract during forceful inhalation is frequently turbulent, strongly influencing where inhaled aerosol particles impact and contributing to the substantial losses in the mouth and throat that limit the efficiency of inhaled therapy [13].</w:t>
      </w:r>
    </w:p>
    <w:p>
      <w:pPr>
        <w:pStyle w:val="Normal"/>
      </w:pPr>
      <w:r>
        <w:t xml:space="preserve">Turbulence modelling in biomedical CFD spans a spectrum of fidelity and cost. Reynolds-averaged Navier–Stokes closures such as the k–omega shear stress transport model are computationally economical and widely used, but they average out unsteady structures that may matter for particle mixing [14]. By solving only for the mean flow and modelling the effect of all turbulent fluctuations, these closures deliver results quickly but cannot represent the intermittent, transitional character of many physiological flows, which hover near the boundary between laminar and turbulent behaviour and are consequently among the most difficult to model reliably. Large eddy simulation resolves the larger, energy-containing turbulent scales directly while modelling only the smaller, more universal scales, and is increasingly applied to respiratory flows where the transient turbulent structures of the laryngeal jet materially affect particle deposition, at substantially higher cost. Direct numerical simulation, which resolves all scales down to the smallest dissipative eddies, remains largely infeasible for full-scale physiological geometries and is reserved for fundamental studies of idealized configurations [15]. The choice among these approaches is therefore a pragmatic balance between the fidelity demanded by the transport phenomenon of interest and the computational resources available, a balance that the machine-learning methods discussed later seek to shift decisively in the practitioner's favour.</w:t>
      </w:r>
    </w:p>
    <w:p>
      <w:pPr>
        <w:pStyle w:val="Normal"/>
      </w:pPr>
      <w:r>
        <w:t xml:space="preserve">Drug delivery is intrinsically a multiphase problem. Inhaled therapies involve solid or liquid particles carried in air; intravascular delivery involves suspended nanoparticles or microbubbles in blood; and nebulized or sprayed formulations involve droplet breakup and evaporation. Two broad computational frameworks address this: the Eulerian–Lagrangian approach, which tracks individual particle trajectories through a continuous carrier phase, and the Eulerian–Eulerian approach, which treats each phase as an interpenetrating continuum [16]. In the Lagrangian framework the equation of motion for each particle balances drag, gravity, and, for small particles, Brownian and lift forces, so the trajectory and eventual fate of the particle emerge naturally from integrating its path through the computed flow field. This makes the approach ideal for dilute systems such as inhaled aerosols, where the number of trackable particles is manageable and deposition location is the key output. The Eulerian–Eulerian approach becomes preferable when the dispersed phase is dense enough to influence the carrier flow or too numerous to track individually. A further consideration is coupling: one-way coupling assumes the fluid affects the particles but not vice versa, whereas two-way and four-way coupling account for the reciprocal influence of particles on the fluid and on each other, at greater computational cost. The choice depends on particle loading, size distribution, and the phenomena of interest, and it is one of the most consequential modelling decisions in a drug delivery study [17].</w:t>
      </w:r>
    </w:p>
    <w:p>
      <w:pPr>
        <w:pStyle w:val="Heading1"/>
      </w:pPr>
      <w:r>
        <w:t xml:space="preserve">12.2 Modelling Fluid Flow and Drug Transport in Biological Systems</w:t>
      </w:r>
    </w:p>
    <w:p>
      <w:pPr>
        <w:pStyle w:val="Heading2"/>
      </w:pPr>
      <w:r>
        <w:t xml:space="preserve">12.2.1 Pulmonary and Inhalation Drug Delivery</w:t>
      </w:r>
    </w:p>
    <w:p>
      <w:pPr>
        <w:pStyle w:val="Normal"/>
      </w:pPr>
      <w:r>
        <w:t xml:space="preserve">Inhalation therapy is perhaps the most mature application of CFD in drug delivery. The respiratory tract presents a branching network of airways spanning several orders of magnitude in scale, from the trachea down through some twenty-three generations of bifurcating bronchi to the terminal bronchioles and the hundreds of millions of alveoli where gas exchange occurs. This vast range of scales is precisely what makes the airways both a rich and a demanding subject for simulation, since no single mesh can resolve the entire tree at once. Because it is impractical to image and mesh the full bronchial tree, most studies model a truncated set of generations, often reconstructed from patient CT scans, and apply appropriate outlet boundary conditions to represent the unresolved distal airways [18]. Sophisticated approaches couple a detailed three-dimensional CFD model of the upper and central airways to a reduced one-dimensional or lumped model of the deeper generations, so that the distal airways impose physiologically realistic pressures and flow divisions on the resolved domain without being explicitly meshed. CFD simulations of airflow and particle transport predict regional deposition of inhaled drug particles as a function of particle size, inhalation flow rate, and device geometry [19].</w:t>
      </w:r>
    </w:p>
    <w:p>
      <w:pPr>
        <w:pStyle w:val="Normal"/>
      </w:pPr>
      <w:r>
        <w:t xml:space="preserve">Particle deposition in the airways is governed by three principal mechanisms: inertial impaction, which dominates for large particles at airway bends and bifurcations; gravitational sedimentation, important for intermediate particles in the smaller airways; and Brownian diffusion, which affects the smallest submicron particles [20]. CFD with Lagrangian particle tracking captures all three simultaneously, enabling the aerodynamic particle size distribution of an inhaler to be linked directly to predicted deposition patterns. This capability has become valuable for the design of dry powder inhalers, metered-dose inhalers, and nebulizers, and for demonstrating bioequivalence of generic inhaled products [21].</w:t>
      </w:r>
    </w:p>
    <w:p>
      <w:pPr>
        <w:pStyle w:val="Normal"/>
      </w:pPr>
      <w:r>
        <w:t xml:space="preserve">The influence of the delivery device itself is significant. Turbulence generated within an inhaler mouthpiece deaggregates powder formulations and alters the velocity with which particles enter the mouth and throat, where a large fraction is often lost to impaction in the oropharynx [22]. CFD allows designers to iterate on mouthpiece geometry, grid structures, and swirl-inducing features to minimize this loss and maximize the fine particle fraction reaching the lungs. Because the geometry of the mouth–throat region varies considerably between individuals and strongly influences the fraction of drug that reaches the lung, standardized and patient-specific mouth–throat models have been developed to make CFD deposition predictions more representative and comparable across studies. The dependence of deposition on the inhalation manoeuvre is equally important: a patient's inspiratory flow profile, which differs markedly between healthy subjects and those with obstructive disease, changes both the turbulence within the device and the impaction of particles in the airways, so realistic transient flow waveforms rather than steady flow rates are increasingly used as inlet conditions. This sensitivity to technique explains why the same inhaler can perform very differently in different patients and why training patients to inhale correctly is as important to therapeutic success as the design of the device itself, a clinical reality that simulation helps to make quantitative. Figure 1 illustrates a representative airway model with the dominant deposition mechanisms and the resulting regional deposition profile, and the mechanisms depicted in Figure 1 recur across every region of the respiratory tract discussed below.</w:t>
      </w:r>
    </w:p>
    <w:p>
      <w:pPr>
        <w:pStyle w:val="FigureImage"/>
      </w:pPr>
      <w:r>
        <w:drawing>
          <wp:inline xmlns:wp="http://schemas.openxmlformats.org/drawingml/2006/wordprocessingDrawing" distT="0" distB="0" distL="0" distR="0">
            <wp:extent cx="5715000" cy="3533775"/>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pic:cNvPicPr/>
                  </pic:nvPicPr>
                  <pic:blipFill>
                    <a:blip xmlns:r="http://schemas.openxmlformats.org/officeDocument/2006/relationships" r:embed="rId2"/>
                    <a:stretch>
                      <a:fillRect/>
                    </a:stretch>
                  </pic:blipFill>
                  <pic:spPr>
                    <a:xfrm>
                      <a:off x="0" y="0"/>
                      <a:ext cx="5715000" cy="3533775"/>
                    </a:xfrm>
                    <a:prstGeom prst="rect">
                      <a:avLst/>
                    </a:prstGeom>
                  </pic:spPr>
                </pic:pic>
              </a:graphicData>
            </a:graphic>
          </wp:inline>
        </w:drawing>
      </w:r>
    </w:p>
    <w:p>
      <w:pPr>
        <w:pStyle w:val="FigureCaption"/>
      </w:pPr>
      <w:r>
        <w:t xml:space="preserve">Figure 1. Representative airway model showing the dominant particle deposition mechanisms (impaction, sedimentation, and diffusion) and the predicted regional deposition profile across the respiratory tract.</w:t>
      </w:r>
    </w:p>
    <w:p>
      <w:pPr>
        <w:pStyle w:val="Normal"/>
      </w:pPr>
      <w:r>
        <w:t xml:space="preserve">Modelling the fate of inhaled particles also requires attention to hygroscopic growth. Many aerosolized drugs absorb water in the warm, humid environment of the airways, so their diameter, and therefore their deposition behaviour, evolves as they travel. Coupling the particle transport with heat and moisture transfer allows CFD to capture this evolution, which can shift the site of deposition from the central to the peripheral airways. Such coupled thermal, humidity, and particle models represent the current state of the art in respiratory drug delivery simulation and are essential for accurately predicting the performance of both conventional and novel excipient-enhanced formulations. Some advanced formulations deliberately exploit this physics, combining a hygroscopic excipient with the drug so that particles grow to an optimal size within the airways and deposit where intended, a strategy that can be designed and refined almost entirely in silico before any material is manufactured. The ability to explore such formulation concepts computationally, rather than through costly and time-consuming synthesis and testing, is one of the clearest illustrations of the value that CFD brings to pharmaceutical development, and it foreshadows the still greater acceleration promised by the machine-learning methods examined later in this chapter. Table 2 summarizes typical particle behaviour and deposition mechanisms across the respiratory tract regions relevant to inhaled drug delivery.</w:t>
      </w:r>
    </w:p>
    <w:p>
      <w:pPr>
        <w:pStyle w:val="TableCaption"/>
      </w:pPr>
      <w:r>
        <w:t xml:space="preserve">Table 2. Regional particle deposition mechanisms in the respiratory tract.</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40"/>
        <w:gridCol w:w="1840"/>
        <w:gridCol w:w="1840"/>
        <w:gridCol w:w="1840"/>
        <w:gridCol w:w="1840"/>
      </w:tblGrid>
      <w:tr>
        <w:trPr>
          <w:tblHeader/>
        </w:trPr>
        <w:tc>
          <w:tcPr>
            <w:shd w:val="clear" w:color="auto" w:fill="D9E2F3"/>
            <w:vAlign w:val="center"/>
          </w:tcPr>
          <w:p>
            <w:pPr>
              <w:jc w:val="center"/>
              <w:spacing w:after="20" w:line="240" w:lineRule="auto"/>
            </w:pPr>
            <w:r>
              <w:rPr>
                <w:b/>
                <w:sz w:val="20"/>
              </w:rPr>
              <w:t xml:space="preserve">Region</w:t>
            </w:r>
          </w:p>
        </w:tc>
        <w:tc>
          <w:tcPr>
            <w:shd w:val="clear" w:color="auto" w:fill="D9E2F3"/>
            <w:vAlign w:val="center"/>
          </w:tcPr>
          <w:p>
            <w:pPr>
              <w:jc w:val="center"/>
              <w:spacing w:after="20" w:line="240" w:lineRule="auto"/>
            </w:pPr>
            <w:r>
              <w:rPr>
                <w:b/>
                <w:sz w:val="20"/>
              </w:rPr>
              <w:t xml:space="preserve">Characteristic Diameter</w:t>
            </w:r>
          </w:p>
        </w:tc>
        <w:tc>
          <w:tcPr>
            <w:shd w:val="clear" w:color="auto" w:fill="D9E2F3"/>
            <w:vAlign w:val="center"/>
          </w:tcPr>
          <w:p>
            <w:pPr>
              <w:jc w:val="center"/>
              <w:spacing w:after="20" w:line="240" w:lineRule="auto"/>
            </w:pPr>
            <w:r>
              <w:rPr>
                <w:b/>
                <w:sz w:val="20"/>
              </w:rPr>
              <w:t xml:space="preserve">Dominant Mechanism</w:t>
            </w:r>
          </w:p>
        </w:tc>
        <w:tc>
          <w:tcPr>
            <w:shd w:val="clear" w:color="auto" w:fill="D9E2F3"/>
            <w:vAlign w:val="center"/>
          </w:tcPr>
          <w:p>
            <w:pPr>
              <w:jc w:val="center"/>
              <w:spacing w:after="20" w:line="240" w:lineRule="auto"/>
            </w:pPr>
            <w:r>
              <w:rPr>
                <w:b/>
                <w:sz w:val="20"/>
              </w:rPr>
              <w:t xml:space="preserve">Typical Particle Size</w:t>
            </w:r>
          </w:p>
        </w:tc>
        <w:tc>
          <w:tcPr>
            <w:shd w:val="clear" w:color="auto" w:fill="D9E2F3"/>
            <w:vAlign w:val="center"/>
          </w:tcPr>
          <w:p>
            <w:pPr>
              <w:jc w:val="center"/>
              <w:spacing w:after="20" w:line="240" w:lineRule="auto"/>
            </w:pPr>
            <w:r>
              <w:rPr>
                <w:b/>
                <w:sz w:val="20"/>
              </w:rPr>
              <w:t xml:space="preserve">Delivery Relevance</w:t>
            </w:r>
          </w:p>
        </w:tc>
      </w:tr>
      <w:tr>
        <w:tc>
          <w:tcPr>
            <w:vAlign w:val="center"/>
          </w:tcPr>
          <w:p>
            <w:pPr>
              <w:spacing w:after="20" w:line="240" w:lineRule="auto"/>
            </w:pPr>
            <w:r>
              <w:rPr>
                <w:sz w:val="20"/>
              </w:rPr>
              <w:t xml:space="preserve">Oropharynx / throat</w:t>
            </w:r>
          </w:p>
        </w:tc>
        <w:tc>
          <w:tcPr>
            <w:vAlign w:val="center"/>
          </w:tcPr>
          <w:p>
            <w:pPr>
              <w:spacing w:after="20" w:line="240" w:lineRule="auto"/>
            </w:pPr>
            <w:r>
              <w:rPr>
                <w:sz w:val="20"/>
              </w:rPr>
              <w:t xml:space="preserve">Large, curved</w:t>
            </w:r>
          </w:p>
        </w:tc>
        <w:tc>
          <w:tcPr>
            <w:vAlign w:val="center"/>
          </w:tcPr>
          <w:p>
            <w:pPr>
              <w:spacing w:after="20" w:line="240" w:lineRule="auto"/>
            </w:pPr>
            <w:r>
              <w:rPr>
                <w:sz w:val="20"/>
              </w:rPr>
              <w:t xml:space="preserve">Inertial impaction</w:t>
            </w:r>
          </w:p>
        </w:tc>
        <w:tc>
          <w:tcPr>
            <w:vAlign w:val="center"/>
          </w:tcPr>
          <w:p>
            <w:pPr>
              <w:spacing w:after="20" w:line="240" w:lineRule="auto"/>
            </w:pPr>
            <w:r>
              <w:rPr>
                <w:sz w:val="20"/>
              </w:rPr>
              <w:t xml:space="preserve">&gt; 5 micron</w:t>
            </w:r>
          </w:p>
        </w:tc>
        <w:tc>
          <w:tcPr>
            <w:vAlign w:val="center"/>
          </w:tcPr>
          <w:p>
            <w:pPr>
              <w:spacing w:after="20" w:line="240" w:lineRule="auto"/>
            </w:pPr>
            <w:r>
              <w:rPr>
                <w:sz w:val="20"/>
              </w:rPr>
              <w:t xml:space="preserve">Drug loss, side effects</w:t>
            </w:r>
          </w:p>
        </w:tc>
      </w:tr>
      <w:tr>
        <w:tc>
          <w:tcPr>
            <w:vAlign w:val="center"/>
          </w:tcPr>
          <w:p>
            <w:pPr>
              <w:spacing w:after="20" w:line="240" w:lineRule="auto"/>
            </w:pPr>
            <w:r>
              <w:rPr>
                <w:sz w:val="20"/>
              </w:rPr>
              <w:t xml:space="preserve">Central bronchi</w:t>
            </w:r>
          </w:p>
        </w:tc>
        <w:tc>
          <w:tcPr>
            <w:vAlign w:val="center"/>
          </w:tcPr>
          <w:p>
            <w:pPr>
              <w:spacing w:after="20" w:line="240" w:lineRule="auto"/>
            </w:pPr>
            <w:r>
              <w:rPr>
                <w:sz w:val="20"/>
              </w:rPr>
              <w:t xml:space="preserve">Moderate</w:t>
            </w:r>
          </w:p>
        </w:tc>
        <w:tc>
          <w:tcPr>
            <w:vAlign w:val="center"/>
          </w:tcPr>
          <w:p>
            <w:pPr>
              <w:spacing w:after="20" w:line="240" w:lineRule="auto"/>
            </w:pPr>
            <w:r>
              <w:rPr>
                <w:sz w:val="20"/>
              </w:rPr>
              <w:t xml:space="preserve">Impaction + sedimentation</w:t>
            </w:r>
          </w:p>
        </w:tc>
        <w:tc>
          <w:tcPr>
            <w:vAlign w:val="center"/>
          </w:tcPr>
          <w:p>
            <w:pPr>
              <w:spacing w:after="20" w:line="240" w:lineRule="auto"/>
            </w:pPr>
            <w:r>
              <w:rPr>
                <w:sz w:val="20"/>
              </w:rPr>
              <w:t xml:space="preserve">3 to 5 micron</w:t>
            </w:r>
          </w:p>
        </w:tc>
        <w:tc>
          <w:tcPr>
            <w:vAlign w:val="center"/>
          </w:tcPr>
          <w:p>
            <w:pPr>
              <w:spacing w:after="20" w:line="240" w:lineRule="auto"/>
            </w:pPr>
            <w:r>
              <w:rPr>
                <w:sz w:val="20"/>
              </w:rPr>
              <w:t xml:space="preserve">Bronchodilator action</w:t>
            </w:r>
          </w:p>
        </w:tc>
      </w:tr>
      <w:tr>
        <w:tc>
          <w:tcPr>
            <w:vAlign w:val="center"/>
          </w:tcPr>
          <w:p>
            <w:pPr>
              <w:spacing w:after="20" w:line="240" w:lineRule="auto"/>
            </w:pPr>
            <w:r>
              <w:rPr>
                <w:sz w:val="20"/>
              </w:rPr>
              <w:t xml:space="preserve">Small airways</w:t>
            </w:r>
          </w:p>
        </w:tc>
        <w:tc>
          <w:tcPr>
            <w:vAlign w:val="center"/>
          </w:tcPr>
          <w:p>
            <w:pPr>
              <w:spacing w:after="20" w:line="240" w:lineRule="auto"/>
            </w:pPr>
            <w:r>
              <w:rPr>
                <w:sz w:val="20"/>
              </w:rPr>
              <w:t xml:space="preserve">Small</w:t>
            </w:r>
          </w:p>
        </w:tc>
        <w:tc>
          <w:tcPr>
            <w:vAlign w:val="center"/>
          </w:tcPr>
          <w:p>
            <w:pPr>
              <w:spacing w:after="20" w:line="240" w:lineRule="auto"/>
            </w:pPr>
            <w:r>
              <w:rPr>
                <w:sz w:val="20"/>
              </w:rPr>
              <w:t xml:space="preserve">Sedimentation</w:t>
            </w:r>
          </w:p>
        </w:tc>
        <w:tc>
          <w:tcPr>
            <w:vAlign w:val="center"/>
          </w:tcPr>
          <w:p>
            <w:pPr>
              <w:spacing w:after="20" w:line="240" w:lineRule="auto"/>
            </w:pPr>
            <w:r>
              <w:rPr>
                <w:sz w:val="20"/>
              </w:rPr>
              <w:t xml:space="preserve">1 to 3 micron</w:t>
            </w:r>
          </w:p>
        </w:tc>
        <w:tc>
          <w:tcPr>
            <w:vAlign w:val="center"/>
          </w:tcPr>
          <w:p>
            <w:pPr>
              <w:spacing w:after="20" w:line="240" w:lineRule="auto"/>
            </w:pPr>
            <w:r>
              <w:rPr>
                <w:sz w:val="20"/>
              </w:rPr>
              <w:t xml:space="preserve">Deep lung targeting</w:t>
            </w:r>
          </w:p>
        </w:tc>
      </w:tr>
      <w:tr>
        <w:tc>
          <w:tcPr>
            <w:vAlign w:val="center"/>
          </w:tcPr>
          <w:p>
            <w:pPr>
              <w:spacing w:after="20" w:line="240" w:lineRule="auto"/>
            </w:pPr>
            <w:r>
              <w:rPr>
                <w:sz w:val="20"/>
              </w:rPr>
              <w:t xml:space="preserve">Alveolar region</w:t>
            </w:r>
          </w:p>
        </w:tc>
        <w:tc>
          <w:tcPr>
            <w:vAlign w:val="center"/>
          </w:tcPr>
          <w:p>
            <w:pPr>
              <w:spacing w:after="20" w:line="240" w:lineRule="auto"/>
            </w:pPr>
            <w:r>
              <w:rPr>
                <w:sz w:val="20"/>
              </w:rPr>
              <w:t xml:space="preserve">Very small</w:t>
            </w:r>
          </w:p>
        </w:tc>
        <w:tc>
          <w:tcPr>
            <w:vAlign w:val="center"/>
          </w:tcPr>
          <w:p>
            <w:pPr>
              <w:spacing w:after="20" w:line="240" w:lineRule="auto"/>
            </w:pPr>
            <w:r>
              <w:rPr>
                <w:sz w:val="20"/>
              </w:rPr>
              <w:t xml:space="preserve">Diffusion</w:t>
            </w:r>
          </w:p>
        </w:tc>
        <w:tc>
          <w:tcPr>
            <w:vAlign w:val="center"/>
          </w:tcPr>
          <w:p>
            <w:pPr>
              <w:spacing w:after="20" w:line="240" w:lineRule="auto"/>
            </w:pPr>
            <w:r>
              <w:rPr>
                <w:sz w:val="20"/>
              </w:rPr>
              <w:t xml:space="preserve">&lt; 1 micron</w:t>
            </w:r>
          </w:p>
        </w:tc>
        <w:tc>
          <w:tcPr>
            <w:vAlign w:val="center"/>
          </w:tcPr>
          <w:p>
            <w:pPr>
              <w:spacing w:after="20" w:line="240" w:lineRule="auto"/>
            </w:pPr>
            <w:r>
              <w:rPr>
                <w:sz w:val="20"/>
              </w:rPr>
              <w:t xml:space="preserve">Systemic absorption</w:t>
            </w:r>
          </w:p>
        </w:tc>
      </w:tr>
    </w:tbl>
    <w:p>
      <w:pPr>
        <w:spacing w:after="120"/>
      </w:pPr>
    </w:p>
    <w:p>
      <w:pPr>
        <w:pStyle w:val="Normal"/>
      </w:pPr>
      <w:r>
        <w:t xml:space="preserve">As Table 2 indicates, the size of a therapeutic particle is the single most influential design parameter, since it determines which mechanism dominates and therefore where in the lung the drug is deposited. Formulators exploit this relationship deliberately: a bronchodilator intended to act on the central airways is engineered toward the larger end of the respirable range, whereas a drug intended for systemic absorption or peripheral action is driven toward smaller sizes that penetrate to the alveoli, precisely as the deposition mechanisms tabulated here predict.</w:t>
      </w:r>
    </w:p>
    <w:p>
      <w:pPr>
        <w:pStyle w:val="Heading2"/>
      </w:pPr>
      <w:r>
        <w:t xml:space="preserve">12.2.2 Cardiovascular and Intravascular Drug Transport</w:t>
      </w:r>
    </w:p>
    <w:p>
      <w:pPr>
        <w:pStyle w:val="Normal"/>
      </w:pPr>
      <w:r>
        <w:t xml:space="preserve">The cardiovascular system is a natural distribution network for systemically administered drugs, and CFD is extensively used to model both blood flow and the transport of therapeutic agents within it. Patient-specific arterial geometries reconstructed from imaging allow computation of velocity fields, pressure distributions, and, critically, wall shear stress, which governs endothelial biology and the deposition of circulating particles [23]. Wall shear stress is not a single number but a spatially and temporally varying field over the arterial surface, and derived metrics such as the time-averaged wall shear stress and the oscillatory shear index summarize different aspects of the haemodynamic environment that a circulating particle or an endothelial cell experiences. Regions of low and oscillatory wall shear stress correlate with atherosclerotic plaque development and represent important targets for localized drug delivery [24]. These same regions, characterized by slow, recirculating flow, tend to retain circulating particles longer, so the haemodynamic conditions that predispose a vessel to disease are, conveniently, also those that favour the accumulation of a therapeutic carrier designed to treat it.</w:t>
      </w:r>
    </w:p>
    <w:p>
      <w:pPr>
        <w:pStyle w:val="Normal"/>
      </w:pPr>
      <w:r>
        <w:t xml:space="preserve">Targeted drug delivery using functionalized nanoparticles or microparticles depends heavily on transport phenomena that CFD can quantify. The margination of particles toward the vessel wall, their adhesion under the prevailing shear, and their eventual uptake are all sensitive to particle size, shape, and density, as well as to local haemodynamics [25]. Simulations reveal that non-spherical particles often marginate and adhere more effectively than spheres, informing the rational design of carrier geometry [26]. Discoidal and rod-shaped carriers, for instance, tumble and drift toward the wall differently from spheres, and they present a larger contact area for adhesive bonds once they reach it, so shape has emerged as a design variable as important as size in the engineering of vascular-targeted carriers. Coupling the fluid solution with models of particle–wall binding kinetics yields predictions of site-specific accumulation that would be difficult to obtain experimentally [27]. Such binding models represent the formation and rupture of ligand–receptor bonds under the hydrodynamic force that the flow exerts on an adhered particle, capturing the competition between the shear that tends to detach a particle and the adhesive chemistry that tends to hold it, and thereby predicting the shear conditions under which firm adhesion is achievable.</w:t>
      </w:r>
    </w:p>
    <w:p>
      <w:pPr>
        <w:pStyle w:val="Normal"/>
      </w:pPr>
      <w:r>
        <w:t xml:space="preserve">Blood is a suspension, and its particulate nature becomes important in the microcirculation, where vessel diameters approach the size of red blood cells. The Fahraeus–Lindqvist effect, in which apparent viscosity decreases in small vessels, and the cell-free layer near the wall both influence drug and nanoparticle distribution [28]. The cell-free layer is particularly consequential for nanoparticle delivery because it creates a near-wall region depleted of red cells into which small particles can migrate, promoting the wall contact that adhesion and uptake require. Multiscale models that couple continuum CFD in larger vessels with particulate or mesoscopic descriptions in the microvasculature are an active area of research, particularly relevant to the delivery of chemotherapeutics to tumour microenvironments [29]. Tumour vasculature is characteristically abnormal, with irregular, leaky vessels and elevated interstitial pressure that impede uniform drug penetration, and CFD models of these microenvironments help explain the limited and heterogeneous delivery observed clinically and guide strategies to overcome it. Figure 2 depicts wall shear stress distribution in a bifurcating artery and the corresponding near-wall nanoparticle accumulation.</w:t>
      </w:r>
    </w:p>
    <w:p>
      <w:pPr>
        <w:pStyle w:val="FigureImage"/>
      </w:pPr>
      <w:r>
        <w:drawing>
          <wp:inline xmlns:wp="http://schemas.openxmlformats.org/drawingml/2006/wordprocessingDrawing" distT="0" distB="0" distL="0" distR="0">
            <wp:extent cx="5715000" cy="3533775"/>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
                    <pic:cNvPicPr/>
                  </pic:nvPicPr>
                  <pic:blipFill>
                    <a:blip xmlns:r="http://schemas.openxmlformats.org/officeDocument/2006/relationships" r:embed="rId3"/>
                    <a:stretch>
                      <a:fillRect/>
                    </a:stretch>
                  </pic:blipFill>
                  <pic:spPr>
                    <a:xfrm>
                      <a:off x="0" y="0"/>
                      <a:ext cx="5715000" cy="3533775"/>
                    </a:xfrm>
                    <a:prstGeom prst="rect">
                      <a:avLst/>
                    </a:prstGeom>
                  </pic:spPr>
                </pic:pic>
              </a:graphicData>
            </a:graphic>
          </wp:inline>
        </w:drawing>
      </w:r>
    </w:p>
    <w:p>
      <w:pPr>
        <w:pStyle w:val="FigureCaption"/>
      </w:pPr>
      <w:r>
        <w:t xml:space="preserve">Figure 2. Wall shear stress distribution in a bifurcating artery and the corresponding near-wall nanoparticle accumulation and margination toward the vessel wall.</w:t>
      </w:r>
    </w:p>
    <w:p>
      <w:pPr>
        <w:pStyle w:val="Normal"/>
      </w:pPr>
      <w:r>
        <w:t xml:space="preserve">Local, catheter-based, and implant-based delivery add further complexity. Drug-eluting stents release antiproliferative agents into the arterial wall, and CFD coupled with diffusion–reaction transport in the tissue predicts the spatial and temporal drug concentration that determines therapeutic efficacy and safety [30]. The interplay between the luminal blood flow, which can wash away released drug, and the diffusive penetration into the wall determines whether a therapeutic concentration is achieved throughout the target tissue; the low-shear recirculation zones highlighted in Figure 2 are precisely the regions where released drug tends to accumulate and where restenosis is most likely. Similar coupled fluid–tissue transport models describe drug release from local injection, convection-enhanced delivery in the brain, and intraperitoneal chemotherapy [31]. In convection-enhanced delivery, a pressure gradient is imposed to drive a therapeutic agent through the interstitial space of brain tissue, and CFD models of the anisotropic, heterogeneous transport are used to plan catheter placement and infusion rates so that the drug covers the target volume without refluxing along the catheter track. The white matter of the brain conducts infused fluid preferentially along its fibre tracts, an anisotropy that can be estimated from diffusion tensor imaging and incorporated into the transport model, so that the predicted distribution reflects the patient's own neuroanatomy rather than an idealized isotropic tissue. This coupling of imaging-derived tissue properties with a physics-based transport model exemplifies the patient-specific paradigm that pervades modern computational drug delivery and that the machine-learning methods of the next section aim to make fast enough for routine use.</w:t>
      </w:r>
    </w:p>
    <w:p>
      <w:pPr>
        <w:pStyle w:val="Heading2"/>
      </w:pPr>
      <w:r>
        <w:t xml:space="preserve">12.2.3 Ocular, Nasal, and Other Delivery Routes</w:t>
      </w:r>
    </w:p>
    <w:p>
      <w:pPr>
        <w:pStyle w:val="Normal"/>
      </w:pPr>
      <w:r>
        <w:t xml:space="preserve">Beyond the lungs and vasculature, CFD illuminates a range of alternative delivery routes. Intranasal delivery targets the nasal mucosa for local action or systemic and nose-to-brain absorption. The nasal cavity is a narrow, tortuous, and highly individual passage lined by convoluted turbinate structures that warm and humidify inspired air, and this complex geometry makes deposition highly sensitive to both the device and the way the patient uses it. CFD studies of spray deposition demonstrate how spray cone angle, plume velocity, particle size, and head posture jointly determine whether droplets reach the olfactory region or are lost to the anterior nose or nasopharynx [32]. The olfactory region in particular is difficult to reach because it lies high in the cavity, out of the main airflow path, yet it is the gateway for nose-to-brain delivery that bypasses the blood–brain barrier, so simulations that identify device and administration parameters favouring olfactory deposition are of considerable therapeutic interest. This has direct implications for the design of nasal spray devices and for emerging nose-to-brain therapeutics [33]. Because the anterior nasal valve is the narrowest point of the passage and a major site of premature deposition, aiming the spray plume to negotiate this constriction, rather than impacting upon it, is a recurring design objective that CFD is well suited to inform.</w:t>
      </w:r>
    </w:p>
    <w:p>
      <w:pPr>
        <w:pStyle w:val="Normal"/>
      </w:pPr>
      <w:r>
        <w:t xml:space="preserve">Ocular drug delivery presents its own fluid mechanics. On the eye surface, tear film dynamics and drainage govern the residence time of topically applied drugs, and because most of an eye drop is lost to blinking and drainage within minutes, only a small fraction of the applied dose is absorbed, a well-known inefficiency that CFD helps quantify and that motivates viscosity-enhancing and mucoadhesive formulations. Inside the eye the transport of intravitreally injected drugs through the vitreous humour is controlled by diffusion and by any convective currents present [34]. CFD models of the vitreous chamber predict how injection location, molecular size, and vitreous liquefaction with age affect the distribution and clearance of drugs targeting the retina, informing dosing intervals for treatments of macular degeneration and diabetic retinopathy [35]. The ageing vitreous progressively liquefies, shifting transport from a diffusion-dominated regime in the young, gel-like vitreous toward one in which convective flows become significant, so a dosing regimen optimal for one patient may be inappropriate for another of a different age, a clear illustration of why patient-specific simulation matters even for a single delivery route.</w:t>
      </w:r>
    </w:p>
    <w:p>
      <w:pPr>
        <w:pStyle w:val="Normal"/>
      </w:pPr>
      <w:r>
        <w:t xml:space="preserve">Other routes benefit similarly. In the gastrointestinal tract, CFD models of gastric mixing and emptying inform the dissolution and absorption of orally administered drugs; the churning motion of the stomach walls generates the shear and mixing that break down dosage forms and expose drug to absorptive surfaces, and simulating this motion helps explain the sometimes large variability in oral bioavailability [36]. Implantable and microfluidic delivery devices, including osmotic pumps and lab-on-chip systems, are routinely designed with CFD to ensure controlled and reproducible release, and at the microscale the low Reynolds numbers make mixing difficult, so CFD is used to design channel geometries that achieve adequate mixing by diffusion or by engineered chaotic advection [37]. Table 3 provides a comparative overview of delivery routes and the corresponding dominant transport phenomena that CFD is used to model.</w:t>
      </w:r>
    </w:p>
    <w:p>
      <w:pPr>
        <w:pStyle w:val="TableCaption"/>
      </w:pPr>
      <w:r>
        <w:t xml:space="preserve">Table 3. Drug delivery routes and dominant transport phenomena modelled by CFD.</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0"/>
        <w:gridCol w:w="2300"/>
        <w:gridCol w:w="2300"/>
        <w:gridCol w:w="2300"/>
      </w:tblGrid>
      <w:tr>
        <w:trPr>
          <w:tblHeader/>
        </w:trPr>
        <w:tc>
          <w:tcPr>
            <w:shd w:val="clear" w:color="auto" w:fill="D9E2F3"/>
            <w:vAlign w:val="center"/>
          </w:tcPr>
          <w:p>
            <w:pPr>
              <w:jc w:val="center"/>
              <w:spacing w:after="20" w:line="240" w:lineRule="auto"/>
            </w:pPr>
            <w:r>
              <w:rPr>
                <w:b/>
                <w:sz w:val="20"/>
              </w:rPr>
              <w:t xml:space="preserve">Delivery Route</w:t>
            </w:r>
          </w:p>
        </w:tc>
        <w:tc>
          <w:tcPr>
            <w:shd w:val="clear" w:color="auto" w:fill="D9E2F3"/>
            <w:vAlign w:val="center"/>
          </w:tcPr>
          <w:p>
            <w:pPr>
              <w:jc w:val="center"/>
              <w:spacing w:after="20" w:line="240" w:lineRule="auto"/>
            </w:pPr>
            <w:r>
              <w:rPr>
                <w:b/>
                <w:sz w:val="20"/>
              </w:rPr>
              <w:t xml:space="preserve">Primary Fluid Medium</w:t>
            </w:r>
          </w:p>
        </w:tc>
        <w:tc>
          <w:tcPr>
            <w:shd w:val="clear" w:color="auto" w:fill="D9E2F3"/>
            <w:vAlign w:val="center"/>
          </w:tcPr>
          <w:p>
            <w:pPr>
              <w:jc w:val="center"/>
              <w:spacing w:after="20" w:line="240" w:lineRule="auto"/>
            </w:pPr>
            <w:r>
              <w:rPr>
                <w:b/>
                <w:sz w:val="20"/>
              </w:rPr>
              <w:t xml:space="preserve">Dominant Transport Phenomena</w:t>
            </w:r>
          </w:p>
        </w:tc>
        <w:tc>
          <w:tcPr>
            <w:shd w:val="clear" w:color="auto" w:fill="D9E2F3"/>
            <w:vAlign w:val="center"/>
          </w:tcPr>
          <w:p>
            <w:pPr>
              <w:jc w:val="center"/>
              <w:spacing w:after="20" w:line="240" w:lineRule="auto"/>
            </w:pPr>
            <w:r>
              <w:rPr>
                <w:b/>
                <w:sz w:val="20"/>
              </w:rPr>
              <w:t xml:space="preserve">Key CFD Output</w:t>
            </w:r>
          </w:p>
        </w:tc>
      </w:tr>
      <w:tr>
        <w:tc>
          <w:tcPr>
            <w:vAlign w:val="center"/>
          </w:tcPr>
          <w:p>
            <w:pPr>
              <w:spacing w:after="20" w:line="240" w:lineRule="auto"/>
            </w:pPr>
            <w:r>
              <w:rPr>
                <w:sz w:val="20"/>
              </w:rPr>
              <w:t xml:space="preserve">Pulmonary / inhaled</w:t>
            </w:r>
          </w:p>
        </w:tc>
        <w:tc>
          <w:tcPr>
            <w:vAlign w:val="center"/>
          </w:tcPr>
          <w:p>
            <w:pPr>
              <w:spacing w:after="20" w:line="240" w:lineRule="auto"/>
            </w:pPr>
            <w:r>
              <w:rPr>
                <w:sz w:val="20"/>
              </w:rPr>
              <w:t xml:space="preserve">Air</w:t>
            </w:r>
          </w:p>
        </w:tc>
        <w:tc>
          <w:tcPr>
            <w:vAlign w:val="center"/>
          </w:tcPr>
          <w:p>
            <w:pPr>
              <w:spacing w:after="20" w:line="240" w:lineRule="auto"/>
            </w:pPr>
            <w:r>
              <w:rPr>
                <w:sz w:val="20"/>
              </w:rPr>
              <w:t xml:space="preserve">Impaction, sedimentation, diffusion</w:t>
            </w:r>
          </w:p>
        </w:tc>
        <w:tc>
          <w:tcPr>
            <w:vAlign w:val="center"/>
          </w:tcPr>
          <w:p>
            <w:pPr>
              <w:spacing w:after="20" w:line="240" w:lineRule="auto"/>
            </w:pPr>
            <w:r>
              <w:rPr>
                <w:sz w:val="20"/>
              </w:rPr>
              <w:t xml:space="preserve">Regional deposition fraction</w:t>
            </w:r>
          </w:p>
        </w:tc>
      </w:tr>
      <w:tr>
        <w:tc>
          <w:tcPr>
            <w:vAlign w:val="center"/>
          </w:tcPr>
          <w:p>
            <w:pPr>
              <w:spacing w:after="20" w:line="240" w:lineRule="auto"/>
            </w:pPr>
            <w:r>
              <w:rPr>
                <w:sz w:val="20"/>
              </w:rPr>
              <w:t xml:space="preserve">Intravascular</w:t>
            </w:r>
          </w:p>
        </w:tc>
        <w:tc>
          <w:tcPr>
            <w:vAlign w:val="center"/>
          </w:tcPr>
          <w:p>
            <w:pPr>
              <w:spacing w:after="20" w:line="240" w:lineRule="auto"/>
            </w:pPr>
            <w:r>
              <w:rPr>
                <w:sz w:val="20"/>
              </w:rPr>
              <w:t xml:space="preserve">Blood</w:t>
            </w:r>
          </w:p>
        </w:tc>
        <w:tc>
          <w:tcPr>
            <w:vAlign w:val="center"/>
          </w:tcPr>
          <w:p>
            <w:pPr>
              <w:spacing w:after="20" w:line="240" w:lineRule="auto"/>
            </w:pPr>
            <w:r>
              <w:rPr>
                <w:sz w:val="20"/>
              </w:rPr>
              <w:t xml:space="preserve">Advection, margination, adhesion</w:t>
            </w:r>
          </w:p>
        </w:tc>
        <w:tc>
          <w:tcPr>
            <w:vAlign w:val="center"/>
          </w:tcPr>
          <w:p>
            <w:pPr>
              <w:spacing w:after="20" w:line="240" w:lineRule="auto"/>
            </w:pPr>
            <w:r>
              <w:rPr>
                <w:sz w:val="20"/>
              </w:rPr>
              <w:t xml:space="preserve">Wall shear stress, accumulation</w:t>
            </w:r>
          </w:p>
        </w:tc>
      </w:tr>
      <w:tr>
        <w:tc>
          <w:tcPr>
            <w:vAlign w:val="center"/>
          </w:tcPr>
          <w:p>
            <w:pPr>
              <w:spacing w:after="20" w:line="240" w:lineRule="auto"/>
            </w:pPr>
            <w:r>
              <w:rPr>
                <w:sz w:val="20"/>
              </w:rPr>
              <w:t xml:space="preserve">Intranasal</w:t>
            </w:r>
          </w:p>
        </w:tc>
        <w:tc>
          <w:tcPr>
            <w:vAlign w:val="center"/>
          </w:tcPr>
          <w:p>
            <w:pPr>
              <w:spacing w:after="20" w:line="240" w:lineRule="auto"/>
            </w:pPr>
            <w:r>
              <w:rPr>
                <w:sz w:val="20"/>
              </w:rPr>
              <w:t xml:space="preserve">Air / spray</w:t>
            </w:r>
          </w:p>
        </w:tc>
        <w:tc>
          <w:tcPr>
            <w:vAlign w:val="center"/>
          </w:tcPr>
          <w:p>
            <w:pPr>
              <w:spacing w:after="20" w:line="240" w:lineRule="auto"/>
            </w:pPr>
            <w:r>
              <w:rPr>
                <w:sz w:val="20"/>
              </w:rPr>
              <w:t xml:space="preserve">Impaction, spray dispersion</w:t>
            </w:r>
          </w:p>
        </w:tc>
        <w:tc>
          <w:tcPr>
            <w:vAlign w:val="center"/>
          </w:tcPr>
          <w:p>
            <w:pPr>
              <w:spacing w:after="20" w:line="240" w:lineRule="auto"/>
            </w:pPr>
            <w:r>
              <w:rPr>
                <w:sz w:val="20"/>
              </w:rPr>
              <w:t xml:space="preserve">Regional spray deposition</w:t>
            </w:r>
          </w:p>
        </w:tc>
      </w:tr>
      <w:tr>
        <w:tc>
          <w:tcPr>
            <w:vAlign w:val="center"/>
          </w:tcPr>
          <w:p>
            <w:pPr>
              <w:spacing w:after="20" w:line="240" w:lineRule="auto"/>
            </w:pPr>
            <w:r>
              <w:rPr>
                <w:sz w:val="20"/>
              </w:rPr>
              <w:t xml:space="preserve">Intravitreal / ocular</w:t>
            </w:r>
          </w:p>
        </w:tc>
        <w:tc>
          <w:tcPr>
            <w:vAlign w:val="center"/>
          </w:tcPr>
          <w:p>
            <w:pPr>
              <w:spacing w:after="20" w:line="240" w:lineRule="auto"/>
            </w:pPr>
            <w:r>
              <w:rPr>
                <w:sz w:val="20"/>
              </w:rPr>
              <w:t xml:space="preserve">Vitreous / tear film</w:t>
            </w:r>
          </w:p>
        </w:tc>
        <w:tc>
          <w:tcPr>
            <w:vAlign w:val="center"/>
          </w:tcPr>
          <w:p>
            <w:pPr>
              <w:spacing w:after="20" w:line="240" w:lineRule="auto"/>
            </w:pPr>
            <w:r>
              <w:rPr>
                <w:sz w:val="20"/>
              </w:rPr>
              <w:t xml:space="preserve">Diffusion, weak convection</w:t>
            </w:r>
          </w:p>
        </w:tc>
        <w:tc>
          <w:tcPr>
            <w:vAlign w:val="center"/>
          </w:tcPr>
          <w:p>
            <w:pPr>
              <w:spacing w:after="20" w:line="240" w:lineRule="auto"/>
            </w:pPr>
            <w:r>
              <w:rPr>
                <w:sz w:val="20"/>
              </w:rPr>
              <w:t xml:space="preserve">Concentration, residence time</w:t>
            </w:r>
          </w:p>
        </w:tc>
      </w:tr>
      <w:tr>
        <w:tc>
          <w:tcPr>
            <w:vAlign w:val="center"/>
          </w:tcPr>
          <w:p>
            <w:pPr>
              <w:spacing w:after="20" w:line="240" w:lineRule="auto"/>
            </w:pPr>
            <w:r>
              <w:rPr>
                <w:sz w:val="20"/>
              </w:rPr>
              <w:t xml:space="preserve">Oral / gastric</w:t>
            </w:r>
          </w:p>
        </w:tc>
        <w:tc>
          <w:tcPr>
            <w:vAlign w:val="center"/>
          </w:tcPr>
          <w:p>
            <w:pPr>
              <w:spacing w:after="20" w:line="240" w:lineRule="auto"/>
            </w:pPr>
            <w:r>
              <w:rPr>
                <w:sz w:val="20"/>
              </w:rPr>
              <w:t xml:space="preserve">Digestive fluids</w:t>
            </w:r>
          </w:p>
        </w:tc>
        <w:tc>
          <w:tcPr>
            <w:vAlign w:val="center"/>
          </w:tcPr>
          <w:p>
            <w:pPr>
              <w:spacing w:after="20" w:line="240" w:lineRule="auto"/>
            </w:pPr>
            <w:r>
              <w:rPr>
                <w:sz w:val="20"/>
              </w:rPr>
              <w:t xml:space="preserve">Mixing, dissolution</w:t>
            </w:r>
          </w:p>
        </w:tc>
        <w:tc>
          <w:tcPr>
            <w:vAlign w:val="center"/>
          </w:tcPr>
          <w:p>
            <w:pPr>
              <w:spacing w:after="20" w:line="240" w:lineRule="auto"/>
            </w:pPr>
            <w:r>
              <w:rPr>
                <w:sz w:val="20"/>
              </w:rPr>
              <w:t xml:space="preserve">Dissolution and emptying rate</w:t>
            </w:r>
          </w:p>
        </w:tc>
      </w:tr>
    </w:tbl>
    <w:p>
      <w:pPr>
        <w:spacing w:after="120"/>
      </w:pPr>
    </w:p>
    <w:p>
      <w:pPr>
        <w:pStyle w:val="Normal"/>
      </w:pPr>
      <w:r>
        <w:t xml:space="preserve">The diversity captured in Table 3 underscores a unifying theme: although the anatomy, fluid medium, and dominant physics differ dramatically from one route to another, the same underlying conservation laws and the same CFD machinery describe them all. This commonality is what allows methods, solvers, and, increasingly, machine-learning accelerators developed for one delivery route to be transferred productively to another, a point that becomes central in the integration discussed in Section 12.3.</w:t>
      </w:r>
    </w:p>
    <w:p>
      <w:pPr>
        <w:pStyle w:val="Heading2"/>
      </w:pPr>
      <w:r>
        <w:t xml:space="preserve">12.2.4 Validation, Boundary Conditions, and Uncertainty</w:t>
      </w:r>
    </w:p>
    <w:p>
      <w:pPr>
        <w:pStyle w:val="Normal"/>
      </w:pPr>
      <w:r>
        <w:t xml:space="preserve">The credibility of any biomedical CFD study depends on rigorous validation and thoughtful treatment of boundary conditions. Physiological boundary conditions are patient-specific and often only partially known; inlet velocity or flow waveforms may be measured by phase-contrast MRI or Doppler ultrasound, while outlet conditions frequently require lumped-parameter or Windkessel models to represent the impedance of the unresolved downstream vasculature [38]. Errors in boundary conditions propagate strongly into the solution, and their specification is often the dominant source of uncertainty [39].</w:t>
      </w:r>
    </w:p>
    <w:p>
      <w:pPr>
        <w:pStyle w:val="Normal"/>
      </w:pPr>
      <w:r>
        <w:t xml:space="preserve">Validation against experimental data is essential. In vitro benchmarks using anatomically realistic phantoms, particle image velocimetry, and cascade impactor measurements of aerosol deposition provide controlled data against which simulations can be compared [40]. Particle image velocimetry yields spatially resolved velocity fields in transparent phantoms that can be compared directly with the computed flow, while cascade impactors characterize the aerodynamic particle size distribution that a deposition model consumes as input, closing the loop between formulation, device, and prediction. In vivo validation, using imaging modalities such as gamma scintigraphy for inhaled drug deposition or positron emission tomography for systemic distribution, offers the ultimate test but is more difficult and expensive [41]. Discrepancies between simulation and measurement can arise from many sources, including imperfect geometry reconstruction, simplified boundary conditions, the choice of turbulence or rheology model, and the intrinsic biological variability between and within subjects.</w:t>
      </w:r>
    </w:p>
    <w:p>
      <w:pPr>
        <w:pStyle w:val="Normal"/>
      </w:pPr>
      <w:r>
        <w:t xml:space="preserve">A growing consensus holds that CFD predictions must be accompanied by quantified uncertainty, propagated from the variability in geometry, boundary conditions, and material properties, before they can support clinical or regulatory decisions [42]. Uncertainty quantification distinguishes aleatory uncertainty, arising from irreducible biological variability, from epistemic uncertainty, arising from incomplete knowledge or modelling assumptions that could in principle be reduced. Propagating these uncertainties through a CFD model traditionally requires many simulation runs, an expense that reinforces the case for the fast surrogate models discussed in the next section, which make large ensembles of predictions tractable and thereby turn rigorous uncertainty quantification from an aspiration into routine practice.</w:t>
      </w:r>
    </w:p>
    <w:p>
      <w:pPr>
        <w:pStyle w:val="Heading1"/>
      </w:pPr>
      <w:r>
        <w:t xml:space="preserve">12.3 Integration of CFD, Machine Learning, and Digital Simulation</w:t>
      </w:r>
    </w:p>
    <w:p>
      <w:pPr>
        <w:pStyle w:val="Heading2"/>
      </w:pPr>
      <w:r>
        <w:t xml:space="preserve">12.3.1 Machine Learning Surrogates and Reduced-Order Models</w:t>
      </w:r>
    </w:p>
    <w:p>
      <w:pPr>
        <w:pStyle w:val="Normal"/>
      </w:pPr>
      <w:r>
        <w:t xml:space="preserve">The principal obstacle to routine, patient-specific, and real-time use of CFD in drug delivery is its computational cost. A single high-fidelity transient simulation of particle-laden airflow or pulsatile arterial flow can consume hours to days of computing time on substantial computing resources, which is incompatible with clinical workflows, iterative device optimization, or large-scale population studies [43]. The problem compounds in any setting that requires many simulations rather than one: optimizing a device geometry may demand hundreds of evaluations as the design is refined, quantifying uncertainty may require hundreds more to sample the space of uncertain inputs, and a population study multiplies the cost by the number of virtual patients. It is in these many-query settings that the mismatch between the cost of high-fidelity CFD and the needs of practice becomes most acute. Machine learning offers a compelling remedy by learning fast surrogate models that approximate the input–output relationship of the expensive simulation once it has been sampled sufficiently, effectively front-loading the computational cost into a one-time training phase after which predictions are nearly free [44]. This division of labour, an expensive offline phase followed by a cheap online phase, is the conceptual key that unlocks the applications described throughout this section.</w:t>
      </w:r>
    </w:p>
    <w:p>
      <w:pPr>
        <w:pStyle w:val="Normal"/>
      </w:pPr>
      <w:r>
        <w:t xml:space="preserve">In this paradigm, a set of full-order CFD simulations spanning the relevant range of geometries, flow rates, and formulation parameters is used as training data. A machine learning model, ranging from Gaussian process regression and gradient-boosted trees to deep neural networks, is then trained to predict quantities of interest such as deposition fraction, peak wall shear stress, or drug concentration directly from the input parameters, bypassing the solver at inference time [45]. Once trained, such surrogates return predictions in milliseconds, enabling real-time exploration of the design space. The design of the training campaign is itself an important decision: the input space must be sampled efficiently, often using space-filling designs such as Latin hypercube sampling, so that the limited budget of expensive simulations characterizes the response surface as fully as possible. Convolutional and graph neural networks extend this idea from scalar outputs to entire fields, learning to predict full velocity, pressure, or concentration distributions over a geometry, so that the surrogate reproduces not merely a summary number but the spatial pattern of drug transport. Figure 3 illustrates a typical CFD–machine learning surrogate workflow and the accompanying reduction in computational time.</w:t>
      </w:r>
    </w:p>
    <w:p>
      <w:pPr>
        <w:pStyle w:val="FigureImage"/>
      </w:pPr>
      <w:r>
        <w:drawing>
          <wp:inline xmlns:wp="http://schemas.openxmlformats.org/drawingml/2006/wordprocessingDrawing" distT="0" distB="0" distL="0" distR="0">
            <wp:extent cx="5715000" cy="3533775"/>
            <wp:effectExtent l="0" t="0" r="0" b="0"/>
            <wp:docPr id="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3"/>
                    <pic:cNvPicPr/>
                  </pic:nvPicPr>
                  <pic:blipFill>
                    <a:blip xmlns:r="http://schemas.openxmlformats.org/officeDocument/2006/relationships" r:embed="rId4"/>
                    <a:stretch>
                      <a:fillRect/>
                    </a:stretch>
                  </pic:blipFill>
                  <pic:spPr>
                    <a:xfrm>
                      <a:off x="0" y="0"/>
                      <a:ext cx="5715000" cy="3533775"/>
                    </a:xfrm>
                    <a:prstGeom prst="rect">
                      <a:avLst/>
                    </a:prstGeom>
                  </pic:spPr>
                </pic:pic>
              </a:graphicData>
            </a:graphic>
          </wp:inline>
        </w:drawing>
      </w:r>
    </w:p>
    <w:p>
      <w:pPr>
        <w:pStyle w:val="FigureCaption"/>
      </w:pPr>
      <w:r>
        <w:t xml:space="preserve">Figure 3. Typical CFD-machine learning surrogate workflow, comprising an offline training phase and near-instant online inference, with the accompanying reduction in computational time.</w:t>
      </w:r>
    </w:p>
    <w:p>
      <w:pPr>
        <w:pStyle w:val="Normal"/>
      </w:pPr>
      <w:r>
        <w:t xml:space="preserve">Reduced-order modelling provides a complementary, physics-grounded route to acceleration. Techniques such as proper orthogonal decomposition extract a small number of dominant spatial modes from an ensemble of high-fidelity solutions and project the governing equations onto this reduced basis, yielding a model that captures the essential dynamics at a fraction of the cost [46]. When combined with machine learning to interpolate the reduced coefficients across parameters, these hybrid reduced-order and data-driven models achieve both speed and reasonable fidelity, making them attractive for the many-query settings of optimization and uncertainty quantification. The workflow depicted in Figure 3, in which an offline investment in high-fidelity simulation is amortized over vast numbers of near-instant online predictions, is the organizing principle common to data-driven surrogates, reduced-order models, and the hybrid schemes examined below. The principal risk of any such model is degraded accuracy when queried outside the region of parameter space covered by its training data, which motivates both careful sampling and the physics-constrained approaches described next.</w:t>
      </w:r>
    </w:p>
    <w:p>
      <w:pPr>
        <w:pStyle w:val="Normal"/>
      </w:pPr>
      <w:r>
        <w:t xml:space="preserve">A key advantage of reduced-order models over purely data-driven surrogates is that, because they retain the structure of the governing equations projected onto the reduced basis, their predictions carry a measure of physical interpretability and their errors can often be estimated rigorously. Their principal limitation is that the linear subspace extracted by proper orthogonal decomposition can struggle to represent strongly nonlinear or convection-dominated phenomena, such as a sharp drug front advecting through a vessel, where the dominant structures move rather than merely change amplitude. Nonlinear dimensionality reduction using autoencoders and related neural architectures is an active response to this limitation, learning curved low-dimensional manifolds that capture such moving features more compactly than any linear basis, and thereby extending the reach of reduced-order modelling to the more demanding transport problems encountered in drug delivery.</w:t>
      </w:r>
    </w:p>
    <w:p>
      <w:pPr>
        <w:pStyle w:val="Normal"/>
      </w:pPr>
      <w:r>
        <w:t xml:space="preserve">Table 4 compares the principal AI and reduced-order strategies used to accelerate and augment CFD in drug delivery.</w:t>
      </w:r>
    </w:p>
    <w:p>
      <w:pPr>
        <w:pStyle w:val="TableCaption"/>
      </w:pPr>
      <w:r>
        <w:t xml:space="preserve">Table 4. AI and reduced-order strategies for accelerating CFD in drug delivery.</w:t>
      </w:r>
    </w:p>
    <w:tbl>
      <w:tblPr>
        <w:tblW w:w="92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40"/>
        <w:gridCol w:w="1840"/>
        <w:gridCol w:w="1840"/>
        <w:gridCol w:w="1840"/>
        <w:gridCol w:w="1840"/>
      </w:tblGrid>
      <w:tr>
        <w:trPr>
          <w:tblHeader/>
        </w:trPr>
        <w:tc>
          <w:tcPr>
            <w:shd w:val="clear" w:color="auto" w:fill="D9E2F3"/>
            <w:vAlign w:val="center"/>
          </w:tcPr>
          <w:p>
            <w:pPr>
              <w:jc w:val="center"/>
              <w:spacing w:after="20" w:line="240" w:lineRule="auto"/>
            </w:pPr>
            <w:r>
              <w:rPr>
                <w:b/>
                <w:sz w:val="20"/>
              </w:rPr>
              <w:t xml:space="preserve">Approach</w:t>
            </w:r>
          </w:p>
        </w:tc>
        <w:tc>
          <w:tcPr>
            <w:shd w:val="clear" w:color="auto" w:fill="D9E2F3"/>
            <w:vAlign w:val="center"/>
          </w:tcPr>
          <w:p>
            <w:pPr>
              <w:jc w:val="center"/>
              <w:spacing w:after="20" w:line="240" w:lineRule="auto"/>
            </w:pPr>
            <w:r>
              <w:rPr>
                <w:b/>
                <w:sz w:val="20"/>
              </w:rPr>
              <w:t xml:space="preserve">Training Data Need</w:t>
            </w:r>
          </w:p>
        </w:tc>
        <w:tc>
          <w:tcPr>
            <w:shd w:val="clear" w:color="auto" w:fill="D9E2F3"/>
            <w:vAlign w:val="center"/>
          </w:tcPr>
          <w:p>
            <w:pPr>
              <w:jc w:val="center"/>
              <w:spacing w:after="20" w:line="240" w:lineRule="auto"/>
            </w:pPr>
            <w:r>
              <w:rPr>
                <w:b/>
                <w:sz w:val="20"/>
              </w:rPr>
              <w:t xml:space="preserve">Inference Speed</w:t>
            </w:r>
          </w:p>
        </w:tc>
        <w:tc>
          <w:tcPr>
            <w:shd w:val="clear" w:color="auto" w:fill="D9E2F3"/>
            <w:vAlign w:val="center"/>
          </w:tcPr>
          <w:p>
            <w:pPr>
              <w:jc w:val="center"/>
              <w:spacing w:after="20" w:line="240" w:lineRule="auto"/>
            </w:pPr>
            <w:r>
              <w:rPr>
                <w:b/>
                <w:sz w:val="20"/>
              </w:rPr>
              <w:t xml:space="preserve">Physics Fidelity</w:t>
            </w:r>
          </w:p>
        </w:tc>
        <w:tc>
          <w:tcPr>
            <w:shd w:val="clear" w:color="auto" w:fill="D9E2F3"/>
            <w:vAlign w:val="center"/>
          </w:tcPr>
          <w:p>
            <w:pPr>
              <w:jc w:val="center"/>
              <w:spacing w:after="20" w:line="240" w:lineRule="auto"/>
            </w:pPr>
            <w:r>
              <w:rPr>
                <w:b/>
                <w:sz w:val="20"/>
              </w:rPr>
              <w:t xml:space="preserve">Best Suited For</w:t>
            </w:r>
          </w:p>
        </w:tc>
      </w:tr>
      <w:tr>
        <w:tc>
          <w:tcPr>
            <w:vAlign w:val="center"/>
          </w:tcPr>
          <w:p>
            <w:pPr>
              <w:spacing w:after="20" w:line="240" w:lineRule="auto"/>
            </w:pPr>
            <w:r>
              <w:rPr>
                <w:sz w:val="20"/>
              </w:rPr>
              <w:t xml:space="preserve">Data-driven surrogate</w:t>
            </w:r>
          </w:p>
        </w:tc>
        <w:tc>
          <w:tcPr>
            <w:vAlign w:val="center"/>
          </w:tcPr>
          <w:p>
            <w:pPr>
              <w:spacing w:after="20" w:line="240" w:lineRule="auto"/>
            </w:pPr>
            <w:r>
              <w:rPr>
                <w:sz w:val="20"/>
              </w:rPr>
              <w:t xml:space="preserve">High</w:t>
            </w:r>
          </w:p>
        </w:tc>
        <w:tc>
          <w:tcPr>
            <w:vAlign w:val="center"/>
          </w:tcPr>
          <w:p>
            <w:pPr>
              <w:spacing w:after="20" w:line="240" w:lineRule="auto"/>
            </w:pPr>
            <w:r>
              <w:rPr>
                <w:sz w:val="20"/>
              </w:rPr>
              <w:t xml:space="preserve">Very fast</w:t>
            </w:r>
          </w:p>
        </w:tc>
        <w:tc>
          <w:tcPr>
            <w:vAlign w:val="center"/>
          </w:tcPr>
          <w:p>
            <w:pPr>
              <w:spacing w:after="20" w:line="240" w:lineRule="auto"/>
            </w:pPr>
            <w:r>
              <w:rPr>
                <w:sz w:val="20"/>
              </w:rPr>
              <w:t xml:space="preserve">Approximate</w:t>
            </w:r>
          </w:p>
        </w:tc>
        <w:tc>
          <w:tcPr>
            <w:vAlign w:val="center"/>
          </w:tcPr>
          <w:p>
            <w:pPr>
              <w:spacing w:after="20" w:line="240" w:lineRule="auto"/>
            </w:pPr>
            <w:r>
              <w:rPr>
                <w:sz w:val="20"/>
              </w:rPr>
              <w:t xml:space="preserve">Design optimization</w:t>
            </w:r>
          </w:p>
        </w:tc>
      </w:tr>
      <w:tr>
        <w:tc>
          <w:tcPr>
            <w:vAlign w:val="center"/>
          </w:tcPr>
          <w:p>
            <w:pPr>
              <w:spacing w:after="20" w:line="240" w:lineRule="auto"/>
            </w:pPr>
            <w:r>
              <w:rPr>
                <w:sz w:val="20"/>
              </w:rPr>
              <w:t xml:space="preserve">Reduced-order model</w:t>
            </w:r>
          </w:p>
        </w:tc>
        <w:tc>
          <w:tcPr>
            <w:vAlign w:val="center"/>
          </w:tcPr>
          <w:p>
            <w:pPr>
              <w:spacing w:after="20" w:line="240" w:lineRule="auto"/>
            </w:pPr>
            <w:r>
              <w:rPr>
                <w:sz w:val="20"/>
              </w:rPr>
              <w:t xml:space="preserve">Moderate</w:t>
            </w:r>
          </w:p>
        </w:tc>
        <w:tc>
          <w:tcPr>
            <w:vAlign w:val="center"/>
          </w:tcPr>
          <w:p>
            <w:pPr>
              <w:spacing w:after="20" w:line="240" w:lineRule="auto"/>
            </w:pPr>
            <w:r>
              <w:rPr>
                <w:sz w:val="20"/>
              </w:rPr>
              <w:t xml:space="preserve">Fast</w:t>
            </w:r>
          </w:p>
        </w:tc>
        <w:tc>
          <w:tcPr>
            <w:vAlign w:val="center"/>
          </w:tcPr>
          <w:p>
            <w:pPr>
              <w:spacing w:after="20" w:line="240" w:lineRule="auto"/>
            </w:pPr>
            <w:r>
              <w:rPr>
                <w:sz w:val="20"/>
              </w:rPr>
              <w:t xml:space="preserve">Good</w:t>
            </w:r>
          </w:p>
        </w:tc>
        <w:tc>
          <w:tcPr>
            <w:vAlign w:val="center"/>
          </w:tcPr>
          <w:p>
            <w:pPr>
              <w:spacing w:after="20" w:line="240" w:lineRule="auto"/>
            </w:pPr>
            <w:r>
              <w:rPr>
                <w:sz w:val="20"/>
              </w:rPr>
              <w:t xml:space="preserve">Many-query, parametric studies</w:t>
            </w:r>
          </w:p>
        </w:tc>
      </w:tr>
      <w:tr>
        <w:tc>
          <w:tcPr>
            <w:vAlign w:val="center"/>
          </w:tcPr>
          <w:p>
            <w:pPr>
              <w:spacing w:after="20" w:line="240" w:lineRule="auto"/>
            </w:pPr>
            <w:r>
              <w:rPr>
                <w:sz w:val="20"/>
              </w:rPr>
              <w:t xml:space="preserve">Physics-informed NN</w:t>
            </w:r>
          </w:p>
        </w:tc>
        <w:tc>
          <w:tcPr>
            <w:vAlign w:val="center"/>
          </w:tcPr>
          <w:p>
            <w:pPr>
              <w:spacing w:after="20" w:line="240" w:lineRule="auto"/>
            </w:pPr>
            <w:r>
              <w:rPr>
                <w:sz w:val="20"/>
              </w:rPr>
              <w:t xml:space="preserve">Low to moderate</w:t>
            </w:r>
          </w:p>
        </w:tc>
        <w:tc>
          <w:tcPr>
            <w:vAlign w:val="center"/>
          </w:tcPr>
          <w:p>
            <w:pPr>
              <w:spacing w:after="20" w:line="240" w:lineRule="auto"/>
            </w:pPr>
            <w:r>
              <w:rPr>
                <w:sz w:val="20"/>
              </w:rPr>
              <w:t xml:space="preserve">Moderate</w:t>
            </w:r>
          </w:p>
        </w:tc>
        <w:tc>
          <w:tcPr>
            <w:vAlign w:val="center"/>
          </w:tcPr>
          <w:p>
            <w:pPr>
              <w:spacing w:after="20" w:line="240" w:lineRule="auto"/>
            </w:pPr>
            <w:r>
              <w:rPr>
                <w:sz w:val="20"/>
              </w:rPr>
              <w:t xml:space="preserve">High (equation-constrained)</w:t>
            </w:r>
          </w:p>
        </w:tc>
        <w:tc>
          <w:tcPr>
            <w:vAlign w:val="center"/>
          </w:tcPr>
          <w:p>
            <w:pPr>
              <w:spacing w:after="20" w:line="240" w:lineRule="auto"/>
            </w:pPr>
            <w:r>
              <w:rPr>
                <w:sz w:val="20"/>
              </w:rPr>
              <w:t xml:space="preserve">Sparse-data, inverse problems</w:t>
            </w:r>
          </w:p>
        </w:tc>
      </w:tr>
      <w:tr>
        <w:tc>
          <w:tcPr>
            <w:vAlign w:val="center"/>
          </w:tcPr>
          <w:p>
            <w:pPr>
              <w:spacing w:after="20" w:line="240" w:lineRule="auto"/>
            </w:pPr>
            <w:r>
              <w:rPr>
                <w:sz w:val="20"/>
              </w:rPr>
              <w:t xml:space="preserve">Digital twin</w:t>
            </w:r>
          </w:p>
        </w:tc>
        <w:tc>
          <w:tcPr>
            <w:vAlign w:val="center"/>
          </w:tcPr>
          <w:p>
            <w:pPr>
              <w:spacing w:after="20" w:line="240" w:lineRule="auto"/>
            </w:pPr>
            <w:r>
              <w:rPr>
                <w:sz w:val="20"/>
              </w:rPr>
              <w:t xml:space="preserve">Continuous / streaming</w:t>
            </w:r>
          </w:p>
        </w:tc>
        <w:tc>
          <w:tcPr>
            <w:vAlign w:val="center"/>
          </w:tcPr>
          <w:p>
            <w:pPr>
              <w:spacing w:after="20" w:line="240" w:lineRule="auto"/>
            </w:pPr>
            <w:r>
              <w:rPr>
                <w:sz w:val="20"/>
              </w:rPr>
              <w:t xml:space="preserve">Real-time</w:t>
            </w:r>
          </w:p>
        </w:tc>
        <w:tc>
          <w:tcPr>
            <w:vAlign w:val="center"/>
          </w:tcPr>
          <w:p>
            <w:pPr>
              <w:spacing w:after="20" w:line="240" w:lineRule="auto"/>
            </w:pPr>
            <w:r>
              <w:rPr>
                <w:sz w:val="20"/>
              </w:rPr>
              <w:t xml:space="preserve">Variable, updated</w:t>
            </w:r>
          </w:p>
        </w:tc>
        <w:tc>
          <w:tcPr>
            <w:vAlign w:val="center"/>
          </w:tcPr>
          <w:p>
            <w:pPr>
              <w:spacing w:after="20" w:line="240" w:lineRule="auto"/>
            </w:pPr>
            <w:r>
              <w:rPr>
                <w:sz w:val="20"/>
              </w:rPr>
              <w:t xml:space="preserve">Personalized monitoring</w:t>
            </w:r>
          </w:p>
        </w:tc>
      </w:tr>
    </w:tbl>
    <w:p>
      <w:pPr>
        <w:spacing w:after="120"/>
      </w:pPr>
    </w:p>
    <w:p>
      <w:pPr>
        <w:pStyle w:val="Heading2"/>
      </w:pPr>
      <w:r>
        <w:t xml:space="preserve">12.3.2 Physics-Informed Neural Networks and Hybrid Modelling</w:t>
      </w:r>
    </w:p>
    <w:p>
      <w:pPr>
        <w:pStyle w:val="Normal"/>
      </w:pPr>
      <w:r>
        <w:t xml:space="preserve">A limitation of purely data-driven surrogates is that they may violate physical laws and extrapolate poorly beyond their training distribution. A surrogate that predicts a drug concentration field with no guarantee of mass conservation, for instance, may return results that are numerically plausible but physically impossible, an unacceptable failure mode in a medical application. Physics-informed neural networks address this by embedding the governing equations directly into the training objective [47]. Rather than relying solely on labelled data, these networks penalize violations of the Navier–Stokes and transport equations at collocation points throughout the domain, so the learned solution respects conservation of mass, momentum, and species even where data are sparse. Automatic differentiation, the same mechanism that trains conventional neural networks, is used to compute the spatial and temporal derivatives that appear in the governing equations exactly, allowing the physics residual to be evaluated and minimized without a computational mesh. This mesh-free character is attractive for the complex, patient-specific geometries of drug delivery, where mesh generation is otherwise a bottleneck. This is particularly valuable in biomedical settings, where measurements are limited and noisy.</w:t>
      </w:r>
    </w:p>
    <w:p>
      <w:pPr>
        <w:pStyle w:val="Normal"/>
      </w:pPr>
      <w:r>
        <w:t xml:space="preserve">Physics-informed approaches are especially powerful for inverse problems that are central to drug delivery. From sparse, noisy measurements of velocity or concentration, such networks can infer unknown fields such as pressure, permeability, or reaction rates that are difficult to measure directly. They can assimilate clinical imaging data, for example reconstructing full haemodynamic fields from limited MRI velocity measurements, and they can estimate patient-specific parameters that personalize a transport model. This capacity to fuse measurement with governing physics is especially valuable when the quantity of interest, such as wall shear stress or interstitial pressure, cannot be measured at all and must instead be inferred from the sparse data that can be acquired. Because the physics acts as a strong regularizer, physics-informed networks can produce plausible, conservation-respecting field reconstructions from far fewer data than a purely statistical fit would require, and they degrade more gracefully in the presence of measurement noise. The tight coupling of data and physics makes hybrid modelling a natural bridge between measurement and simulation, though training such networks can be delicate, as the competing data and physics terms in the loss function must be balanced carefully to achieve convergence.</w:t>
      </w:r>
    </w:p>
    <w:p>
      <w:pPr>
        <w:pStyle w:val="Normal"/>
      </w:pPr>
      <w:r>
        <w:t xml:space="preserve">Hybrid frameworks that combine high-fidelity CFD, reduced-order models, and neural networks are emerging as a practical architecture. In such systems, an expensive solver may be invoked selectively to generate or correct training data, while fast learned components handle the bulk of the queries; uncertainty estimates flag when a prediction is unreliable and the full solver should be consulted. This adaptive orchestration of physics-based and data-driven components mirrors broader trends in scientific machine learning and is well matched to the accuracy and safety demands of medical applications. The complementary characteristics of these strategies, contrasting their data requirements, inference speed, physics fidelity, and ideal use cases, are summarized in Table 4, which shows why no single approach dominates and why practical systems increasingly blend several. In particular, the comparison in Table 4 highlights that data-driven surrogates trade fidelity for speed, reduced-order models retain more physics at moderate cost, physics-informed networks excel when data are scarce, and digital twins prioritize continuous personalization, so that the appropriate choice depends squarely on the clinical or design question at hand.</w:t>
      </w:r>
    </w:p>
    <w:p>
      <w:pPr>
        <w:pStyle w:val="Heading2"/>
      </w:pPr>
      <w:r>
        <w:t xml:space="preserve">12.3.3 Digital Twins and Personalized Drug Delivery</w:t>
      </w:r>
    </w:p>
    <w:p>
      <w:pPr>
        <w:pStyle w:val="Normal"/>
      </w:pPr>
      <w:r>
        <w:t xml:space="preserve">The concept of the digital twin represents the most ambitious integration of CFD, machine learning, and clinical data. A digital twin is a continuously updated computational replica of an individual patient or device that assimilates real-world data to mirror the current state of its physical counterpart and to predict its future behaviour. The idea originated in aerospace and manufacturing, where twins of engines and production lines are used to monitor health and anticipate failures, and its translation to medicine adapts the same principle to the far greater variability and incompleteness of biological data. In drug delivery, a patient digital twin might integrate imaging-derived anatomy, physiological monitoring, and a fast CFD–AI transport model to predict, in near real time, how a given dose administered by a given route will distribute within that specific individual. What distinguishes a twin from an ordinary patient-specific simulation is this living connection to data: rather than being built once and consulted thereafter, the twin is repeatedly refreshed so that it remains a faithful and current representation of the patient it serves.</w:t>
      </w:r>
    </w:p>
    <w:p>
      <w:pPr>
        <w:pStyle w:val="Normal"/>
      </w:pPr>
      <w:r>
        <w:t xml:space="preserve">Such personalized prediction could transform dosing from a population-average prescription into an individually optimized therapy. For inhaled drugs, a digital twin of a patient's airways, informed by their lung function and inhalation profile, could recommend device settings and particle sizes that maximize deposition at the diseased site while minimizing systemic exposure. For chemotherapy, a twin of the tumour vasculature could help schedule nanoparticle administration to exploit windows of enhanced permeability. The fast surrogate and reduced-order models described earlier are the enabling technology that makes the real-time updating of such twins computationally feasible. Figure 4 presents the architecture of a closed-loop CFD–AI digital twin for personalized drug delivery, showing the flow of information from patient data through model assimilation to a dosing recommendation.</w:t>
      </w:r>
    </w:p>
    <w:p>
      <w:pPr>
        <w:pStyle w:val="FigureImage"/>
      </w:pPr>
      <w:r>
        <w:drawing>
          <wp:inline xmlns:wp="http://schemas.openxmlformats.org/drawingml/2006/wordprocessingDrawing" distT="0" distB="0" distL="0" distR="0">
            <wp:extent cx="5715000" cy="3533775"/>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4"/>
                    <pic:cNvPicPr/>
                  </pic:nvPicPr>
                  <pic:blipFill>
                    <a:blip xmlns:r="http://schemas.openxmlformats.org/officeDocument/2006/relationships" r:embed="rId5"/>
                    <a:stretch>
                      <a:fillRect/>
                    </a:stretch>
                  </pic:blipFill>
                  <pic:spPr>
                    <a:xfrm>
                      <a:off x="0" y="0"/>
                      <a:ext cx="5715000" cy="3533775"/>
                    </a:xfrm>
                    <a:prstGeom prst="rect">
                      <a:avLst/>
                    </a:prstGeom>
                  </pic:spPr>
                </pic:pic>
              </a:graphicData>
            </a:graphic>
          </wp:inline>
        </w:drawing>
      </w:r>
    </w:p>
    <w:p>
      <w:pPr>
        <w:pStyle w:val="FigureCaption"/>
      </w:pPr>
      <w:r>
        <w:t xml:space="preserve">Figure 4. Architecture of a closed-loop CFD-AI digital twin for personalized drug delivery, showing the flow of information from patient data through model assimilation to a dosing recommendation.</w:t>
      </w:r>
    </w:p>
    <w:p>
      <w:pPr>
        <w:pStyle w:val="Normal"/>
      </w:pPr>
      <w:r>
        <w:t xml:space="preserve">The closed loop of sensing, modelling, and actuation depicted in Figure 4 distinguishes a true digital twin from a one-off simulation: the twin is continuously reconciled with incoming measurements so that its predictions track the evolving state of the individual patient. As the patient responds to therapy, disease progresses, or physiology changes, the assimilation step updates the model parameters, and the fast surrogate re-evaluates the consequences of candidate interventions, allowing the recommended dose or device setting to be adjusted accordingly. This continual adaptation is what elevates the digital twin from a predictive convenience to a genuine instrument of personalized medicine.</w:t>
      </w:r>
    </w:p>
    <w:p>
      <w:pPr>
        <w:pStyle w:val="Normal"/>
      </w:pPr>
      <w:r>
        <w:t xml:space="preserve">Realizing this vision requires progress on several fronts. Data pipelines must reliably ingest heterogeneous clinical measurements from imaging, wearable sensors, and laboratory assays, harmonizing formats and time scales that were never designed to interoperate; models must be validated and their uncertainty quantified to a standard acceptable to clinicians and regulators; and the whole system must operate within the constraints of clinical time and safety. Regulatory bodies are actively developing frameworks for the qualification of computational models as medical evidence, a process in which credibility assessment, verification, validation, and uncertainty quantification play central roles, and in which the intended context of use of a model determines how stringent the evidentiary burden must be. A prediction used only to rank candidate device designs in early research demands less scrutiny than one used to set an individual patient's dose, and the emerging risk-informed frameworks scale their requirements accordingly. As these frameworks mature, CFD–AI digital twins are likely to move progressively from research demonstrations toward clinical decision support, initially in an advisory capacity that keeps a qualified human in the loop and only later, if at all, in more autonomous roles.</w:t>
      </w:r>
    </w:p>
    <w:p>
      <w:pPr>
        <w:pStyle w:val="Heading2"/>
      </w:pPr>
      <w:r>
        <w:t xml:space="preserve">12.3.4 Challenges, Limitations, and Future Directions</w:t>
      </w:r>
    </w:p>
    <w:p>
      <w:pPr>
        <w:pStyle w:val="Normal"/>
      </w:pPr>
      <w:r>
        <w:t xml:space="preserve">Despite rapid progress, the integration of CFD and AI in drug delivery faces substantial challenges. Data scarcity is chronic: high-fidelity simulations are expensive to generate, and curated experimental and clinical datasets remain limited, constraining the training of data-hungry models. Unlike domains such as computer vision, where enormous labelled datasets are freely available, biomedical CFD must often make do with tens or hundreds of simulations, each representing hours of computation, so data-efficient methods are not a luxury but a necessity. Generalization is a persistent concern, since a surrogate trained on one population or device may fail silently on cases outside its experience, underscoring the importance of uncertainty quantification and out-of-distribution detection so that the model can signal when it is being asked to extrapolate beyond its competence. Interpretability also matters in a medical context, where clinicians reasonably demand to understand why a model makes a given prediction before acting upon it, and where a black-box recommendation that cannot be explained is unlikely to earn clinical trust regardless of its accuracy.</w:t>
      </w:r>
    </w:p>
    <w:p>
      <w:pPr>
        <w:pStyle w:val="Normal"/>
      </w:pPr>
      <w:r>
        <w:t xml:space="preserve">Verification, validation, and uncertainty quantification form the backbone of trustworthy computational modelling, and their rigorous application to hybrid CFD–AI systems is still maturing. Verification asks whether the equations are being solved correctly, validation asks whether the correct equations are being solved to represent reality, and uncertainty quantification asks how confident one can be in the answer; a credible prediction requires attention to all three. The field must establish standards for how a learned surrogate inherits, or fails to inherit, the validation status of the CFD model it approximates, since a surrogate is only ever as trustworthy as the simulations that trained it, and any error or bias in that training data propagates silently into every prediction the surrogate makes. Reproducibility, open datasets, and shared benchmark problems will accelerate progress by allowing methods to be compared on common ground, as will close collaboration among fluid dynamicists, data scientists, pharmaceutical scientists, and clinicians, each of whom holds a piece of the expertise that a successful system requires. The most promising path forward lies not in replacing physics-based simulation with machine learning, but in combining them so that each compensates for the weaknesses of the other: physics supplies the structure and conservation laws that data alone cannot guarantee, while data supply the calibration and speed that physics alone cannot provide.</w:t>
      </w:r>
    </w:p>
    <w:p>
      <w:pPr>
        <w:pStyle w:val="Normal"/>
      </w:pPr>
      <w:r>
        <w:t xml:space="preserve">Looking ahead, several trends are likely to shape the field. Foundation models trained across many physical systems may provide transferable representations that reduce the data burden for new drug delivery problems, allowing a model pretrained on a broad corpus of fluid simulations to be fine-tuned to a specific delivery route with comparatively little additional data. Differentiable solvers that permit gradients to flow through the physics will tighten the coupling between simulation and optimization, enabling end-to-end design of formulations and devices in which the geometry or formulation parameters are optimized directly against a performance objective. Coupling CFD–AI transport models with pharmacokinetic and pharmacodynamic models will close the loop from local deposition to systemic effect and clinical outcome, so that a simulation predicts not merely where a drug lands but what therapeutic response it ultimately produces. The integration of CFD with agent-based and systems-biology models of tissue response promises an even more complete picture, linking the physical delivery of a drug to the cellular and molecular cascades it triggers. As computational power grows and methods mature, the predictive, personalized, and efficient design of drug delivery systems envisioned throughout this chapter will become increasingly attainable.</w:t>
      </w:r>
    </w:p>
    <w:p>
      <w:pPr>
        <w:pStyle w:val="Normal"/>
      </w:pPr>
      <w:r>
        <w:t xml:space="preserve">Equally important will be the human and institutional context in which these tools are deployed. The most sophisticated model has clinical value only if its outputs are interpretable and actionable by the clinicians and formulators who use them, which places a premium on transparent reporting, intuitive visualization, and honest communication of uncertainty. Education and cross-disciplinary training will be needed so that fluid dynamicists appreciate the constraints of clinical practice and clinicians understand the assumptions embedded in a simulation. Open benchmark problems, shared datasets, and reproducible software will accelerate collective progress and build the trust on which regulatory acceptance ultimately depends. In this sense the future of CFD and AI in drug delivery is not solely a technical matter of faster solvers and better networks, but a socio-technical one of assembling the evidence, standards, and collaborations that allow computational predictions to be relied upon in decisions that affect patients.</w:t>
      </w:r>
    </w:p>
    <w:p>
      <w:pPr>
        <w:pStyle w:val="Heading1"/>
      </w:pPr>
      <w:r>
        <w:t xml:space="preserve">12.4 Conclusion</w:t>
      </w:r>
    </w:p>
    <w:p>
      <w:pPr>
        <w:pStyle w:val="Normal"/>
      </w:pPr>
      <w:r>
        <w:t xml:space="preserve">Computational fluid dynamics has become a central tool for understanding and engineering drug delivery across the pulmonary, cardiovascular, ocular, nasal, and other routes. By resolving the coupled fluid flow and mass transport that govern where and how much drug reaches its target, CFD provides insight unattainable by experiment alone, replacing intuition and trial-and-error with quantitative, spatially resolved prediction. Across the applications surveyed in this chapter, a common pattern emerges: patient-specific anatomy, physiological flow conditions, and formulation properties interact in ways too complex to anticipate without simulation, and CFD makes these interactions visible and manipulable by the designer.</w:t>
      </w:r>
    </w:p>
    <w:p>
      <w:pPr>
        <w:pStyle w:val="Normal"/>
      </w:pPr>
      <w:r>
        <w:t xml:space="preserve">Its integration with machine learning, reduced-order modelling, physics-informed neural networks, and digital twins is overcoming the historical barrier of computational cost and opening the door to real-time, patient-specific prediction. This convergence is not merely an acceleration of existing practice but a qualitative expansion of what is possible, enabling the many-query studies, the personalized dosing, and the closed-loop monitoring that were previously out of reach. At the same time, the field must remain disciplined: the speed and convenience of learned models are worthless without the validation, uncertainty quantification, and interpretability that justify clinical trust. The synthesis of rigorous physics with data-driven acceleration, disciplined by validation and uncertainty quantification, defines a clear and compelling trajectory toward the predictive and personalized drug delivery systems of the future, in which the right drug reaches the right site in the right amount for each individual patient. Realizing that future will demand sustained collaboration across disciplines, but the foundations described in this chapter make it an achievable rather than a merely aspirational goal.</w:t>
      </w:r>
    </w:p>
    <w:p>
      <w:pPr>
        <w:pStyle w:val="Heading1"/>
      </w:pPr>
      <w:r>
        <w:t xml:space="preserve">References</w:t>
      </w:r>
    </w:p>
    <w:p>
      <w:pPr>
        <w:pStyle w:val="References"/>
      </w:pPr>
      <w:r>
        <w:t xml:space="preserve">[1] Anderson, J. D. (2020). Computational Fluid Dynamics: The Basics with Applications. McGraw-Hill Education, New York.</w:t>
      </w:r>
    </w:p>
    <w:p>
      <w:pPr>
        <w:pStyle w:val="References"/>
      </w:pPr>
      <w:r>
        <w:t xml:space="preserve">[2] Ferziger, J. H., Peric, M., &amp; Street, R. L. (2020). Computational Methods for Fluid Dynamics. Springer, Cham.</w:t>
      </w:r>
    </w:p>
    <w:p>
      <w:pPr>
        <w:pStyle w:val="References"/>
      </w:pPr>
      <w:r>
        <w:t xml:space="preserve">[3] Bird, R. B., Stewart, W. E., &amp; Lightfoot, E. N. (2007). Transport Phenomena. John Wiley &amp; Sons, New York.</w:t>
      </w:r>
    </w:p>
    <w:p>
      <w:pPr>
        <w:pStyle w:val="References"/>
      </w:pPr>
      <w:r>
        <w:t xml:space="preserve">[4] Versteeg, H. K., &amp; Malalasekera, W. (2007). An Introduction to Computational Fluid Dynamics: The Finite Volume Method. Pearson Education, Harlow.</w:t>
      </w:r>
    </w:p>
    <w:p>
      <w:pPr>
        <w:pStyle w:val="References"/>
      </w:pPr>
      <w:r>
        <w:t xml:space="preserve">[5] Cho, Y. I., &amp; Kensey, K. R. (1991). Effects of the non-Newtonian viscosity of blood on flows in a diseased arterial vessel. Biorheology, 28(3-4), 241-262.</w:t>
      </w:r>
    </w:p>
    <w:p>
      <w:pPr>
        <w:pStyle w:val="References"/>
      </w:pPr>
      <w:r>
        <w:t xml:space="preserve">[6] Robertson, A. M., Sequeira, A., &amp; Owens, R. G. (2009). Rheological models for blood. In Cardiovascular Mathematics (pp. 211-241). Springer, Milan.</w:t>
      </w:r>
    </w:p>
    <w:p>
      <w:pPr>
        <w:pStyle w:val="References"/>
      </w:pPr>
      <w:r>
        <w:t xml:space="preserve">[7] Zienkiewicz, O. C., Taylor, R. L., &amp; Nithiarasu, P. (2013). The Finite Element Method for Fluid Dynamics. Butterworth-Heinemann, Oxford.</w:t>
      </w:r>
    </w:p>
    <w:p>
      <w:pPr>
        <w:pStyle w:val="References"/>
      </w:pPr>
      <w:r>
        <w:t xml:space="preserve">[8] Taylor, C. A., &amp; Figueroa, C. A. (2009). Patient-specific modeling of cardiovascular mechanics. Annual Review of Biomedical Engineering, 11, 109-134.</w:t>
      </w:r>
    </w:p>
    <w:p>
      <w:pPr>
        <w:pStyle w:val="References"/>
      </w:pPr>
      <w:r>
        <w:t xml:space="preserve">[9] Antiga, L., Piccinelli, M., Botti, L., Ene-Iordache, B., Remuzzi, A., &amp; Steinman, D. A. (2008). An image-based modeling framework for patient-specific computational hemodynamics. Medical &amp; Biological Engineering &amp; Computing, 46(11), 1097-1112.</w:t>
      </w:r>
    </w:p>
    <w:p>
      <w:pPr>
        <w:pStyle w:val="References"/>
      </w:pPr>
      <w:r>
        <w:t xml:space="preserve">[10] Roache, P. J. (1998). Verification and Validation in Computational Science and Engineering. Hermosa Publishers, Albuquerque.</w:t>
      </w:r>
    </w:p>
    <w:p>
      <w:pPr>
        <w:pStyle w:val="References"/>
      </w:pPr>
      <w:r>
        <w:t xml:space="preserve">[11] Courant, R., Friedrichs, K., &amp; Lewy, H. (1928). Uber die partiellen Differenzengleichungen der mathematischen Physik. Mathematische Annalen, 100(1), 32-74.</w:t>
      </w:r>
    </w:p>
    <w:p>
      <w:pPr>
        <w:pStyle w:val="References"/>
      </w:pPr>
      <w:r>
        <w:t xml:space="preserve">[12] Berger, S. A., &amp; Jou, L. D. (2000). Flows in stenotic vessels. Annual Review of Fluid Mechanics, 32(1), 347-382.</w:t>
      </w:r>
    </w:p>
    <w:p>
      <w:pPr>
        <w:pStyle w:val="References"/>
      </w:pPr>
      <w:r>
        <w:t xml:space="preserve">[13] Kleinstreuer, C., &amp; Zhang, Z. (2010). Airflow and particle transport in the human respiratory system. Annual Review of Fluid Mechanics, 42, 301-334.</w:t>
      </w:r>
    </w:p>
    <w:p>
      <w:pPr>
        <w:pStyle w:val="References"/>
      </w:pPr>
      <w:r>
        <w:t xml:space="preserve">[14] Menter, F. R. (1994). Two-equation eddy-viscosity turbulence models for engineering applications. AIAA Journal, 32(8), 1598-1605.</w:t>
      </w:r>
    </w:p>
    <w:p>
      <w:pPr>
        <w:pStyle w:val="References"/>
      </w:pPr>
      <w:r>
        <w:t xml:space="preserve">[15] Lin, C. L., Tawhai, M. H., McLennan, G., &amp; Hoffman, E. A. (2007). Characteristics of the turbulent laryngeal jet and its effect on airflow in the human intra-thoracic airways. Respiratory Physiology &amp; Neurobiology, 157(2-3), 295-309.</w:t>
      </w:r>
    </w:p>
    <w:p>
      <w:pPr>
        <w:pStyle w:val="References"/>
      </w:pPr>
      <w:r>
        <w:t xml:space="preserve">[16] Crowe, C. T., Schwarzkopf, J. D., Sommerfeld, M., &amp; Tsuji, Y. (2011). Multiphase Flows with Droplets and Particles. CRC Press, Boca Raton.</w:t>
      </w:r>
    </w:p>
    <w:p>
      <w:pPr>
        <w:pStyle w:val="References"/>
      </w:pPr>
      <w:r>
        <w:t xml:space="preserve">[17] Longest, P. W., &amp; Holbrook, L. T. (2012). In silico models of aerosol delivery to the respiratory tract. Advanced Drug Delivery Reviews, 64(4), 296-311.</w:t>
      </w:r>
    </w:p>
    <w:p>
      <w:pPr>
        <w:pStyle w:val="References"/>
      </w:pPr>
      <w:r>
        <w:t xml:space="preserve">[18] Tawhai, M. H., Hunter, P., Tschirren, J., Reinhardt, J., McLennan, G., &amp; Hoffman, E. A. (2004). CT-based geometry analysis and finite element models of the human and ovine bronchial tree. Journal of Applied Physiology, 97(6), 2310-2321.</w:t>
      </w:r>
    </w:p>
    <w:p>
      <w:pPr>
        <w:pStyle w:val="References"/>
      </w:pPr>
      <w:r>
        <w:t xml:space="preserve">[19] Kleinstreuer, C., Zhang, Z., &amp; Li, Z. (2008). Modeling airflow and particle transport/deposition in pulmonary airways. Respiratory Physiology &amp; Neurobiology, 163(1-3), 128-138.</w:t>
      </w:r>
    </w:p>
    <w:p>
      <w:pPr>
        <w:pStyle w:val="References"/>
      </w:pPr>
      <w:r>
        <w:t xml:space="preserve">[20] Hinds, W. C. (1999). Aerosol Technology: Properties, Behavior, and Measurement of Airborne Particles. John Wiley &amp; Sons, New York.</w:t>
      </w:r>
    </w:p>
    <w:p>
      <w:pPr>
        <w:pStyle w:val="References"/>
      </w:pPr>
      <w:r>
        <w:t xml:space="preserve">[21] Longest, P. W., Bass, K., Dutta, R., Rani, V., Thomas, M. L., El-Achwah, A., &amp; Hindle, M. (2019). Use of computational fluid dynamics deposition modeling in respiratory drug delivery. Expert Opinion on Drug Delivery, 16(1), 7-26.</w:t>
      </w:r>
    </w:p>
    <w:p>
      <w:pPr>
        <w:pStyle w:val="References"/>
      </w:pPr>
      <w:r>
        <w:t xml:space="preserve">[22] Coates, M. S., Fletcher, D. F., Chan, H. K., &amp; Raper, J. A. (2004). Effect of design on the performance of a dry powder inhaler using computational fluid dynamics. Journal of Pharmaceutical Sciences, 93(11), 2863-2876.</w:t>
      </w:r>
    </w:p>
    <w:p>
      <w:pPr>
        <w:pStyle w:val="References"/>
      </w:pPr>
      <w:r>
        <w:t xml:space="preserve">[23] Steinman, D. A. (2002). Image-based computational fluid dynamics modeling in realistic arterial geometries. Annals of Biomedical Engineering, 30(4), 483-497.</w:t>
      </w:r>
    </w:p>
    <w:p>
      <w:pPr>
        <w:pStyle w:val="References"/>
      </w:pPr>
      <w:r>
        <w:t xml:space="preserve">[24] Malek, A. M., Alper, S. L., &amp; Izumo, S. (1999). Hemodynamic shear stress and its role in atherosclerosis. JAMA, 282(21), 2035-2042.</w:t>
      </w:r>
    </w:p>
    <w:p>
      <w:pPr>
        <w:pStyle w:val="References"/>
      </w:pPr>
      <w:r>
        <w:t xml:space="preserve">[25] Decuzzi, P., &amp; Ferrari, M. (2006). The adhesive strength of non-spherical particles mediated by specific interactions. Biomaterials, 27(30), 5307-5314.</w:t>
      </w:r>
    </w:p>
    <w:p>
      <w:pPr>
        <w:pStyle w:val="References"/>
      </w:pPr>
      <w:r>
        <w:t xml:space="preserve">[26] Muller, K., Fedosov, D. A., &amp; Gompper, G. (2014). Margination of micro- and nano-particles in blood flow and its effect on drug delivery. Scientific Reports, 4, 4871.</w:t>
      </w:r>
    </w:p>
    <w:p>
      <w:pPr>
        <w:pStyle w:val="References"/>
      </w:pPr>
      <w:r>
        <w:t xml:space="preserve">[27] Hossain, S. S., Hughes, T. J. R., &amp; Decuzzi, P. (2014). Vascular deposition patterns for nanoparticles in an inflamed patient-specific arterial tree. Biomechanics and Modeling in Mechanobiology, 13(3), 585-597.</w:t>
      </w:r>
    </w:p>
    <w:p>
      <w:pPr>
        <w:pStyle w:val="References"/>
      </w:pPr>
      <w:r>
        <w:t xml:space="preserve">[28] Pries, A. R., Secomb, T. W., &amp; Gaehtgens, P. (1996). Biophysical aspects of blood flow in the microvasculature. Cardiovascular Research, 32(4), 654-667.</w:t>
      </w:r>
    </w:p>
    <w:p>
      <w:pPr>
        <w:pStyle w:val="References"/>
      </w:pPr>
      <w:r>
        <w:t xml:space="preserve">[29] Chauhan, V. P., Stylianopoulos, T., Boucher, Y., &amp; Jain, R. K. (2011). Delivery of molecular and nanoscale medicine to tumors: transport barriers and strategies. Annual Review of Chemical and Biomolecular Engineering, 2, 281-298.</w:t>
      </w:r>
    </w:p>
    <w:p>
      <w:pPr>
        <w:pStyle w:val="References"/>
      </w:pPr>
      <w:r>
        <w:t xml:space="preserve">[30] Zunino, P., D'Angelo, C., Petrini, L., Vergara, C., Capelli, C., &amp; Migliavacca, F. (2009). Numerical simulation of drug eluting coronary stents. Computer Methods in Applied Mechanics and Engineering, 198(45-46), 3633-3644.</w:t>
      </w:r>
    </w:p>
    <w:p>
      <w:pPr>
        <w:pStyle w:val="References"/>
      </w:pPr>
      <w:r>
        <w:t xml:space="preserve">[31] Sarntinoranont, M., Chen, X., Zhao, J., &amp; Mareci, T. H. (2006). Computational model of interstitial transport in the spinal cord using diffusion tensor imaging. Annals of Biomedical Engineering, 34(8), 1304-1321.</w:t>
      </w:r>
    </w:p>
    <w:p>
      <w:pPr>
        <w:pStyle w:val="References"/>
      </w:pPr>
      <w:r>
        <w:t xml:space="preserve">[32] Inthavong, K., Tian, Z. F., Li, H. F., Tu, J. Y., Yang, W., Xue, C. L., &amp; Li, C. G. (2006). A numerical study of spray particle deposition in a human nasal cavity. Aerosol Science and Technology, 40(11), 1034-1045.</w:t>
      </w:r>
    </w:p>
    <w:p>
      <w:pPr>
        <w:pStyle w:val="References"/>
      </w:pPr>
      <w:r>
        <w:t xml:space="preserve">[33] Kimbell, J. S., Segal, R. A., Asgharian, B., Wong, B. A., Schroeter, J. D., Southall, J. P., &amp; Miller, F. J. (2007). Characterization of deposition from nasal spray devices using a computational fluid dynamics model of the human nasal passages. Journal of Aerosol Medicine, 20(1), 59-74.</w:t>
      </w:r>
    </w:p>
    <w:p>
      <w:pPr>
        <w:pStyle w:val="References"/>
      </w:pPr>
      <w:r>
        <w:t xml:space="preserve">[34] Missel, P. J. (2012). Simulating intravitreal injections in anatomically accurate models for rabbit, monkey, and human eyes. Pharmaceutical Research, 29(12), 3251-3272.</w:t>
      </w:r>
    </w:p>
    <w:p>
      <w:pPr>
        <w:pStyle w:val="References"/>
      </w:pPr>
      <w:r>
        <w:t xml:space="preserve">[35] Balachandran, R. K., &amp; Barocas, V. H. (2008). Computer modeling of drug delivery to the posterior eye. Pharmaceutical Research, 25(11), 2685-2696.</w:t>
      </w:r>
    </w:p>
    <w:p>
      <w:pPr>
        <w:pStyle w:val="References"/>
      </w:pPr>
      <w:r>
        <w:t xml:space="preserve">[36] Ferrua, M. J., &amp; Singh, R. P. (2010). Modeling the fluid dynamics in a human stomach to gain insight of food digestion. Journal of Food Science, 75(7), R151-R162.</w:t>
      </w:r>
    </w:p>
    <w:p>
      <w:pPr>
        <w:pStyle w:val="References"/>
      </w:pPr>
      <w:r>
        <w:t xml:space="preserve">[37] Nguyen, N. T., &amp; Wu, Z. (2005). Micromixers - a review. Journal of Micromechanics and Microengineering, 15(2), R1-R16.</w:t>
      </w:r>
    </w:p>
    <w:p>
      <w:pPr>
        <w:pStyle w:val="References"/>
      </w:pPr>
      <w:r>
        <w:t xml:space="preserve">[38] Vignon-Clementel, I. E., Figueroa, C. A., Jansen, K. E., &amp; Taylor, C. A. (2006). Outflow boundary conditions for three-dimensional finite element modeling of blood flow. Computer Methods in Applied Mechanics and Engineering, 195(29-32), 3776-3796.</w:t>
      </w:r>
    </w:p>
    <w:p>
      <w:pPr>
        <w:pStyle w:val="References"/>
      </w:pPr>
      <w:r>
        <w:t xml:space="preserve">[39] Sankaran, S., &amp; Marsden, A. L. (2011). A stochastic collocation method for uncertainty quantification in cardiovascular simulations. Journal of Biomechanical Engineering, 133(3), 031001.</w:t>
      </w:r>
    </w:p>
    <w:p>
      <w:pPr>
        <w:pStyle w:val="References"/>
      </w:pPr>
      <w:r>
        <w:t xml:space="preserve">[40] Hopkins, L. M., Kelly, J. T., Wexler, A. S., &amp; Prasad, A. K. (2000). Particle image velocimetry measurements in complex geometries. Experiments in Fluids, 29(1), 91-95.</w:t>
      </w:r>
    </w:p>
    <w:p>
      <w:pPr>
        <w:pStyle w:val="References"/>
      </w:pPr>
      <w:r>
        <w:t xml:space="preserve">[41] Newman, S. P., &amp; Wilding, I. R. (1998). Gamma scintigraphy: an in vivo technique for assessing the equivalence of inhaled products. International Journal of Pharmaceutics, 170(1), 1-9.</w:t>
      </w:r>
    </w:p>
    <w:p>
      <w:pPr>
        <w:pStyle w:val="References"/>
      </w:pPr>
      <w:r>
        <w:t xml:space="preserve">[42] Steinman, D. A., &amp; Migliavacca, F. (2018). Editorial: Special issue on verification, validation, and uncertainty quantification of cardiovascular models. Cardiovascular Engineering and Technology, 9(4), 539-543.</w:t>
      </w:r>
    </w:p>
    <w:p>
      <w:pPr>
        <w:pStyle w:val="References"/>
      </w:pPr>
      <w:r>
        <w:t xml:space="preserve">[43] Randles, A., Draeger, E. W., Oppelstrup, T., Krauss, L., &amp; Gunnels, J. A. (2015). Massively parallel models of the human circulatory system. In Proceedings of the International Conference for High Performance Computing (pp. 1-11).</w:t>
      </w:r>
    </w:p>
    <w:p>
      <w:pPr>
        <w:pStyle w:val="References"/>
      </w:pPr>
      <w:r>
        <w:t xml:space="preserve">[44] Brunton, S. L., Noack, B. R., &amp; Koumoutsakos, P. (2020). Machine learning for fluid mechanics. Annual Review of Fluid Mechanics, 52, 477-508.</w:t>
      </w:r>
    </w:p>
    <w:p>
      <w:pPr>
        <w:pStyle w:val="References"/>
      </w:pPr>
      <w:r>
        <w:t xml:space="preserve">[45] Liang, L., Liu, M., Martin, C., &amp; Sun, W. (2018). A deep learning approach to estimate stress distribution: a fast and accurate surrogate of finite-element analysis. Journal of the Royal Society Interface, 15(138), 20170844.</w:t>
      </w:r>
    </w:p>
    <w:p>
      <w:pPr>
        <w:pStyle w:val="References"/>
      </w:pPr>
      <w:r>
        <w:t xml:space="preserve">[46] Benner, P., Gugercin, S., &amp; Willcox, K. (2015). A survey of projection-based model reduction methods for parametric dynamical systems. SIAM Review, 57(4), 483-531.</w:t>
      </w:r>
    </w:p>
    <w:p>
      <w:pPr>
        <w:pStyle w:val="References"/>
      </w:pPr>
      <w:r>
        <w:t xml:space="preserve">[47] Raissi, M., Perdikaris, P., &amp; Karniadakis, G. E. (2019). Physics-informed neural networks: A deep learning framework for solving forward and inverse problems involving nonlinear partial differential equations. Journal of Computational Physics, 378, 686-707.</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576" w:right="576"/>
    </w:pPr>
    <w:rPr>
      <w:i/>
    </w:rPr>
  </w:style>
  <w:style w:type="paragraph" w:styleId="References">
    <w:name w:val="References"/>
    <w:basedOn w:val="Normal"/>
    <w:pPr>
      <w:ind w:left="480" w:hanging="480"/>
      <w:spacing w:after="60"/>
      <w:jc w:val="left"/>
    </w:pPr>
    <w:rPr>
      <w:sz w:val="22"/>
      <w:szCs w:val="22"/>
    </w:rPr>
  </w:style>
  <w:style w:type="paragraph" w:styleId="FigureImage">
    <w:name w:val="Figure Image"/>
    <w:basedOn w:val="Normal"/>
    <w:pPr>
      <w:jc w:val="center"/>
      <w:spacing w:before="120" w:after="60"/>
    </w:pPr>
  </w:style>
  <w:style w:type="paragraph" w:styleId="FigureCaption">
    <w:name w:val="Figure Caption"/>
    <w:basedOn w:val="Normal"/>
    <w:pPr>
      <w:jc w:val="center"/>
      <w:spacing w:before="0" w:after="240"/>
    </w:pPr>
    <w:rPr>
      <w:i/>
      <w:sz w:val="22"/>
      <w:szCs w:val="22"/>
    </w:rPr>
  </w:style>
  <w:style w:type="paragraph" w:styleId="TableCaption">
    <w:name w:val="Table Caption"/>
    <w:basedOn w:val="Normal"/>
    <w:pPr>
      <w:spacing w:before="120" w:after="60"/>
      <w:jc w:val="left"/>
    </w:pPr>
    <w:rPr>
      <w: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Figure_1_Airway_Deposition.png"/><Relationship Id="rId3" Type="http://schemas.openxmlformats.org/officeDocument/2006/relationships/image" Target="media/Figure_2_WSS_Nanoparticle.png"/><Relationship Id="rId4" Type="http://schemas.openxmlformats.org/officeDocument/2006/relationships/image" Target="media/Figure_3_Surrogate_Workflow.png"/><Relationship Id="rId5" Type="http://schemas.openxmlformats.org/officeDocument/2006/relationships/image" Target="media/Figure_4_Digital_Twin.png"/></Relationships>
</file>