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240" w:after="240" w:line="360" w:lineRule="auto"/>
      </w:pPr>
      <w:r>
        <w:rPr>
          <w:b/>
          <w:bCs/>
          <w:sz w:val="28"/>
          <w:szCs w:val="28"/>
        </w:rPr>
        <w:t xml:space="preserve">Adaptive Living Systems and Computational Ecology in Regenerative Tourism Infrastructure: A Transdisciplinary Framework for Bio-Integrated Spatial Design</w:t>
      </w:r>
    </w:p>
    <w:p>
      <w:pPr>
        <w:spacing w:before="0" w:after="0"/>
      </w:pPr>
    </w:p>
    <w:p>
      <w:pPr>
        <w:pBdr>
          <w:bottom w:val="single" w:sz="12" w:space="1" w:color="auto"/>
        </w:pBdr>
        <w:spacing w:before="240" w:after="240"/>
      </w:pPr>
    </w:p>
    <w:p>
      <w:pPr>
        <w:spacing w:before="0" w:after="0"/>
      </w:pPr>
    </w:p>
    <w:p>
      <w:pPr>
        <w:pStyle w:val="Heading1"/>
        <w:spacing w:before="360" w:after="120" w:line="360" w:lineRule="auto"/>
      </w:pPr>
      <w:r>
        <w:rPr>
          <w:b/>
          <w:bCs/>
          <w:sz w:val="26"/>
          <w:szCs w:val="26"/>
        </w:rPr>
        <w:t xml:space="preserve">Abstract</w:t>
      </w:r>
    </w:p>
    <w:p>
      <w:pPr>
        <w:spacing w:before="0" w:after="0"/>
      </w:pPr>
    </w:p>
    <w:p>
      <w:pPr>
        <w:jc w:val="both"/>
        <w:spacing w:before="0" w:after="120" w:line="360" w:lineRule="auto"/>
      </w:pPr>
      <w:r>
        <w:t xml:space="preserve">This chapter presents a transdisciplinary framework for bio-integrated tourism design that positions architectural and landscape systems as adaptive, regenerative entities capable of ecological reciprocity with their host environments [1, 2]. Moving beyond conventional sustainable tourism paradigms predicated on harm reduction, the research investigates how living systems—biological materials, responsive organisms, and ecological processes—can be computationally integrated into tourism infrastructure to produce net-positive environmental outcomes [3, 4]. Through a mixed-methods approach combining computational modeling, biomimetic design analysis, and multi-site case study evaluation, the chapter examines three exemplary projects that operationalize bio-integration at varying scales: a mycelium-based resort structure in Costa Rica, an algorithmically optimized mangrove-tourism interface in the Maldives, and a living-skin facade system for visitor centers in the Australian arid zone [5]. Findings demonstrate that bio-integrated approaches yield measurable improvements in ecosystem service provision (23–47% enhancement over conventional construction), visitor experience quality, and long-term economic resilience [6]. The chapter concludes by proposing a Bio-Integration Maturity Model (BIMM) that enables practitioners and policymakers to assess, benchmark, and advance tourism infrastructure along a continuum from passive sustainability to active ecological regeneration [7].</w:t>
      </w:r>
    </w:p>
    <w:p>
      <w:pPr>
        <w:spacing w:before="0" w:after="0"/>
      </w:pPr>
    </w:p>
    <w:p>
      <w:pPr>
        <w:jc w:val="both"/>
        <w:spacing w:before="0" w:after="120" w:line="360" w:lineRule="auto"/>
      </w:pPr>
      <w:r>
        <w:rPr>
          <w:b/>
          <w:bCs/>
        </w:rPr>
        <w:t xml:space="preserve">Keywords:</w:t>
      </w:r>
      <w:r>
        <w:t xml:space="preserve"> bio-integrated design, regenerative tourism, living systems architecture, computational ecology, biomimetic infrastructure, ecological reciprocity, adaptive building systems</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1. Introduction</w:t>
      </w:r>
    </w:p>
    <w:p>
      <w:pPr>
        <w:spacing w:before="0" w:after="0"/>
      </w:pPr>
    </w:p>
    <w:p>
      <w:pPr>
        <w:jc w:val="both"/>
        <w:spacing w:before="0" w:after="120" w:line="360" w:lineRule="auto"/>
      </w:pPr>
      <w:r>
        <w:t xml:space="preserve">The global tourism industry, responsible for approximately 8% of worldwide greenhouse gas emissions and significant biodiversity loss across ecologically sensitive destinations [1], confronts a fundamental paradox: the landscapes and ecosystems that attract visitors are progressively degraded by the very infrastructure constructed to accommodate them [2]. Conventional approaches to sustainable tourism have predominantly operated within a framework of impact mitigation—reducing energy consumption, minimizing waste, and limiting ecological footprint—yet these strategies, however well-intentioned, remain fundamentally extractive in their relationship with living systems [3]. They slow the rate of degradation without reversing it, producing what Benyus characterized as "less bad" rather than genuinely restorative outcomes [4].</w:t>
      </w:r>
    </w:p>
    <w:p>
      <w:pPr>
        <w:spacing w:before="0" w:after="0"/>
      </w:pPr>
    </w:p>
    <w:p>
      <w:pPr>
        <w:jc w:val="both"/>
        <w:spacing w:before="0" w:after="120" w:line="360" w:lineRule="auto"/>
      </w:pPr>
      <w:r>
        <w:t xml:space="preserve">This chapter argues for a paradigmatic shift from sustainability-as-mitigation toward regenerative bio-integration, wherein tourism infrastructure functions not merely as a built object placed upon a landscape but as an active participant in ecological processes. Drawing upon advances in living systems engineering [5], computational morphogenesis [6], and indigenous ecological knowledge systems [7], the research develops a transdisciplinary framework that reconceptualizes tourism architecture and landscape design as adaptive, metabolically active entities engaged in continuous material and energetic exchange with their host ecosystems.</w:t>
      </w:r>
    </w:p>
    <w:p>
      <w:pPr>
        <w:spacing w:before="0" w:after="0"/>
      </w:pPr>
    </w:p>
    <w:p>
      <w:pPr>
        <w:pStyle w:val="Heading2"/>
        <w:spacing w:before="240" w:after="120" w:line="360" w:lineRule="auto"/>
      </w:pPr>
      <w:r>
        <w:rPr>
          <w:b/>
          <w:bCs/>
        </w:rPr>
        <w:t xml:space="preserve">1.1 Research Aims and Questions</w:t>
      </w:r>
    </w:p>
    <w:p>
      <w:pPr>
        <w:spacing w:before="0" w:after="0"/>
      </w:pPr>
    </w:p>
    <w:p>
      <w:pPr>
        <w:jc w:val="both"/>
        <w:spacing w:before="0" w:after="120" w:line="360" w:lineRule="auto"/>
      </w:pPr>
      <w:r>
        <w:t xml:space="preserve">The central aim of this research is to establish a theoretically grounded and empirically validated framework for bio-integrated tourism design that achieves ecological reciprocity—a condition in which built infrastructure actively contributes to ecosystem health rather than merely minimizing its detrimental effects. This aim is operationalized through three guiding research questions:</w:t>
      </w:r>
    </w:p>
    <w:p>
      <w:pPr>
        <w:spacing w:before="0" w:after="0"/>
      </w:pPr>
    </w:p>
    <w:p>
      <w:pPr>
        <w:jc w:val="both"/>
        <w:spacing w:before="0" w:after="120" w:line="360" w:lineRule="auto"/>
      </w:pPr>
      <w:r>
        <w:t xml:space="preserve">1. How can living biological systems—including mycelial networks, photosynthetic organisms, microbial communities, and plant assemblages—be architecturally integrated into tourism infrastructure to function as adaptive, self-regulating components rather than decorative or superficial additions?</w:t>
      </w:r>
    </w:p>
    <w:p>
      <w:pPr>
        <w:spacing w:before="0" w:after="0"/>
      </w:pPr>
    </w:p>
    <w:p>
      <w:pPr>
        <w:jc w:val="both"/>
        <w:spacing w:before="0" w:after="120" w:line="360" w:lineRule="auto"/>
      </w:pPr>
      <w:r>
        <w:t xml:space="preserve">2. What computational frameworks and algorithmic design methodologies enable the optimization of bio-integrated systems for simultaneous ecological performance, structural integrity, and visitor experience quality?</w:t>
      </w:r>
    </w:p>
    <w:p>
      <w:pPr>
        <w:spacing w:before="0" w:after="0"/>
      </w:pPr>
    </w:p>
    <w:p>
      <w:pPr>
        <w:jc w:val="both"/>
        <w:spacing w:before="0" w:after="120" w:line="360" w:lineRule="auto"/>
      </w:pPr>
      <w:r>
        <w:t xml:space="preserve">3. To what extent do bio-integrated tourism projects demonstrate measurable improvements in ecosystem service provision relative to conventional sustainable construction, and what design parameters most significantly influence these outcomes?</w:t>
      </w:r>
    </w:p>
    <w:p>
      <w:pPr>
        <w:spacing w:before="0" w:after="0"/>
      </w:pPr>
    </w:p>
    <w:p>
      <w:pPr>
        <w:pStyle w:val="Heading2"/>
        <w:spacing w:before="240" w:after="120" w:line="360" w:lineRule="auto"/>
      </w:pPr>
      <w:r>
        <w:rPr>
          <w:b/>
          <w:bCs/>
        </w:rPr>
        <w:t xml:space="preserve">1.2 Scope and Significance</w:t>
      </w:r>
    </w:p>
    <w:p>
      <w:pPr>
        <w:spacing w:before="0" w:after="0"/>
      </w:pPr>
    </w:p>
    <w:p>
      <w:pPr>
        <w:jc w:val="both"/>
        <w:spacing w:before="0" w:after="120" w:line="360" w:lineRule="auto"/>
      </w:pPr>
      <w:r>
        <w:t xml:space="preserve">The significance of this inquiry extends beyond the tourism sector to address broader challenges in architectural theory, ecological engineering, and the philosophy of human-nature relations within the built environment. As Mang and Reed articulated in their foundational work on regenerative development [8], the transition from degenerative to regenerative practice requires not merely technical innovation but a fundamental reconceptualization of the relationship between human settlement and living systems. Tourism infrastructure, situated as it typically is within or adjacent to areas of high ecological value, represents both a critical point of intervention and a laboratory for regenerative design approaches that may subsequently diffuse into broader architectural practice.</w:t>
      </w:r>
    </w:p>
    <w:p>
      <w:pPr>
        <w:spacing w:before="0" w:after="0"/>
      </w:pPr>
    </w:p>
    <w:p>
      <w:pPr>
        <w:jc w:val="both"/>
        <w:spacing w:before="0" w:after="120" w:line="360" w:lineRule="auto"/>
      </w:pPr>
      <w:r>
        <w:t xml:space="preserve">The chapter contributes to the emerging discourse on bio-integrated design [9] by providing empirical evidence from operational projects, developing computational tools for design optimization, and proposing a scalable assessment framework. Unlike previous treatments that have remained predominantly theoretical or limited to laboratory-scale demonstrations, this research bridges the gap between speculative bio-design and the pragmatic realities of tourism infrastructure development, including economic constraints, regulatory requirements, and visitor expectations.</w:t>
      </w:r>
    </w:p>
    <w:p>
      <w:pPr>
        <w:spacing w:before="0" w:after="0"/>
      </w:pPr>
    </w:p>
    <w:p>
      <w:pPr>
        <w:pStyle w:val="Heading2"/>
        <w:spacing w:before="240" w:after="120" w:line="360" w:lineRule="auto"/>
      </w:pPr>
      <w:r>
        <w:rPr>
          <w:b/>
          <w:bCs/>
        </w:rPr>
        <w:t xml:space="preserve">1.3 Chapter Organization</w:t>
      </w:r>
    </w:p>
    <w:p>
      <w:pPr>
        <w:spacing w:before="0" w:after="0"/>
      </w:pPr>
    </w:p>
    <w:p>
      <w:pPr>
        <w:jc w:val="both"/>
        <w:spacing w:before="0" w:after="120" w:line="360" w:lineRule="auto"/>
      </w:pPr>
      <w:r>
        <w:t xml:space="preserve">The chapter proceeds through six sections following the recommended structure. Section 2 establishes the theoretical and empirical context, reviewing the current state of knowledge across regenerative design theory, living systems architecture, and computational ecology. Section 3 presents the mixed-methods research approach, including computational modeling protocols, case study selection criteria, and assessment metrics. Section 4 reports findings from three geographically and typologically diverse case studies. Section 5 discusses implications, limitations, and the proposed Bio-Integration Maturity Model. Section 6 concludes with reflections on knowledge gained and trajectories for future research and practice.</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2. Context: Theoretical Foundations and Current State of Knowledge</w:t>
      </w:r>
    </w:p>
    <w:p>
      <w:pPr>
        <w:spacing w:before="0" w:after="0"/>
      </w:pPr>
    </w:p>
    <w:p>
      <w:pPr>
        <w:pStyle w:val="Heading2"/>
        <w:spacing w:before="240" w:after="120" w:line="360" w:lineRule="auto"/>
      </w:pPr>
      <w:r>
        <w:rPr>
          <w:b/>
          <w:bCs/>
        </w:rPr>
        <w:t xml:space="preserve">2.1 From Sustainable to Regenerative Tourism Design</w:t>
      </w:r>
    </w:p>
    <w:p>
      <w:pPr>
        <w:spacing w:before="0" w:after="0"/>
      </w:pPr>
    </w:p>
    <w:p>
      <w:pPr>
        <w:jc w:val="both"/>
        <w:spacing w:before="0" w:after="120" w:line="360" w:lineRule="auto"/>
      </w:pPr>
      <w:r>
        <w:t xml:space="preserve">The evolution of environmental thinking in tourism architecture traces a trajectory from ignorance through mitigation to the emergent paradigm of regeneration. First-generation green building approaches, codified in certification systems such as LEED and BREEAM, focused predominantly on operational efficiency—reducing energy consumption, water use, and material waste relative to conventional baselines [10]. While these frameworks achieved measurable reductions in environmental impact, they remained anchored to a fundamentally reductive logic: sustainability conceived as the minimization of harm within an essentially unchanged design paradigm [11].</w:t>
      </w:r>
    </w:p>
    <w:p>
      <w:pPr>
        <w:spacing w:before="0" w:after="0"/>
      </w:pPr>
    </w:p>
    <w:p>
      <w:pPr>
        <w:jc w:val="both"/>
        <w:spacing w:before="0" w:after="120" w:line="360" w:lineRule="auto"/>
      </w:pPr>
      <w:r>
        <w:t xml:space="preserve">Second-generation approaches introduced lifecycle thinking, embodied carbon accounting, and cradle-to-cradle material flows [12], expanding the temporal and material boundaries of environmental assessment. These advances acknowledged that operational efficiency alone was insufficient, yet they continued to conceptualize buildings as inert objects whose environmental performance could be optimized through better material selection and systems engineering. The building itself remained a passive artifact—a container for human activity situated upon, rather than within, ecological systems.</w:t>
      </w:r>
    </w:p>
    <w:p>
      <w:pPr>
        <w:spacing w:before="0" w:after="0"/>
      </w:pPr>
    </w:p>
    <w:p>
      <w:pPr>
        <w:jc w:val="both"/>
        <w:spacing w:before="0" w:after="120" w:line="360" w:lineRule="auto"/>
      </w:pPr>
      <w:r>
        <w:t xml:space="preserve">The regenerative design paradigm, articulated by Lyle [13], Mang and Reed [8], and du Plessis [14], represents a qualitative departure from this trajectory. Regenerative design does not merely reduce negative impacts but actively produces positive ecological outcomes—restoring degraded ecosystems, enhancing biodiversity, building soil carbon, and strengthening hydrological function. Within tourism contexts, regenerative approaches reconceptualize visitor infrastructure as a catalyst for ecological restoration rather than a necessary compromise between economic imperatives and environmental protection [15].</w:t>
      </w:r>
    </w:p>
    <w:p>
      <w:pPr>
        <w:spacing w:before="0" w:after="0"/>
      </w:pPr>
    </w:p>
    <w:p>
      <w:pPr>
        <w:jc w:val="both"/>
        <w:spacing w:before="0" w:after="120" w:line="360" w:lineRule="auto"/>
      </w:pPr>
      <w:r>
        <w:t xml:space="preserve">However, the operationalization of regenerative principles has proven challenging. Critics have noted the persistent gap between regenerative aspiration and measurable ecological outcomes [16], arguing that without rigorous frameworks for quantifying ecological contribution, regenerative design risks becoming merely rhetorical—a rebranding of conventional sustainability under more ambitious terminology. Bio-integrated design, as developed in this chapter, addresses this gap by specifying concrete mechanisms through which built infrastructure can participate in ecological processes and providing metrics for assessing the degree and quality of that participation.</w:t>
      </w:r>
    </w:p>
    <w:p>
      <w:pPr>
        <w:spacing w:before="0" w:after="0"/>
      </w:pPr>
    </w:p>
    <w:p>
      <w:pPr>
        <w:pStyle w:val="Heading2"/>
        <w:spacing w:before="240" w:after="120" w:line="360" w:lineRule="auto"/>
      </w:pPr>
      <w:r>
        <w:rPr>
          <w:b/>
          <w:bCs/>
        </w:rPr>
        <w:t xml:space="preserve">2.2 Living Systems Architecture: Biological Materials and Adaptive Organisms</w:t>
      </w:r>
    </w:p>
    <w:p>
      <w:pPr>
        <w:spacing w:before="0" w:after="0"/>
      </w:pPr>
    </w:p>
    <w:p>
      <w:pPr>
        <w:jc w:val="both"/>
        <w:spacing w:before="0" w:after="120" w:line="360" w:lineRule="auto"/>
      </w:pPr>
      <w:r>
        <w:t xml:space="preserve">The integration of living organisms into architectural systems has progressed from conceptual speculation to material reality over the past two decades. Early theoretical contributions by Frazer on evolutionary architecture [17] and Steadman on the architectural application of biological analogy [18] established intellectual foundations, while subsequent material innovations have enabled practical implementation at increasing scales.</w:t>
      </w:r>
    </w:p>
    <w:p>
      <w:pPr>
        <w:spacing w:before="0" w:after="0"/>
      </w:pPr>
    </w:p>
    <w:p>
      <w:pPr>
        <w:jc w:val="both"/>
        <w:spacing w:before="0" w:after="120" w:line="360" w:lineRule="auto"/>
      </w:pPr>
      <w:r>
        <w:t xml:space="preserve">Mycelium-based composites represent perhaps the most mature category of living building materials. Research by Haneef et al. [19] and Jones et al. [20] demonstrated that fungal mycelium can be cultivated on agricultural waste substrates to produce structural panels with compressive strengths comparable to conventional insulation materials, while simultaneously sequestering carbon and biodegrading benignly at end of life. Companies such as Ecovative Design and BIOHM have scaled mycelium composite production to commercial volumes, enabling architectural applications that maintain biological activity—the mycelial network continues metabolic processes within the building envelope, processing airborne pollutants and regulating humidity through transpiration [21].</w:t>
      </w:r>
    </w:p>
    <w:p>
      <w:pPr>
        <w:spacing w:before="0" w:after="0"/>
      </w:pPr>
    </w:p>
    <w:p>
      <w:pPr>
        <w:ind w:left="720"/>
        <w:spacing w:before="0" w:after="80" w:line="360" w:lineRule="auto"/>
      </w:pPr>
      <w:r>
        <w:rPr>
          <w:sz w:val="22"/>
          <w:szCs w:val="22"/>
        </w:rPr>
        <w:t xml:space="preserve">Photosynthetic building systems exploit algae and cyanobacteria as metabolically active facade components. The BIQ House in Hamburg (2013) demonstrated a functioning bioreactor facade in which microalgae cultured in transparent panels simultaneously generated biomass for energy, provided solar shading through growth-dependent opacity, and captured CO₂ from ambient air [22]. Subsequent developments by Arup's SolarLeaf technology and academic research groups have refined algae-facade integration, achieving energy yields of 30–50 kWh/m² annually while maintaining biological viability across seasonal temperature ranges [23].</w:t>
      </w:r>
    </w:p>
    <w:p>
      <w:pPr>
        <w:spacing w:before="0" w:after="0"/>
      </w:pPr>
    </w:p>
    <w:p>
      <w:pPr>
        <w:jc w:val="both"/>
        <w:spacing w:before="0" w:after="120" w:line="360" w:lineRule="auto"/>
      </w:pPr>
      <w:r>
        <w:t xml:space="preserve">Living root bridges, constructed by the Khasi and Jaintia peoples of Meghalaya, India, over centuries of directed biological growth, represent indigenous precedents for structural bio-integration that challenge Western assumptions about the necessary separation of biological and architectural systems [24]. These structures, formed by training the aerial roots of Ficus elastica across river gorges, strengthen over time through biological growth—a property fundamentally antithetical to conventional construction, which degrades from the moment of completion. Such indigenous knowledge systems demonstrate that bio-integration is not merely a technological novelty but a culturally embedded practice with deep historical roots and proven long-term performance.</w:t>
      </w:r>
    </w:p>
    <w:p>
      <w:pPr>
        <w:spacing w:before="0" w:after="0"/>
      </w:pPr>
    </w:p>
    <w:p>
      <w:pPr>
        <w:pStyle w:val="Heading2"/>
        <w:spacing w:before="240" w:after="120" w:line="360" w:lineRule="auto"/>
      </w:pPr>
      <w:r>
        <w:rPr>
          <w:b/>
          <w:bCs/>
        </w:rPr>
        <w:t xml:space="preserve">2.3 Computational Frameworks for Ecological Design</w:t>
      </w:r>
    </w:p>
    <w:p>
      <w:pPr>
        <w:spacing w:before="0" w:after="0"/>
      </w:pPr>
    </w:p>
    <w:p>
      <w:pPr>
        <w:jc w:val="both"/>
        <w:spacing w:before="0" w:after="120" w:line="360" w:lineRule="auto"/>
      </w:pPr>
      <w:r>
        <w:t xml:space="preserve">The application of computational methods to bio-integrated design encompasses three principal domains: generative design algorithms that produce form through simulated biological processes, agent-based modeling of organism-infrastructure interactions, and machine learning approaches to predictive ecological performance assessment.</w:t>
      </w:r>
    </w:p>
    <w:p>
      <w:pPr>
        <w:spacing w:before="0" w:after="0"/>
      </w:pPr>
    </w:p>
    <w:p>
      <w:pPr>
        <w:jc w:val="both"/>
        <w:spacing w:before="0" w:after="120" w:line="360" w:lineRule="auto"/>
      </w:pPr>
      <w:r>
        <w:t xml:space="preserve">Generative design approaches drawing upon evolutionary computation and morphogenetic algorithms have been extensively developed within architectural research [25, 26]. These methods employ genetic algorithms, cellular automata, and particle-swarm optimization to generate architectural forms that satisfy multiple performance objectives simultaneously. In bio-integrated contexts, the design objectives extend beyond structural efficiency and environmental control to include habitat provision, ecological connectivity, and nutrient cycling capacity [27].</w:t>
      </w:r>
    </w:p>
    <w:p>
      <w:pPr>
        <w:spacing w:before="0" w:after="0"/>
      </w:pPr>
    </w:p>
    <w:p>
      <w:pPr>
        <w:jc w:val="both"/>
        <w:spacing w:before="0" w:after="120" w:line="360" w:lineRule="auto"/>
      </w:pPr>
      <w:r>
        <w:t xml:space="preserve">Agent-based models (ABMs) simulate the behavior of individual organisms—birds, insects, marine organisms, microbial communities—within and around built structures, enabling designers to predict and optimize ecological outcomes prior to construction [28]. For tourism infrastructure in biodiverse settings, ABMs can evaluate how building massing, surface texture, material chemistry, and lighting regimes affect the abundance and diversity of local fauna, transforming architectural design into a form of habitat engineering [29].</w:t>
      </w:r>
    </w:p>
    <w:p>
      <w:pPr>
        <w:spacing w:before="0" w:after="0"/>
      </w:pPr>
    </w:p>
    <w:p>
      <w:pPr>
        <w:jc w:val="both"/>
        <w:spacing w:before="0" w:after="120" w:line="360" w:lineRule="auto"/>
      </w:pPr>
      <w:r>
        <w:t xml:space="preserve">Machine learning approaches, particularly deep neural networks trained on remote sensing data and ecological monitoring records, increasingly enable real-time assessment of ecosystem service provision by bio-integrated structures [30]. These tools can quantify carbon sequestration rates, pollination support, water filtration capacity, and microclimate amelioration attributable to living system components, providing the feedback loops necessary for adaptive management of bio-integrated tourism infrastructure.</w:t>
      </w:r>
    </w:p>
    <w:p>
      <w:pPr>
        <w:spacing w:before="0" w:after="0"/>
      </w:pPr>
    </w:p>
    <w:p>
      <w:pPr>
        <w:pStyle w:val="Heading2"/>
        <w:spacing w:before="240" w:after="120" w:line="360" w:lineRule="auto"/>
      </w:pPr>
      <w:r>
        <w:rPr>
          <w:b/>
          <w:bCs/>
        </w:rPr>
        <w:t xml:space="preserve">2.4 Indigenous Ecological Knowledge and Biocultural Design</w:t>
      </w:r>
    </w:p>
    <w:p>
      <w:pPr>
        <w:spacing w:before="0" w:after="0"/>
      </w:pPr>
    </w:p>
    <w:p>
      <w:pPr>
        <w:jc w:val="both"/>
        <w:spacing w:before="0" w:after="120" w:line="360" w:lineRule="auto"/>
      </w:pPr>
      <w:r>
        <w:t xml:space="preserve">The integration of indigenous ecological knowledge (IEK) into bio-integrated tourism design represents both an ethical imperative and a source of design intelligence accumulated over millennia of human engagement with living systems [7, 31]. Indigenous communities worldwide have developed sophisticated understandings of ecological processes—including succession dynamics, interspecies relationships, and landscape-scale nutrient cycling—that complement and often exceed Western scientific knowledge in their spatial and temporal resolution [32].</w:t>
      </w:r>
    </w:p>
    <w:p>
      <w:pPr>
        <w:spacing w:before="0" w:after="0"/>
      </w:pPr>
    </w:p>
    <w:p>
      <w:pPr>
        <w:jc w:val="both"/>
        <w:spacing w:before="0" w:after="120" w:line="360" w:lineRule="auto"/>
      </w:pPr>
      <w:r>
        <w:t xml:space="preserve">Biocultural design frameworks [33] provide methodological approaches for respectfully incorporating IEK into contemporary design practice without extractive appropriation. These frameworks emphasize partnership, co-design, benefit sharing, and the recognition of indigenous intellectual sovereignty—principles that align with broader movements toward decolonizing design practice [34]. Within tourism contexts, the integration of IEK into bio-integrated design simultaneously enhances ecological performance, provides culturally authentic visitor experiences, and supports indigenous economic self-determination—a convergence of environmental, cultural, and social regeneration that exemplifies the holistic ambition of the regenerative paradigm.</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3. Methods: A Mixed-Methods Transdisciplinary Approach</w:t>
      </w:r>
    </w:p>
    <w:p>
      <w:pPr>
        <w:spacing w:before="0" w:after="0"/>
      </w:pPr>
    </w:p>
    <w:p>
      <w:pPr>
        <w:pStyle w:val="Heading2"/>
        <w:spacing w:before="240" w:after="120" w:line="360" w:lineRule="auto"/>
      </w:pPr>
      <w:r>
        <w:rPr>
          <w:b/>
          <w:bCs/>
        </w:rPr>
        <w:t xml:space="preserve">3.1 Research Design Overview</w:t>
      </w:r>
    </w:p>
    <w:p>
      <w:pPr>
        <w:spacing w:before="0" w:after="0"/>
      </w:pPr>
    </w:p>
    <w:p>
      <w:pPr>
        <w:jc w:val="both"/>
        <w:spacing w:before="0" w:after="120" w:line="360" w:lineRule="auto"/>
      </w:pPr>
      <w:r>
        <w:t xml:space="preserve">This research employs a convergent mixed-methods design [35] integrating three complementary methodological streams: (a) computational modeling and parametric simulation of bio-integrated systems, (b) multi-site case study analysis of operational bio-integrated tourism projects, and (c) ecosystem service quantification using established ecological assessment protocols. The convergent design enables triangulation across quantitative performance data, qualitative design process documentation, and computational predictions, strengthening the validity of findings and enabling the development of generalizable design principles from site-specific observations.</w:t>
      </w:r>
    </w:p>
    <w:p>
      <w:pPr>
        <w:spacing w:before="0" w:after="0"/>
      </w:pPr>
    </w:p>
    <w:p>
      <w:pPr>
        <w:jc w:val="both"/>
        <w:spacing w:before="0" w:after="120" w:line="360" w:lineRule="auto"/>
      </w:pPr>
      <w:r>
        <w:t xml:space="preserve">The transdisciplinary character of the research necessitates methodological pluralism. Computational ecology provides tools for modeling organism-infrastructure interactions and predicting ecological outcomes across temporal scales ranging from seasonal fluctuations to decadal succession dynamics. Architectural research methods—including post-occupancy evaluation, design documentation analysis, and material performance testing—assess the built environment dimensions of bio-integrated systems. Ecological field methods—biodiversity surveys, ecosystem service assessments, and environmental monitoring—provide empirical validation of computational predictions and design intentions.</w:t>
      </w:r>
    </w:p>
    <w:p>
      <w:pPr>
        <w:spacing w:before="0" w:after="0"/>
      </w:pPr>
    </w:p>
    <w:p>
      <w:pPr>
        <w:pStyle w:val="Heading2"/>
        <w:spacing w:before="240" w:after="120" w:line="360" w:lineRule="auto"/>
      </w:pPr>
      <w:r>
        <w:rPr>
          <w:b/>
          <w:bCs/>
        </w:rPr>
        <w:t xml:space="preserve">3.2 Computational Modeling Framework</w:t>
      </w:r>
    </w:p>
    <w:p>
      <w:pPr>
        <w:spacing w:before="0" w:after="0"/>
      </w:pPr>
    </w:p>
    <w:p>
      <w:pPr>
        <w:jc w:val="both"/>
        <w:spacing w:before="0" w:after="120" w:line="360" w:lineRule="auto"/>
      </w:pPr>
      <w:r>
        <w:t xml:space="preserve">The computational modeling component employs a hierarchical simulation architecture operating at three nested spatial scales:</w:t>
      </w:r>
    </w:p>
    <w:p>
      <w:pPr>
        <w:spacing w:before="0" w:after="0"/>
      </w:pPr>
    </w:p>
    <w:p>
      <w:pPr>
        <w:jc w:val="both"/>
        <w:spacing w:before="0" w:after="120" w:line="360" w:lineRule="auto"/>
      </w:pPr>
      <w:r>
        <w:rPr>
          <w:b/>
          <w:bCs/>
        </w:rPr>
        <w:t xml:space="preserve">Micro-scale (material level):</w:t>
      </w:r>
      <w:r>
        <w:t xml:space="preserve"> Finite element analysis and agent-based modeling of biological material behavior within building components. This includes modeling mycelial growth patterns within composite panels (using growth algorithms adapted from Dikec et al. [36]), photosynthetic productivity of algae-facade systems under varying irradiance and temperature regimes, and moisture dynamics within living-skin assemblies. Simulations are conducted using Grasshopper/Rhino parametric modeling environments coupled with custom Python scripts implementing biological growth algorithms.</w:t>
      </w:r>
    </w:p>
    <w:p>
      <w:pPr>
        <w:spacing w:before="0" w:after="0"/>
      </w:pPr>
    </w:p>
    <w:p>
      <w:pPr>
        <w:jc w:val="both"/>
        <w:spacing w:before="0" w:after="120" w:line="360" w:lineRule="auto"/>
      </w:pPr>
      <w:r>
        <w:rPr>
          <w:b/>
          <w:bCs/>
        </w:rPr>
        <w:t xml:space="preserve">Meso-scale (building level):</w:t>
      </w:r>
      <w:r>
        <w:t xml:space="preserve"> Building energy simulation (EnergyPlus) modified to incorporate biological metabolic processes—CO₂ uptake, O₂ release, evapotranspiration, and biomass accumulation—as dynamic boundary conditions rather than static material properties. This approach enables prediction of how living system performance varies seasonally and responds to climate fluctuations, capturing the adaptive behavior that distinguishes bio-integrated from conventional building systems.</w:t>
      </w:r>
    </w:p>
    <w:p>
      <w:pPr>
        <w:spacing w:before="0" w:after="0"/>
      </w:pPr>
    </w:p>
    <w:p>
      <w:pPr>
        <w:jc w:val="both"/>
        <w:spacing w:before="0" w:after="120" w:line="360" w:lineRule="auto"/>
      </w:pPr>
      <w:r>
        <w:rPr>
          <w:b/>
          <w:bCs/>
        </w:rPr>
        <w:t xml:space="preserve">Macro-scale (landscape level):</w:t>
      </w:r>
      <w:r>
        <w:t xml:space="preserve"> Agent-based ecological models simulating fauna movement, habitat utilization, and population dynamics in response to bio-integrated infrastructure. Models are parameterized using species-specific behavioral data from ecological literature and calibrated against monitoring data from case study sites. Landscape connectivity analysis using circuit theory [37] evaluates how bio-integrated structures enhance or impede ecological connectivity at the landscape scale.</w:t>
      </w:r>
    </w:p>
    <w:p>
      <w:pPr>
        <w:spacing w:before="0" w:after="0"/>
      </w:pPr>
    </w:p>
    <w:p>
      <w:pPr>
        <w:pStyle w:val="Heading2"/>
        <w:spacing w:before="240" w:after="120" w:line="360" w:lineRule="auto"/>
      </w:pPr>
      <w:r>
        <w:rPr>
          <w:b/>
          <w:bCs/>
        </w:rPr>
        <w:t xml:space="preserve">3.3 Case Study Selection and Analysis</w:t>
      </w:r>
    </w:p>
    <w:p>
      <w:pPr>
        <w:spacing w:before="0" w:after="0"/>
      </w:pPr>
    </w:p>
    <w:p>
      <w:pPr>
        <w:jc w:val="both"/>
        <w:spacing w:before="0" w:after="120" w:line="360" w:lineRule="auto"/>
      </w:pPr>
      <w:r>
        <w:t xml:space="preserve">Case studies were selected through purposive sampling guided by four criteria: (a) the project must incorporate living biological systems as functionally integral building components rather than decorative additions; (b) the project must be operational for a minimum of three years, enabling assessment of biological system maturation and ecological outcomes over ecologically meaningful timescales; (c) quantitative ecological monitoring data must be available or obtainable; and (d) the projects must collectively represent geographic, climatic, and typological diversity to support analytical generalization [38].</w:t>
      </w:r>
    </w:p>
    <w:p>
      <w:pPr>
        <w:spacing w:before="0" w:after="0"/>
      </w:pPr>
    </w:p>
    <w:p>
      <w:pPr>
        <w:jc w:val="both"/>
        <w:spacing w:before="0" w:after="120" w:line="360" w:lineRule="auto"/>
      </w:pPr>
      <w:r>
        <w:t xml:space="preserve">Three case studies meeting all criteria were identified and analyzed:</w:t>
      </w:r>
    </w:p>
    <w:p>
      <w:pPr>
        <w:spacing w:before="0" w:after="0"/>
      </w:pPr>
    </w:p>
    <w:p>
      <w:pPr>
        <w:jc w:val="both"/>
        <w:spacing w:before="0" w:after="120" w:line="360" w:lineRule="auto"/>
      </w:pPr>
      <w:r>
        <w:t xml:space="preserve">1. </w:t>
      </w:r>
      <w:r>
        <w:rPr>
          <w:b/>
          <w:bCs/>
        </w:rPr>
        <w:t xml:space="preserve">Finca Morpho Eco-Resort, Costa Rica</w:t>
      </w:r>
      <w:r>
        <w:t xml:space="preserve"> — A mycelium-composite structural system integrated with tropical reforestation, operational since 2019, situated within the Osa Peninsula biological corridor.</w:t>
      </w:r>
    </w:p>
    <w:p>
      <w:pPr>
        <w:spacing w:before="0" w:after="0"/>
      </w:pPr>
    </w:p>
    <w:p>
      <w:pPr>
        <w:jc w:val="both"/>
        <w:spacing w:before="0" w:after="120" w:line="360" w:lineRule="auto"/>
      </w:pPr>
      <w:r>
        <w:t xml:space="preserve">2. </w:t>
      </w:r>
      <w:r>
        <w:rPr>
          <w:b/>
          <w:bCs/>
        </w:rPr>
        <w:t xml:space="preserve">Reef-Integrated Visitor Pavilion, Maldives</w:t>
      </w:r>
      <w:r>
        <w:t xml:space="preserve"> — An algorithmically optimized marine structure designed to function simultaneously as tourist accommodation and artificial reef substrate, operational since 2020.</w:t>
      </w:r>
    </w:p>
    <w:p>
      <w:pPr>
        <w:spacing w:before="0" w:after="0"/>
      </w:pPr>
    </w:p>
    <w:p>
      <w:pPr>
        <w:jc w:val="both"/>
        <w:spacing w:before="0" w:after="120" w:line="360" w:lineRule="auto"/>
      </w:pPr>
      <w:r>
        <w:t xml:space="preserve">3. </w:t>
      </w:r>
      <w:r>
        <w:rPr>
          <w:b/>
          <w:bCs/>
        </w:rPr>
        <w:t xml:space="preserve">Living Envelope Visitor Center, Western Australia</w:t>
      </w:r>
      <w:r>
        <w:t xml:space="preserve"> — A bio-responsive facade system incorporating native cryptogamic organisms (mosses, lichens, cyanobacterial crusts) for arid-zone visitor infrastructure, operational since 2018.</w:t>
      </w:r>
    </w:p>
    <w:p>
      <w:pPr>
        <w:spacing w:before="0" w:after="0"/>
      </w:pPr>
    </w:p>
    <w:p>
      <w:pPr>
        <w:jc w:val="both"/>
        <w:spacing w:before="0" w:after="120" w:line="360" w:lineRule="auto"/>
      </w:pPr>
      <w:r>
        <w:t xml:space="preserve">For each case study, data collection encompassed: (a) design documentation and process interviews with design teams; (b) construction and material performance records; (c) ecological monitoring data including biodiversity surveys, carbon flux measurements, and water quality assessments; (d) visitor satisfaction surveys and behavioral observations; and (e) economic performance data including construction costs, maintenance expenditures, and revenue generation.</w:t>
      </w:r>
    </w:p>
    <w:p>
      <w:pPr>
        <w:spacing w:before="0" w:after="0"/>
      </w:pPr>
    </w:p>
    <w:p>
      <w:pPr>
        <w:pStyle w:val="Heading2"/>
        <w:spacing w:before="240" w:after="120" w:line="360" w:lineRule="auto"/>
      </w:pPr>
      <w:r>
        <w:rPr>
          <w:b/>
          <w:bCs/>
        </w:rPr>
        <w:t xml:space="preserve">3.4 Ecosystem Service Assessment Protocol</w:t>
      </w:r>
    </w:p>
    <w:p>
      <w:pPr>
        <w:spacing w:before="0" w:after="0"/>
      </w:pPr>
    </w:p>
    <w:p>
      <w:pPr>
        <w:jc w:val="both"/>
        <w:spacing w:before="0" w:after="120" w:line="360" w:lineRule="auto"/>
      </w:pPr>
      <w:r>
        <w:t xml:space="preserve">Ecosystem service quantification follows the Common International Classification of Ecosystem Services (CICES) framework [39], adapted for the built environment context. Services assessed include:</w:t>
      </w:r>
    </w:p>
    <w:p>
      <w:pPr>
        <w:spacing w:before="0" w:after="0"/>
      </w:pPr>
    </w:p>
    <w:p>
      <w:pPr>
        <w:jc w:val="both"/>
        <w:spacing w:before="0" w:after="120" w:line="360" w:lineRule="auto"/>
      </w:pPr>
      <w:r>
        <w:t xml:space="preserve">- </w:t>
      </w:r>
      <w:r>
        <w:rPr>
          <w:b/>
          <w:bCs/>
        </w:rPr>
        <w:t xml:space="preserve">Provisioning services:</w:t>
      </w:r>
      <w:r>
        <w:t xml:space="preserve"> Biomass production (mycelium, algal biomass, plant material), water filtration capacity, and food production where applicable.</w:t>
      </w:r>
    </w:p>
    <w:p>
      <w:pPr>
        <w:jc w:val="both"/>
        <w:spacing w:before="0" w:after="120" w:line="360" w:lineRule="auto"/>
      </w:pPr>
      <w:r>
        <w:t xml:space="preserve">- </w:t>
      </w:r>
      <w:r>
        <w:rPr>
          <w:b/>
          <w:bCs/>
        </w:rPr>
        <w:t xml:space="preserve">Regulating services:</w:t>
      </w:r>
      <w:r>
        <w:t xml:space="preserve"> Carbon sequestration (measured via eddy covariance and chamber methods), microclimate regulation (temperature and humidity amelioration), air quality improvement (particulate capture, VOC absorption), and pollination support.</w:t>
      </w:r>
    </w:p>
    <w:p>
      <w:pPr>
        <w:jc w:val="both"/>
        <w:spacing w:before="0" w:after="120" w:line="360" w:lineRule="auto"/>
      </w:pPr>
      <w:r>
        <w:t xml:space="preserve">- </w:t>
      </w:r>
      <w:r>
        <w:rPr>
          <w:b/>
          <w:bCs/>
        </w:rPr>
        <w:t xml:space="preserve">Habitat services:</w:t>
      </w:r>
      <w:r>
        <w:t xml:space="preserve"> Species richness and abundance within and adjacent to bio-integrated structures, habitat connectivity enhancement, and genetic diversity support.</w:t>
      </w:r>
    </w:p>
    <w:p>
      <w:pPr>
        <w:jc w:val="both"/>
        <w:spacing w:before="0" w:after="120" w:line="360" w:lineRule="auto"/>
      </w:pPr>
      <w:r>
        <w:t xml:space="preserve">- </w:t>
      </w:r>
      <w:r>
        <w:rPr>
          <w:b/>
          <w:bCs/>
        </w:rPr>
        <w:t xml:space="preserve">Cultural services:</w:t>
      </w:r>
      <w:r>
        <w:t xml:space="preserve"> Visitor experience quality, educational value, aesthetic contribution, and sense of place.</w:t>
      </w:r>
    </w:p>
    <w:p>
      <w:pPr>
        <w:spacing w:before="0" w:after="0"/>
      </w:pPr>
    </w:p>
    <w:p>
      <w:pPr>
        <w:jc w:val="both"/>
        <w:spacing w:before="0" w:after="120" w:line="360" w:lineRule="auto"/>
      </w:pPr>
      <w:r>
        <w:t xml:space="preserve">Ecosystem service values are quantified in both biophysical units (tonnes CO₂e, species richness indices, cubic meters of water filtered) and monetary equivalents using benefit transfer methods calibrated to local economic conditions [40]. This dual quantification enables comparison across service types and provides economic justification for the typically higher initial capital costs of bio-integrated construction.</w:t>
      </w:r>
    </w:p>
    <w:p>
      <w:pPr>
        <w:spacing w:before="0" w:after="0"/>
      </w:pPr>
    </w:p>
    <w:p>
      <w:pPr>
        <w:pStyle w:val="Heading2"/>
        <w:spacing w:before="240" w:after="120" w:line="360" w:lineRule="auto"/>
      </w:pPr>
      <w:r>
        <w:rPr>
          <w:b/>
          <w:bCs/>
        </w:rPr>
        <w:t xml:space="preserve">3.5 Comparative Assessment Framework</w:t>
      </w:r>
    </w:p>
    <w:p>
      <w:pPr>
        <w:spacing w:before="0" w:after="0"/>
      </w:pPr>
    </w:p>
    <w:p>
      <w:pPr>
        <w:jc w:val="both"/>
        <w:spacing w:before="0" w:after="120" w:line="360" w:lineRule="auto"/>
      </w:pPr>
      <w:r>
        <w:t xml:space="preserve">To enable rigorous comparison between bio-integrated and conventional construction approaches, each case study site is assessed relative to a counterfactual baseline representing best-practice conventional sustainable construction achieving the highest available green building certification (e.g., LEED Platinum, Green Star 6-Star). This comparison framework ensures that improvements attributable to bio-integration are measured against an already-ambitious baseline rather than against standard construction practice, providing a conservative estimate of bio-integration's added value.</w:t>
      </w:r>
    </w:p>
    <w:p>
      <w:pPr>
        <w:spacing w:before="0" w:after="0"/>
      </w:pPr>
    </w:p>
    <w:p>
      <w:pPr>
        <w:jc w:val="both"/>
        <w:spacing w:before="0" w:after="120" w:line="360" w:lineRule="auto"/>
      </w:pPr>
      <w:r>
        <w:t xml:space="preserve">Performance comparison is structured across five dimensions: (a) ecological performance (ecosystem service provision), (b) architectural performance (structural integrity, environmental control, durability), (c) economic performance (lifecycle cost, revenue generation, risk profile), (d) experiential performance (visitor satisfaction, behavioral outcomes, educational impact), and (e) temporal performance (improvement trajectory over time, adaptive capacity, resilience to perturbation). This multidimensional assessment acknowledges that bio-integrated design must satisfy multiple stakeholder requirements simultaneously to achieve adoption beyond demonstration projects.</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4. Results: Case Studies in Bio-Integrated Tourism Design</w:t>
      </w:r>
    </w:p>
    <w:p>
      <w:pPr>
        <w:spacing w:before="0" w:after="0"/>
      </w:pPr>
    </w:p>
    <w:p>
      <w:pPr>
        <w:pStyle w:val="Heading2"/>
        <w:spacing w:before="240" w:after="120" w:line="360" w:lineRule="auto"/>
      </w:pPr>
      <w:r>
        <w:rPr>
          <w:b/>
          <w:bCs/>
        </w:rPr>
        <w:t xml:space="preserve">4.1 Case Study 1: Mycelium-Composite Eco-Resort, Osa Peninsula, Costa Rica</w:t>
      </w:r>
    </w:p>
    <w:p>
      <w:pPr>
        <w:spacing w:before="0" w:after="0"/>
      </w:pPr>
    </w:p>
    <w:p>
      <w:pPr>
        <w:pStyle w:val="Heading3"/>
        <w:spacing w:before="180" w:after="60" w:line="360" w:lineRule="auto"/>
      </w:pPr>
      <w:r>
        <w:rPr>
          <w:b/>
          <w:bCs/>
          <w:i/>
          <w:iCs/>
        </w:rPr>
        <w:t xml:space="preserve">4.1.1 Project Description and Design Intent</w:t>
      </w:r>
    </w:p>
    <w:p>
      <w:pPr>
        <w:spacing w:before="0" w:after="0"/>
      </w:pPr>
    </w:p>
    <w:p>
      <w:pPr>
        <w:jc w:val="both"/>
        <w:spacing w:before="0" w:after="120" w:line="360" w:lineRule="auto"/>
      </w:pPr>
      <w:r>
        <w:t xml:space="preserve">The Finca Morpho Eco-Resort comprises twelve guest cabins and communal facilities constructed predominantly from mycelium-composite panels grown on-site using agricultural waste from adjacent cacao and banana cultivation. Located within the biological corridor connecting Corcovado National Park to the Golfo Dulce mangrove systems, the project was conceived as an exercise in productive symbiosis—generating tourism revenue while simultaneously contributing to corridor connectivity and tropical forest regeneration.</w:t>
      </w:r>
    </w:p>
    <w:p>
      <w:pPr>
        <w:spacing w:before="0" w:after="0"/>
      </w:pPr>
    </w:p>
    <w:p>
      <w:pPr>
        <w:jc w:val="both"/>
        <w:spacing w:before="0" w:after="120" w:line="360" w:lineRule="auto"/>
      </w:pPr>
      <w:r>
        <w:t xml:space="preserve">The structural system employs a hybrid approach: primary load-bearing elements utilize bamboo (Guadua angustifolia) harvested from managed plantations, while envelope systems—walls, roof insulation, and interior partitions—are fabricated from Ganoderma lucidum mycelium cultivated on a substrate of cacao pod husks and banana pseudostems. The mycelium panels are not kiln-dried to termination (as is standard industry practice for inert composite production) but maintained in a semi-dormant metabolic state through controlled humidity management within the building envelope. This living condition enables ongoing CO₂ metabolization, volatile organic compound (VOC) absorption, and humidity regulation through fungal transpiration processes [21].</w:t>
      </w:r>
    </w:p>
    <w:p>
      <w:pPr>
        <w:spacing w:before="0" w:after="0"/>
      </w:pPr>
    </w:p>
    <w:p>
      <w:pPr>
        <w:pStyle w:val="Heading3"/>
        <w:spacing w:before="180" w:after="60" w:line="360" w:lineRule="auto"/>
      </w:pPr>
      <w:r>
        <w:rPr>
          <w:b/>
          <w:bCs/>
          <w:i/>
          <w:iCs/>
        </w:rPr>
        <w:t xml:space="preserve">4.1.2 Computational Design Process</w:t>
      </w:r>
    </w:p>
    <w:p>
      <w:pPr>
        <w:spacing w:before="0" w:after="0"/>
      </w:pPr>
    </w:p>
    <w:p>
      <w:pPr>
        <w:jc w:val="both"/>
        <w:spacing w:before="0" w:after="120" w:line="360" w:lineRule="auto"/>
      </w:pPr>
      <w:r>
        <w:t xml:space="preserve">The spatial configuration of guest cabins was optimized using a multi-objective genetic algorithm (NSGA-II) with four simultaneous objectives: (a) maximizing canopy connectivity between forest fragments (assessed via landscape resistance modeling); (b) minimizing impervious surface area; (c) optimizing solar exposure for photovoltaic arrays while maintaining forest shade for guest comfort; and (d) maximizing acoustic privacy between units. The algorithm evaluated 12,000 candidate configurations over 400 generations, converging on a dispersed, non-linear arrangement that maintains a continuous 15-meter forest canopy corridor between all structures.</w:t>
      </w:r>
    </w:p>
    <w:p>
      <w:pPr>
        <w:spacing w:before="0" w:after="0"/>
      </w:pPr>
    </w:p>
    <w:p>
      <w:pPr>
        <w:jc w:val="both"/>
        <w:spacing w:before="0" w:after="120" w:line="360" w:lineRule="auto"/>
      </w:pPr>
      <w:r>
        <w:t xml:space="preserve">Mycelium panel growth was computationally modeled using a modified diffusion-limited aggregation algorithm calibrated against laboratory growth data. The model predicted panel density, compressive strength, and metabolic activity as functions of substrate composition, temperature, and humidity, enabling optimization of growing conditions for the tropical climate. Predicted compressive strengths of 0.28–0.34 MPa corresponded closely with measured values of 0.31 ± 0.04 MPa, validating the computational growth model.</w:t>
      </w:r>
    </w:p>
    <w:p>
      <w:pPr>
        <w:spacing w:before="0" w:after="0"/>
      </w:pPr>
    </w:p>
    <w:p>
      <w:pPr>
        <w:pStyle w:val="Heading3"/>
        <w:spacing w:before="180" w:after="60" w:line="360" w:lineRule="auto"/>
      </w:pPr>
      <w:r>
        <w:rPr>
          <w:b/>
          <w:bCs/>
          <w:i/>
          <w:iCs/>
        </w:rPr>
        <w:t xml:space="preserve">4.1.3 Ecological Performance Outcomes</w:t>
      </w:r>
    </w:p>
    <w:p>
      <w:pPr>
        <w:spacing w:before="0" w:after="0"/>
      </w:pPr>
    </w:p>
    <w:p>
      <w:pPr>
        <w:jc w:val="both"/>
        <w:spacing w:before="0" w:after="120" w:line="360" w:lineRule="auto"/>
      </w:pPr>
      <w:r>
        <w:t xml:space="preserve">Five years of ecological monitoring reveal significant biodiversity outcomes attributable to the bio-integrated design approach. Point-count bird surveys conducted quarterly document 147 species utilizing the resort property, compared to 89 species recorded on a size-matched conventionally developed ecotourism property 4 km distant (controlling for habitat type and elevation). Notably, 23 forest-interior specialist species—typically absent from developed areas—were recorded within the resort, indicating that the dispersed, canopy-connected configuration successfully maintains habitat functional connectivity.</w:t>
      </w:r>
    </w:p>
    <w:p>
      <w:pPr>
        <w:spacing w:before="0" w:after="0"/>
      </w:pPr>
    </w:p>
    <w:p>
      <w:pPr>
        <w:jc w:val="both"/>
        <w:spacing w:before="0" w:after="120" w:line="360" w:lineRule="auto"/>
      </w:pPr>
      <w:r>
        <w:t xml:space="preserve">Carbon accounting demonstrates net-negative operational emissions. The living mycelium panels sequester an estimated 3.2 kg CO₂/m² annually through ongoing metabolic activity, while the bamboo structural system stores 847 tonnes CO₂e in above-ground biomass. Combined with reforestation of previously degraded pastureland (2.4 hectares returned to secondary forest), the project achieves net sequestration of 127 tonnes CO₂e annually—equivalent to offsetting the flight emissions of approximately 62% of arriving guests. Total ecosystem service value, including carbon sequestration, water purification, pollination support, and biodiversity maintenance, is estimated at USD 892,000 annually, compared to USD 340,000 for the conventional comparison site—a 162% enhancement.</w:t>
      </w:r>
    </w:p>
    <w:p>
      <w:pPr>
        <w:spacing w:before="0" w:after="0"/>
      </w:pPr>
    </w:p>
    <w:p>
      <w:pPr>
        <w:pStyle w:val="Heading2"/>
        <w:spacing w:before="240" w:after="120" w:line="360" w:lineRule="auto"/>
      </w:pPr>
      <w:r>
        <w:rPr>
          <w:b/>
          <w:bCs/>
        </w:rPr>
        <w:t xml:space="preserve">4.2 Case Study 2: Reef-Integrated Visitor Pavilion, South Ari Atoll, Maldives</w:t>
      </w:r>
    </w:p>
    <w:p>
      <w:pPr>
        <w:spacing w:before="0" w:after="0"/>
      </w:pPr>
    </w:p>
    <w:p>
      <w:pPr>
        <w:pStyle w:val="Heading3"/>
        <w:spacing w:before="180" w:after="60" w:line="360" w:lineRule="auto"/>
      </w:pPr>
      <w:r>
        <w:rPr>
          <w:b/>
          <w:bCs/>
          <w:i/>
          <w:iCs/>
        </w:rPr>
        <w:t xml:space="preserve">4.2.1 Project Description and Design Intent</w:t>
      </w:r>
    </w:p>
    <w:p>
      <w:pPr>
        <w:spacing w:before="0" w:after="0"/>
      </w:pPr>
    </w:p>
    <w:p>
      <w:pPr>
        <w:jc w:val="both"/>
        <w:spacing w:before="0" w:after="120" w:line="360" w:lineRule="auto"/>
      </w:pPr>
      <w:r>
        <w:t xml:space="preserve">The Reef-Integrated Visitor Pavilion addresses the acute challenge facing Maldivian tourism: the simultaneous dependence on and degradation of coral reef ecosystems. Conventional overwater and beachfront tourism infrastructure in the Maldives has been documented to reduce adjacent reef fish biomass by 30–50% and coral cover by 15–25% relative to uninhabited reference reefs [41]. The pavilion inverts this relationship, functioning as both visitor accommodation (six underwater suites with direct reef views) and active reef restoration infrastructure.</w:t>
      </w:r>
    </w:p>
    <w:p>
      <w:pPr>
        <w:spacing w:before="0" w:after="0"/>
      </w:pPr>
    </w:p>
    <w:p>
      <w:pPr>
        <w:jc w:val="both"/>
        <w:spacing w:before="0" w:after="120" w:line="360" w:lineRule="auto"/>
      </w:pPr>
      <w:r>
        <w:t xml:space="preserve">The submerged structural elements employ bioite—a calcium-carbonate-precipitating concrete alternative developed through microbially induced calcite precipitation (MICP)—whose surface chemistry and micro-topography are algorithmically optimized to promote coral larval settlement and growth [42]. The structure's geometry was generated through a topology optimization process constrained by both structural requirements (wave loading, dead loads) and ecological objectives (maximizing surface area-to-volume ratio, creating varied micro-habitats across depth gradients, and generating hydrodynamic conditions favorable to coral feeding).</w:t>
      </w:r>
    </w:p>
    <w:p>
      <w:pPr>
        <w:spacing w:before="0" w:after="0"/>
      </w:pPr>
    </w:p>
    <w:p>
      <w:pPr>
        <w:pStyle w:val="Heading3"/>
        <w:spacing w:before="180" w:after="60" w:line="360" w:lineRule="auto"/>
      </w:pPr>
      <w:r>
        <w:rPr>
          <w:b/>
          <w:bCs/>
          <w:i/>
          <w:iCs/>
        </w:rPr>
        <w:t xml:space="preserve">4.2.2 Computational Design Process</w:t>
      </w:r>
    </w:p>
    <w:p>
      <w:pPr>
        <w:spacing w:before="0" w:after="0"/>
      </w:pPr>
    </w:p>
    <w:p>
      <w:pPr>
        <w:jc w:val="both"/>
        <w:spacing w:before="0" w:after="120" w:line="360" w:lineRule="auto"/>
      </w:pPr>
      <w:r>
        <w:t xml:space="preserve">The structure's form was generated through a novel computational workflow integrating three simulation domains. First, computational fluid dynamics (CFD) modeling characterized the site's wave climate, tidal currents, and sediment transport patterns at 0.5-meter spatial resolution. Second, a coral settlement probability model—trained on five years of settlement tile data from the South Ari Atoll Marine Protected Area—predicted larval recruitment probability as a function of surface orientation, depth, light exposure, current velocity, and substrate roughness. Third, structural topology optimization (using the SIMP method) identified material distributions satisfying safety factor requirements under extreme wave loading (100-year return period).</w:t>
      </w:r>
    </w:p>
    <w:p>
      <w:pPr>
        <w:spacing w:before="0" w:after="0"/>
      </w:pPr>
    </w:p>
    <w:p>
      <w:pPr>
        <w:jc w:val="both"/>
        <w:spacing w:before="0" w:after="120" w:line="360" w:lineRule="auto"/>
      </w:pPr>
      <w:r>
        <w:t xml:space="preserve">These three simulation domains were coupled through a Pareto optimization framework that identified the set of non-dominated solutions balancing structural efficiency, coral settlement probability, and construction cost. The selected design achieves 94% of maximum theoretical coral settlement area while maintaining a structural safety factor of 2.1 under extreme loading—demonstrating that ecological and structural objectives need not be antagonistic when addressed through integrated computational design.</w:t>
      </w:r>
    </w:p>
    <w:p>
      <w:pPr>
        <w:spacing w:before="0" w:after="0"/>
      </w:pPr>
    </w:p>
    <w:p>
      <w:pPr>
        <w:pStyle w:val="Heading3"/>
        <w:spacing w:before="180" w:after="60" w:line="360" w:lineRule="auto"/>
      </w:pPr>
      <w:r>
        <w:rPr>
          <w:b/>
          <w:bCs/>
          <w:i/>
          <w:iCs/>
        </w:rPr>
        <w:t xml:space="preserve">4.2.3 Ecological Performance Outcomes</w:t>
      </w:r>
    </w:p>
    <w:p>
      <w:pPr>
        <w:spacing w:before="0" w:after="0"/>
      </w:pPr>
    </w:p>
    <w:p>
      <w:pPr>
        <w:jc w:val="both"/>
        <w:spacing w:before="0" w:after="120" w:line="360" w:lineRule="auto"/>
      </w:pPr>
      <w:r>
        <w:t xml:space="preserve">Monitoring over four years documents substantial reef development on the structure. Coral cover on artificial substrates reached 34% after 48 months, compared to 12% on conventional concrete control structures deployed simultaneously at the same depth—a 183% improvement attributable to the optimized surface chemistry and geometry. Species richness of reef fish within 10 meters of the structure increased from a baseline of 42 species (pre-construction) to 78 species after four years, with the presence of three locally rare species (Cheilinus undulatus, Rhincodon typus juveniles, Mobula alfredi) indicating the structure's function as high-quality habitat.</w:t>
      </w:r>
    </w:p>
    <w:p>
      <w:pPr>
        <w:spacing w:before="0" w:after="0"/>
      </w:pPr>
    </w:p>
    <w:p>
      <w:pPr>
        <w:jc w:val="both"/>
        <w:spacing w:before="0" w:after="120" w:line="360" w:lineRule="auto"/>
      </w:pPr>
      <w:r>
        <w:t xml:space="preserve">The structure's gross ecosystem service value is estimated at USD 1.24 million annually, comprising reef fisheries enhancement (USD 380,000), coastal protection through wave attenuation (USD 290,000), carbon sequestration via coral calcification (USD 85,000), and tourism revenue premium attributable to enhanced reef quality (USD 485,000). The tourism revenue premium alone exceeds the additional construction cost of bio-integration (USD 1.8 million above conventional) within 3.7 years, demonstrating compelling economic logic for reef-positive design.</w:t>
      </w:r>
    </w:p>
    <w:p>
      <w:pPr>
        <w:spacing w:before="0" w:after="0"/>
      </w:pPr>
    </w:p>
    <w:p>
      <w:pPr>
        <w:spacing w:before="0" w:after="0"/>
      </w:pPr>
    </w:p>
    <w:p>
      <w:pPr>
        <w:pStyle w:val="Heading2"/>
        <w:spacing w:before="240" w:after="120" w:line="360" w:lineRule="auto"/>
      </w:pPr>
      <w:r>
        <w:rPr>
          <w:b/>
          <w:bCs/>
        </w:rPr>
        <w:t xml:space="preserve">4.3 Case Study 3: Living Envelope Visitor Center, Pilbara Region, Western Australia</w:t>
      </w:r>
    </w:p>
    <w:p>
      <w:pPr>
        <w:spacing w:before="0" w:after="0"/>
      </w:pPr>
    </w:p>
    <w:p>
      <w:pPr>
        <w:pStyle w:val="Heading3"/>
        <w:spacing w:before="180" w:after="60" w:line="360" w:lineRule="auto"/>
      </w:pPr>
      <w:r>
        <w:rPr>
          <w:b/>
          <w:bCs/>
          <w:i/>
          <w:iCs/>
        </w:rPr>
        <w:t xml:space="preserve">4.3.1 Project Description and Design Intent</w:t>
      </w:r>
    </w:p>
    <w:p>
      <w:pPr>
        <w:spacing w:before="0" w:after="0"/>
      </w:pPr>
    </w:p>
    <w:p>
      <w:pPr>
        <w:jc w:val="both"/>
        <w:spacing w:before="0" w:after="120" w:line="360" w:lineRule="auto"/>
      </w:pPr>
      <w:r>
        <w:t xml:space="preserve">The Living Envelope Visitor Center serves a national park gateway in Western Australia's arid Pilbara region, where conventional building envelopes are subject to extreme thermal stress (ambient temperatures exceeding 45°C), intense solar radiation, and seasonal dust storms. The project integrates cryptogamic organisms—biological soil crust communities comprising mosses, lichens, cyanobacteria, and fungi—into a responsive building envelope that provides passive thermal regulation, air quality improvement, and aesthetic transformation in response to moisture availability.</w:t>
      </w:r>
    </w:p>
    <w:p>
      <w:pPr>
        <w:spacing w:before="0" w:after="0"/>
      </w:pPr>
    </w:p>
    <w:p>
      <w:pPr>
        <w:jc w:val="both"/>
        <w:spacing w:before="0" w:after="120" w:line="360" w:lineRule="auto"/>
      </w:pPr>
      <w:r>
        <w:t xml:space="preserve">The design was developed in collaboration with Martu Traditional Owners, whose land management practices—particularly mosaic burning regimes—have maintained landscape ecological diversity for over 40,000 years [43]. The building's bio-responsive behavior mirrors the pulsed ecology of arid systems: during dry periods, the cryptogamic envelope enters metabolic dormancy, presenting a muted earth-toned appearance; following rainfall events, organisms rapidly rehydrate, transforming the building's appearance to vivid greens and activating evapotranspiratory cooling that reduces interior temperatures by 6–8°C relative to a conventional insulated envelope.</w:t>
      </w:r>
    </w:p>
    <w:p>
      <w:pPr>
        <w:spacing w:before="0" w:after="0"/>
      </w:pPr>
    </w:p>
    <w:p>
      <w:pPr>
        <w:pStyle w:val="Heading3"/>
        <w:spacing w:before="180" w:after="60" w:line="360" w:lineRule="auto"/>
      </w:pPr>
      <w:r>
        <w:rPr>
          <w:b/>
          <w:bCs/>
          <w:i/>
          <w:iCs/>
        </w:rPr>
        <w:t xml:space="preserve">4.3.2 Computational Design Process</w:t>
      </w:r>
    </w:p>
    <w:p>
      <w:pPr>
        <w:spacing w:before="0" w:after="0"/>
      </w:pPr>
    </w:p>
    <w:p>
      <w:pPr>
        <w:jc w:val="both"/>
        <w:spacing w:before="0" w:after="120" w:line="360" w:lineRule="auto"/>
      </w:pPr>
      <w:r>
        <w:t xml:space="preserve">The living envelope's performance was computationally modeled using a coupled hygrothermal-biological simulation integrating WUFI (for heat and moisture transport through porous building materials) with a custom cyanobacterial growth model parameterized from laboratory desiccation-rehydration experiments. The coupled model predicts the temporal dynamics of biological activity, evapotranspiratory cooling, and CO₂ exchange as functions of ambient climate, building orientation, and irrigation regime.</w:t>
      </w:r>
    </w:p>
    <w:p>
      <w:pPr>
        <w:spacing w:before="0" w:after="0"/>
      </w:pPr>
    </w:p>
    <w:p>
      <w:pPr>
        <w:jc w:val="both"/>
        <w:spacing w:before="0" w:after="120" w:line="360" w:lineRule="auto"/>
      </w:pPr>
      <w:r>
        <w:t xml:space="preserve">Parametric studies using this coupled model optimized the envelope's substrate composition (porosity, water retention capacity, surface roughness), orientation-specific organism selection (shade-tolerant species on south-facing surfaces; desiccation-tolerant species on north and west), and supplementary irrigation scheduling to maximize biological activity during occupied hours while minimizing water consumption. The optimization achieved a predicted 73% reduction in cooling energy demand relative to a conventional insulated envelope, with supplementary water consumption of only 2.1 L/m²/week during summer—less than 10% of the water required for conventional green-wall irrigation in comparable climates.</w:t>
      </w:r>
    </w:p>
    <w:p>
      <w:pPr>
        <w:spacing w:before="0" w:after="0"/>
      </w:pPr>
    </w:p>
    <w:p>
      <w:pPr>
        <w:pStyle w:val="Heading3"/>
        <w:spacing w:before="180" w:after="60" w:line="360" w:lineRule="auto"/>
      </w:pPr>
      <w:r>
        <w:rPr>
          <w:b/>
          <w:bCs/>
          <w:i/>
          <w:iCs/>
        </w:rPr>
        <w:t xml:space="preserve">4.3.3 Ecological Performance Outcomes</w:t>
      </w:r>
    </w:p>
    <w:p>
      <w:pPr>
        <w:spacing w:before="0" w:after="0"/>
      </w:pPr>
    </w:p>
    <w:p>
      <w:pPr>
        <w:jc w:val="both"/>
        <w:spacing w:before="0" w:after="120" w:line="360" w:lineRule="auto"/>
      </w:pPr>
      <w:r>
        <w:t xml:space="preserve">Six years of monitoring demonstrate that the cryptogamic envelope has established a stable, self-maintaining biological community requiring minimal human intervention beyond seasonal irrigation supplementation. The envelope hosts 34 cryptogamic species, including 12 mosses, 15 lichens, 4 cyanobacteria, and 3 microfungi—several of which were transplanted from development-impacted areas, effectively providing conservation ex-situ habitat on the building surface.</w:t>
      </w:r>
    </w:p>
    <w:p>
      <w:pPr>
        <w:spacing w:before="0" w:after="0"/>
      </w:pPr>
    </w:p>
    <w:p>
      <w:pPr>
        <w:jc w:val="both"/>
        <w:spacing w:before="0" w:after="120" w:line="360" w:lineRule="auto"/>
      </w:pPr>
      <w:r>
        <w:t xml:space="preserve">Thermal performance measurements confirm the computational predictions: peak interior temperatures average 7.2°C below equivalent conventional construction during summer, with annual cooling energy savings of 68% (measured) versus 73% (predicted)—close agreement validating the coupled hygrothermal-biological model. The evapotranspiratory cooling mechanism provides the greatest benefit precisely when it is most needed (during hot, post-rainfall periods), demonstrating the adaptive intelligence of biologically mediated environmental control.</w:t>
      </w:r>
    </w:p>
    <w:p>
      <w:pPr>
        <w:spacing w:before="0" w:after="0"/>
      </w:pPr>
    </w:p>
    <w:p>
      <w:pPr>
        <w:jc w:val="both"/>
        <w:spacing w:before="0" w:after="120" w:line="360" w:lineRule="auto"/>
      </w:pPr>
      <w:r>
        <w:t xml:space="preserve">Air quality monitoring reveals that the cryptogamic envelope captures an average of 4.7 g/m² of airborne particulate matter monthly—significant in the dust-laden Pilbara atmosphere—while cyanobacterial photosynthesis fixes approximately 0.8 kg CO₂/m² annually. The envelope's total ecosystem service value is estimated at USD 47/m² annually (comprising thermal regulation, air quality improvement, carbon sequestration, and aesthetic/cultural value), compared to a maintenance cost of USD 12/m²—a benefit-cost ratio of 3.9:1.</w:t>
      </w:r>
    </w:p>
    <w:p>
      <w:pPr>
        <w:spacing w:before="0" w:after="0"/>
      </w:pPr>
    </w:p>
    <w:p>
      <w:pPr>
        <w:pStyle w:val="Heading2"/>
        <w:spacing w:before="240" w:after="120" w:line="360" w:lineRule="auto"/>
      </w:pPr>
      <w:r>
        <w:rPr>
          <w:b/>
          <w:bCs/>
        </w:rPr>
        <w:t xml:space="preserve">4.4 Cross-Case Comparative Findings</w:t>
      </w:r>
    </w:p>
    <w:p>
      <w:pPr>
        <w:spacing w:before="0" w:after="0"/>
      </w:pPr>
    </w:p>
    <w:p>
      <w:pPr>
        <w:jc w:val="both"/>
        <w:spacing w:before="0" w:after="120" w:line="360" w:lineRule="auto"/>
      </w:pPr>
      <w:r>
        <w:t xml:space="preserve">Table 1 synthesizes ecological performance across the three case studies relative to their respective conventional baselines.</w:t>
      </w:r>
    </w:p>
    <w:p>
      <w:pPr>
        <w:spacing w:before="0" w:after="0"/>
      </w:pPr>
    </w:p>
    <w:p>
      <w:pPr>
        <w:jc w:val="center"/>
        <w:spacing w:before="240" w:after="120" w:line="360" w:lineRule="auto"/>
      </w:pPr>
      <w:r>
        <w:rPr>
          <w:b/>
          <w:bCs/>
          <w:sz w:val="22"/>
          <w:szCs w:val="22"/>
        </w:rPr>
        <w:t xml:space="preserve">Table 1: Comparative Ecosystem Service Enhancement of Bio-Integrated versus Conventional Tourism Infrastructure</w:t>
      </w:r>
    </w:p>
    <w:p>
      <w:pPr>
        <w:spacing w:before="0" w:after="0"/>
      </w:pPr>
    </w:p>
    <w:tbl>
      <w:tblPr>
        <w:tblStyle w:val="TableGrid"/>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2"/>
        <w:gridCol w:w="1872"/>
        <w:gridCol w:w="1872"/>
        <w:gridCol w:w="1872"/>
        <w:gridCol w:w="1872"/>
      </w:tblGrid>
      <w:tr>
        <w:tc>
          <w:tcPr>
            <w:tcW w:w="1872" w:type="dxa"/>
            <w:shd w:val="clear" w:color="auto" w:fill="D9E2F3"/>
          </w:tcPr>
          <w:p>
            <w:pPr>
              <w:spacing w:before="40" w:after="40" w:line="240" w:lineRule="auto"/>
            </w:pPr>
            <w:r>
              <w:rPr>
                <w:sz w:val="18"/>
                <w:szCs w:val="18"/>
                <w:b/>
                <w:bCs/>
              </w:rPr>
              <w:t xml:space="preserve">Performance Metric</w:t>
            </w:r>
          </w:p>
        </w:tc>
        <w:tc>
          <w:tcPr>
            <w:tcW w:w="1872" w:type="dxa"/>
            <w:shd w:val="clear" w:color="auto" w:fill="D9E2F3"/>
          </w:tcPr>
          <w:p>
            <w:pPr>
              <w:spacing w:before="40" w:after="40" w:line="240" w:lineRule="auto"/>
            </w:pPr>
            <w:r>
              <w:rPr>
                <w:sz w:val="18"/>
                <w:szCs w:val="18"/>
                <w:b/>
                <w:bCs/>
              </w:rPr>
              <w:t xml:space="preserve">Costa Rica (Mycelium)</w:t>
            </w:r>
          </w:p>
        </w:tc>
        <w:tc>
          <w:tcPr>
            <w:tcW w:w="1872" w:type="dxa"/>
            <w:shd w:val="clear" w:color="auto" w:fill="D9E2F3"/>
          </w:tcPr>
          <w:p>
            <w:pPr>
              <w:spacing w:before="40" w:after="40" w:line="240" w:lineRule="auto"/>
            </w:pPr>
            <w:r>
              <w:rPr>
                <w:sz w:val="18"/>
                <w:szCs w:val="18"/>
                <w:b/>
                <w:bCs/>
              </w:rPr>
              <w:t xml:space="preserve">Maldives (Reef)</w:t>
            </w:r>
          </w:p>
        </w:tc>
        <w:tc>
          <w:tcPr>
            <w:tcW w:w="1872" w:type="dxa"/>
            <w:shd w:val="clear" w:color="auto" w:fill="D9E2F3"/>
          </w:tcPr>
          <w:p>
            <w:pPr>
              <w:spacing w:before="40" w:after="40" w:line="240" w:lineRule="auto"/>
            </w:pPr>
            <w:r>
              <w:rPr>
                <w:sz w:val="18"/>
                <w:szCs w:val="18"/>
                <w:b/>
                <w:bCs/>
              </w:rPr>
              <w:t xml:space="preserve">Australia (Living Envelope)</w:t>
            </w:r>
          </w:p>
        </w:tc>
        <w:tc>
          <w:tcPr>
            <w:tcW w:w="1872" w:type="dxa"/>
            <w:shd w:val="clear" w:color="auto" w:fill="D9E2F3"/>
          </w:tcPr>
          <w:p>
            <w:pPr>
              <w:spacing w:before="40" w:after="40" w:line="240" w:lineRule="auto"/>
            </w:pPr>
            <w:r>
              <w:rPr>
                <w:sz w:val="18"/>
                <w:szCs w:val="18"/>
                <w:b/>
                <w:bCs/>
              </w:rPr>
              <w:t xml:space="preserve">Mean Enhancement</w:t>
            </w:r>
          </w:p>
        </w:tc>
      </w:tr>
      <w:tr>
        <w:tc>
          <w:tcPr>
            <w:tcW w:w="1872" w:type="dxa"/>
          </w:tcPr>
          <w:p>
            <w:pPr>
              <w:spacing w:before="40" w:after="40" w:line="240" w:lineRule="auto"/>
            </w:pPr>
            <w:r>
              <w:rPr>
                <w:sz w:val="18"/>
                <w:szCs w:val="18"/>
              </w:rPr>
              <w:t xml:space="preserve">Biodiversity (species richness enhancement)</w:t>
            </w:r>
          </w:p>
        </w:tc>
        <w:tc>
          <w:tcPr>
            <w:tcW w:w="1872" w:type="dxa"/>
          </w:tcPr>
          <w:p>
            <w:pPr>
              <w:spacing w:before="40" w:after="40" w:line="240" w:lineRule="auto"/>
            </w:pPr>
            <w:r>
              <w:rPr>
                <w:sz w:val="18"/>
                <w:szCs w:val="18"/>
              </w:rPr>
              <w:t xml:space="preserve">+65%</w:t>
            </w:r>
          </w:p>
        </w:tc>
        <w:tc>
          <w:tcPr>
            <w:tcW w:w="1872" w:type="dxa"/>
          </w:tcPr>
          <w:p>
            <w:pPr>
              <w:spacing w:before="40" w:after="40" w:line="240" w:lineRule="auto"/>
            </w:pPr>
            <w:r>
              <w:rPr>
                <w:sz w:val="18"/>
                <w:szCs w:val="18"/>
              </w:rPr>
              <w:t xml:space="preserve">+86%</w:t>
            </w:r>
          </w:p>
        </w:tc>
        <w:tc>
          <w:tcPr>
            <w:tcW w:w="1872" w:type="dxa"/>
          </w:tcPr>
          <w:p>
            <w:pPr>
              <w:spacing w:before="40" w:after="40" w:line="240" w:lineRule="auto"/>
            </w:pPr>
            <w:r>
              <w:rPr>
                <w:sz w:val="18"/>
                <w:szCs w:val="18"/>
              </w:rPr>
              <w:t xml:space="preserve">+41% (cryptogamic diversity)</w:t>
            </w:r>
          </w:p>
        </w:tc>
        <w:tc>
          <w:tcPr>
            <w:tcW w:w="1872" w:type="dxa"/>
          </w:tcPr>
          <w:p>
            <w:pPr>
              <w:spacing w:before="40" w:after="40" w:line="240" w:lineRule="auto"/>
            </w:pPr>
            <w:r>
              <w:rPr>
                <w:sz w:val="18"/>
                <w:szCs w:val="18"/>
              </w:rPr>
              <w:t xml:space="preserve">+64%</w:t>
            </w:r>
          </w:p>
        </w:tc>
      </w:tr>
      <w:tr>
        <w:tc>
          <w:tcPr>
            <w:tcW w:w="1872" w:type="dxa"/>
          </w:tcPr>
          <w:p>
            <w:pPr>
              <w:spacing w:before="40" w:after="40" w:line="240" w:lineRule="auto"/>
            </w:pPr>
            <w:r>
              <w:rPr>
                <w:sz w:val="18"/>
                <w:szCs w:val="18"/>
              </w:rPr>
              <w:t xml:space="preserve">Carbon sequestration (vs. conventional)</w:t>
            </w:r>
          </w:p>
        </w:tc>
        <w:tc>
          <w:tcPr>
            <w:tcW w:w="1872" w:type="dxa"/>
          </w:tcPr>
          <w:p>
            <w:pPr>
              <w:spacing w:before="40" w:after="40" w:line="240" w:lineRule="auto"/>
            </w:pPr>
            <w:r>
              <w:rPr>
                <w:sz w:val="18"/>
                <w:szCs w:val="18"/>
              </w:rPr>
              <w:t xml:space="preserve">+247%</w:t>
            </w:r>
          </w:p>
        </w:tc>
        <w:tc>
          <w:tcPr>
            <w:tcW w:w="1872" w:type="dxa"/>
          </w:tcPr>
          <w:p>
            <w:pPr>
              <w:spacing w:before="40" w:after="40" w:line="240" w:lineRule="auto"/>
            </w:pPr>
            <w:r>
              <w:rPr>
                <w:sz w:val="18"/>
                <w:szCs w:val="18"/>
              </w:rPr>
              <w:t xml:space="preserve">+156%</w:t>
            </w:r>
          </w:p>
        </w:tc>
        <w:tc>
          <w:tcPr>
            <w:tcW w:w="1872" w:type="dxa"/>
          </w:tcPr>
          <w:p>
            <w:pPr>
              <w:spacing w:before="40" w:after="40" w:line="240" w:lineRule="auto"/>
            </w:pPr>
            <w:r>
              <w:rPr>
                <w:sz w:val="18"/>
                <w:szCs w:val="18"/>
              </w:rPr>
              <w:t xml:space="preserve">+89%</w:t>
            </w:r>
          </w:p>
        </w:tc>
        <w:tc>
          <w:tcPr>
            <w:tcW w:w="1872" w:type="dxa"/>
          </w:tcPr>
          <w:p>
            <w:pPr>
              <w:spacing w:before="40" w:after="40" w:line="240" w:lineRule="auto"/>
            </w:pPr>
            <w:r>
              <w:rPr>
                <w:sz w:val="18"/>
                <w:szCs w:val="18"/>
              </w:rPr>
              <w:t xml:space="preserve">+164%</w:t>
            </w:r>
          </w:p>
        </w:tc>
      </w:tr>
      <w:tr>
        <w:tc>
          <w:tcPr>
            <w:tcW w:w="1872" w:type="dxa"/>
          </w:tcPr>
          <w:p>
            <w:pPr>
              <w:spacing w:before="40" w:after="40" w:line="240" w:lineRule="auto"/>
            </w:pPr>
            <w:r>
              <w:rPr>
                <w:sz w:val="18"/>
                <w:szCs w:val="18"/>
              </w:rPr>
              <w:t xml:space="preserve">Total ecosystem service value (USD/m²/yr)</w:t>
            </w:r>
          </w:p>
        </w:tc>
        <w:tc>
          <w:tcPr>
            <w:tcW w:w="1872" w:type="dxa"/>
          </w:tcPr>
          <w:p>
            <w:pPr>
              <w:spacing w:before="40" w:after="40" w:line="240" w:lineRule="auto"/>
            </w:pPr>
            <w:r>
              <w:rPr>
                <w:sz w:val="18"/>
                <w:szCs w:val="18"/>
              </w:rPr>
              <w:t xml:space="preserve">$127</w:t>
            </w:r>
          </w:p>
        </w:tc>
        <w:tc>
          <w:tcPr>
            <w:tcW w:w="1872" w:type="dxa"/>
          </w:tcPr>
          <w:p>
            <w:pPr>
              <w:spacing w:before="40" w:after="40" w:line="240" w:lineRule="auto"/>
            </w:pPr>
            <w:r>
              <w:rPr>
                <w:sz w:val="18"/>
                <w:szCs w:val="18"/>
              </w:rPr>
              <w:t xml:space="preserve">$203</w:t>
            </w:r>
          </w:p>
        </w:tc>
        <w:tc>
          <w:tcPr>
            <w:tcW w:w="1872" w:type="dxa"/>
          </w:tcPr>
          <w:p>
            <w:pPr>
              <w:spacing w:before="40" w:after="40" w:line="240" w:lineRule="auto"/>
            </w:pPr>
            <w:r>
              <w:rPr>
                <w:sz w:val="18"/>
                <w:szCs w:val="18"/>
              </w:rPr>
              <w:t xml:space="preserve">$47</w:t>
            </w:r>
          </w:p>
        </w:tc>
        <w:tc>
          <w:tcPr>
            <w:tcW w:w="1872" w:type="dxa"/>
          </w:tcPr>
          <w:p>
            <w:pPr>
              <w:spacing w:before="40" w:after="40" w:line="240" w:lineRule="auto"/>
            </w:pPr>
            <w:r>
              <w:rPr>
                <w:sz w:val="18"/>
                <w:szCs w:val="18"/>
              </w:rPr>
              <w:t xml:space="preserve">$126</w:t>
            </w:r>
          </w:p>
        </w:tc>
      </w:tr>
      <w:tr>
        <w:tc>
          <w:tcPr>
            <w:tcW w:w="1872" w:type="dxa"/>
          </w:tcPr>
          <w:p>
            <w:pPr>
              <w:spacing w:before="40" w:after="40" w:line="240" w:lineRule="auto"/>
            </w:pPr>
            <w:r>
              <w:rPr>
                <w:sz w:val="18"/>
                <w:szCs w:val="18"/>
              </w:rPr>
              <w:t xml:space="preserve">Energy performance improvement</w:t>
            </w:r>
          </w:p>
        </w:tc>
        <w:tc>
          <w:tcPr>
            <w:tcW w:w="1872" w:type="dxa"/>
          </w:tcPr>
          <w:p>
            <w:pPr>
              <w:spacing w:before="40" w:after="40" w:line="240" w:lineRule="auto"/>
            </w:pPr>
            <w:r>
              <w:rPr>
                <w:sz w:val="18"/>
                <w:szCs w:val="18"/>
              </w:rPr>
              <w:t xml:space="preserve">+34%</w:t>
            </w:r>
          </w:p>
        </w:tc>
        <w:tc>
          <w:tcPr>
            <w:tcW w:w="1872" w:type="dxa"/>
          </w:tcPr>
          <w:p>
            <w:pPr>
              <w:spacing w:before="40" w:after="40" w:line="240" w:lineRule="auto"/>
            </w:pPr>
            <w:r>
              <w:rPr>
                <w:sz w:val="18"/>
                <w:szCs w:val="18"/>
              </w:rPr>
              <w:t xml:space="preserve">+28%</w:t>
            </w:r>
          </w:p>
        </w:tc>
        <w:tc>
          <w:tcPr>
            <w:tcW w:w="1872" w:type="dxa"/>
          </w:tcPr>
          <w:p>
            <w:pPr>
              <w:spacing w:before="40" w:after="40" w:line="240" w:lineRule="auto"/>
            </w:pPr>
            <w:r>
              <w:rPr>
                <w:sz w:val="18"/>
                <w:szCs w:val="18"/>
              </w:rPr>
              <w:t xml:space="preserve">+68%</w:t>
            </w:r>
          </w:p>
        </w:tc>
        <w:tc>
          <w:tcPr>
            <w:tcW w:w="1872" w:type="dxa"/>
          </w:tcPr>
          <w:p>
            <w:pPr>
              <w:spacing w:before="40" w:after="40" w:line="240" w:lineRule="auto"/>
            </w:pPr>
            <w:r>
              <w:rPr>
                <w:sz w:val="18"/>
                <w:szCs w:val="18"/>
              </w:rPr>
              <w:t xml:space="preserve">+43%</w:t>
            </w:r>
          </w:p>
        </w:tc>
      </w:tr>
      <w:tr>
        <w:tc>
          <w:tcPr>
            <w:tcW w:w="1872" w:type="dxa"/>
          </w:tcPr>
          <w:p>
            <w:pPr>
              <w:spacing w:before="40" w:after="40" w:line="240" w:lineRule="auto"/>
            </w:pPr>
            <w:r>
              <w:rPr>
                <w:sz w:val="18"/>
                <w:szCs w:val="18"/>
              </w:rPr>
              <w:t xml:space="preserve">Visitor satisfaction premium</w:t>
            </w:r>
          </w:p>
        </w:tc>
        <w:tc>
          <w:tcPr>
            <w:tcW w:w="1872" w:type="dxa"/>
          </w:tcPr>
          <w:p>
            <w:pPr>
              <w:spacing w:before="40" w:after="40" w:line="240" w:lineRule="auto"/>
            </w:pPr>
            <w:r>
              <w:rPr>
                <w:sz w:val="18"/>
                <w:szCs w:val="18"/>
              </w:rPr>
              <w:t xml:space="preserve">+22%</w:t>
            </w:r>
          </w:p>
        </w:tc>
        <w:tc>
          <w:tcPr>
            <w:tcW w:w="1872" w:type="dxa"/>
          </w:tcPr>
          <w:p>
            <w:pPr>
              <w:spacing w:before="40" w:after="40" w:line="240" w:lineRule="auto"/>
            </w:pPr>
            <w:r>
              <w:rPr>
                <w:sz w:val="18"/>
                <w:szCs w:val="18"/>
              </w:rPr>
              <w:t xml:space="preserve">+31%</w:t>
            </w:r>
          </w:p>
        </w:tc>
        <w:tc>
          <w:tcPr>
            <w:tcW w:w="1872" w:type="dxa"/>
          </w:tcPr>
          <w:p>
            <w:pPr>
              <w:spacing w:before="40" w:after="40" w:line="240" w:lineRule="auto"/>
            </w:pPr>
            <w:r>
              <w:rPr>
                <w:sz w:val="18"/>
                <w:szCs w:val="18"/>
              </w:rPr>
              <w:t xml:space="preserve">+18%</w:t>
            </w:r>
          </w:p>
        </w:tc>
        <w:tc>
          <w:tcPr>
            <w:tcW w:w="1872" w:type="dxa"/>
          </w:tcPr>
          <w:p>
            <w:pPr>
              <w:spacing w:before="40" w:after="40" w:line="240" w:lineRule="auto"/>
            </w:pPr>
            <w:r>
              <w:rPr>
                <w:sz w:val="18"/>
                <w:szCs w:val="18"/>
              </w:rPr>
              <w:t xml:space="preserve">+24%</w:t>
            </w:r>
          </w:p>
        </w:tc>
      </w:tr>
      <w:tr>
        <w:tc>
          <w:tcPr>
            <w:tcW w:w="1872" w:type="dxa"/>
          </w:tcPr>
          <w:p>
            <w:pPr>
              <w:spacing w:before="40" w:after="40" w:line="240" w:lineRule="auto"/>
            </w:pPr>
            <w:r>
              <w:rPr>
                <w:sz w:val="18"/>
                <w:szCs w:val="18"/>
              </w:rPr>
              <w:t xml:space="preserve">Economic payback period (years)</w:t>
            </w:r>
          </w:p>
        </w:tc>
        <w:tc>
          <w:tcPr>
            <w:tcW w:w="1872" w:type="dxa"/>
          </w:tcPr>
          <w:p>
            <w:pPr>
              <w:spacing w:before="40" w:after="40" w:line="240" w:lineRule="auto"/>
            </w:pPr>
            <w:r>
              <w:rPr>
                <w:sz w:val="18"/>
                <w:szCs w:val="18"/>
              </w:rPr>
              <w:t xml:space="preserve">5.2</w:t>
            </w:r>
          </w:p>
        </w:tc>
        <w:tc>
          <w:tcPr>
            <w:tcW w:w="1872" w:type="dxa"/>
          </w:tcPr>
          <w:p>
            <w:pPr>
              <w:spacing w:before="40" w:after="40" w:line="240" w:lineRule="auto"/>
            </w:pPr>
            <w:r>
              <w:rPr>
                <w:sz w:val="18"/>
                <w:szCs w:val="18"/>
              </w:rPr>
              <w:t xml:space="preserve">3.7</w:t>
            </w:r>
          </w:p>
        </w:tc>
        <w:tc>
          <w:tcPr>
            <w:tcW w:w="1872" w:type="dxa"/>
          </w:tcPr>
          <w:p>
            <w:pPr>
              <w:spacing w:before="40" w:after="40" w:line="240" w:lineRule="auto"/>
            </w:pPr>
            <w:r>
              <w:rPr>
                <w:sz w:val="18"/>
                <w:szCs w:val="18"/>
              </w:rPr>
              <w:t xml:space="preserve">4.8</w:t>
            </w:r>
          </w:p>
        </w:tc>
        <w:tc>
          <w:tcPr>
            <w:tcW w:w="1872" w:type="dxa"/>
          </w:tcPr>
          <w:p>
            <w:pPr>
              <w:spacing w:before="40" w:after="40" w:line="240" w:lineRule="auto"/>
            </w:pPr>
            <w:r>
              <w:rPr>
                <w:sz w:val="18"/>
                <w:szCs w:val="18"/>
              </w:rPr>
              <w:t xml:space="preserve">4.6</w:t>
            </w:r>
          </w:p>
        </w:tc>
      </w:tr>
    </w:tbl>
    <w:p>
      <w:pPr>
        <w:spacing w:before="120" w:after="120"/>
      </w:pPr>
    </w:p>
    <w:p>
      <w:pPr>
        <w:spacing w:before="0" w:after="0"/>
      </w:pPr>
    </w:p>
    <w:p>
      <w:pPr>
        <w:jc w:val="both"/>
        <w:spacing w:before="0" w:after="120" w:line="360" w:lineRule="auto"/>
      </w:pPr>
      <w:r>
        <w:t xml:space="preserve">The cross-case comparison reveals that bio-integrated approaches consistently outperform conventional sustainable construction across all assessed dimensions, with ecosystem service enhancements ranging from 23% (minimum, Australian thermal performance) to 247% (maximum, Costa Rican carbon sequestration). Importantly, the improvements are not confined to ecological metrics but extend to economic performance (average payback period of 4.6 years for additional bio-integration investment) and visitor experience (18–31% satisfaction premium), indicating that bio-integration produces co-benefits across stakeholder groups.</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5. Discussion</w:t>
      </w:r>
    </w:p>
    <w:p>
      <w:pPr>
        <w:spacing w:before="0" w:after="0"/>
      </w:pPr>
    </w:p>
    <w:p>
      <w:pPr>
        <w:pStyle w:val="Heading2"/>
        <w:spacing w:before="240" w:after="120" w:line="360" w:lineRule="auto"/>
      </w:pPr>
      <w:r>
        <w:rPr>
          <w:b/>
          <w:bCs/>
        </w:rPr>
        <w:t xml:space="preserve">5.1 Synthesis of Findings: Toward Ecological Reciprocity</w:t>
      </w:r>
    </w:p>
    <w:p>
      <w:pPr>
        <w:spacing w:before="0" w:after="0"/>
      </w:pPr>
    </w:p>
    <w:p>
      <w:pPr>
        <w:jc w:val="both"/>
        <w:spacing w:before="0" w:after="120" w:line="360" w:lineRule="auto"/>
      </w:pPr>
      <w:r>
        <w:t xml:space="preserve">The empirical evidence presented across three geographically, climatically, and typologically diverse case studies demonstrates that bio-integrated tourism design can achieve what conventional sustainable construction cannot: a genuinely reciprocal relationship between built infrastructure and living ecosystems. The consistent pattern of ecosystem service enhancement—averaging 164% improvement in carbon sequestration, 64% in biodiversity support, and 43% in energy performance relative to best-practice conventional baselines—indicates that bio-integration represents a qualitative rather than merely quantitative advancement in environmental building performance.</w:t>
      </w:r>
    </w:p>
    <w:p>
      <w:pPr>
        <w:spacing w:before="0" w:after="0"/>
      </w:pPr>
    </w:p>
    <w:p>
      <w:pPr>
        <w:jc w:val="both"/>
        <w:spacing w:before="0" w:after="120" w:line="360" w:lineRule="auto"/>
      </w:pPr>
      <w:r>
        <w:t xml:space="preserve">Critically, these improvements are not achieved through technological complexity alone but through a fundamental reconceptualization of the building-ecosystem relationship. In each case study, the infrastructure functions as habitat, as metabolic participant, and as ecological connector—roles that conventional buildings, however efficiently they operate, cannot fulfill because they are designed as sealed, inert objects that exclude rather than incorporate biological processes [5]. The mycelium panels metabolize atmospheric CO₂; the reef structure recruits coral larvae; the cryptogamic envelope photosynthesizes and transpires. Each building is, in a meaningful biological sense, alive—and this aliveness produces the ecological reciprocity that distinguishes regenerative from merely sustainable design.</w:t>
      </w:r>
    </w:p>
    <w:p>
      <w:pPr>
        <w:spacing w:before="0" w:after="0"/>
      </w:pPr>
    </w:p>
    <w:p>
      <w:pPr>
        <w:jc w:val="both"/>
        <w:spacing w:before="0" w:after="120" w:line="360" w:lineRule="auto"/>
      </w:pPr>
      <w:r>
        <w:t xml:space="preserve">The findings address the criticism leveled by Craft et al. [16] regarding the gap between regenerative rhetoric and measurable outcomes. By quantifying ecosystem service provision in both biophysical and monetary terms, and by comparing bio-integrated performance against an already-ambitious conventional baseline (highest-level green building certification), the research provides empirical evidence that regenerative design can be operationalized with measurable, significant results. The average economic payback period of 4.6 years for bio-integration investment demonstrates that ecological reciprocity need not come at prohibitive economic cost—a finding with significant implications for the scalability of these approaches.</w:t>
      </w:r>
    </w:p>
    <w:p>
      <w:pPr>
        <w:spacing w:before="0" w:after="0"/>
      </w:pPr>
    </w:p>
    <w:p>
      <w:pPr>
        <w:pStyle w:val="Heading2"/>
        <w:spacing w:before="240" w:after="120" w:line="360" w:lineRule="auto"/>
      </w:pPr>
      <w:r>
        <w:rPr>
          <w:b/>
          <w:bCs/>
        </w:rPr>
        <w:t xml:space="preserve">5.2 The Role of Computational Design in Enabling Bio-Integration</w:t>
      </w:r>
    </w:p>
    <w:p>
      <w:pPr>
        <w:spacing w:before="0" w:after="0"/>
      </w:pPr>
    </w:p>
    <w:p>
      <w:pPr>
        <w:jc w:val="both"/>
        <w:spacing w:before="0" w:after="120" w:line="360" w:lineRule="auto"/>
      </w:pPr>
      <w:r>
        <w:t xml:space="preserve">A consistent finding across case studies is the essential role of computational design methods in enabling bio-integration at architectural scales. In each project, the complexity of optimizing simultaneously for structural, ecological, experiential, and economic objectives exceeded the capacity of conventional intuitive design processes. Multi-objective optimization algorithms—NSGA-II in Costa Rica, Pareto-coupled simulation in the Maldives, parametric hygrothermal-biological modeling in Australia—enabled design teams to navigate high-dimensional solution spaces and identify configurations that satisfy multiple competing objectives without unacceptable compromise in any single dimension.</w:t>
      </w:r>
    </w:p>
    <w:p>
      <w:pPr>
        <w:spacing w:before="0" w:after="0"/>
      </w:pPr>
    </w:p>
    <w:p>
      <w:pPr>
        <w:jc w:val="both"/>
        <w:spacing w:before="0" w:after="120" w:line="360" w:lineRule="auto"/>
      </w:pPr>
      <w:r>
        <w:t xml:space="preserve">This finding aligns with broader trends in computational design research [25, 26] but extends them into novel territory. Where previous computational design applications have predominantly optimized for physical performance metrics (structural efficiency, thermal comfort, daylight availability), bio-integrated computational design introduces ecological objectives—biodiversity support, habitat connectivity, ecosystem service provision—as primary design drivers. This expansion of the computational design objective space represents a significant methodological contribution, requiring new simulation tools (biological growth models, ecological agent-based models) and new optimization frameworks capable of handling the longer timescales and inherent uncertainties of ecological processes.</w:t>
      </w:r>
    </w:p>
    <w:p>
      <w:pPr>
        <w:spacing w:before="0" w:after="0"/>
      </w:pPr>
    </w:p>
    <w:p>
      <w:pPr>
        <w:jc w:val="both"/>
        <w:spacing w:before="0" w:after="120" w:line="360" w:lineRule="auto"/>
      </w:pPr>
      <w:r>
        <w:t xml:space="preserve">The temporal dimension deserves particular emphasis. Conventional buildings degrade from the moment of completion; bio-integrated structures improve. The mycelium panels accumulate carbon; the reef structure gains coral cover and fish diversity; the cryptogamic envelope develops species richness and functional complexity. Computational models must therefore capture not static performance but dynamic trajectories—predicting how bio-integrated systems will develop over years and decades. The close correspondence between computational predictions and monitored outcomes across the three case studies (within 5–15% for most metrics) validates the predictive capacity of the modeling approaches employed, though longer-term validation over decadal timescales remains necessary.</w:t>
      </w:r>
    </w:p>
    <w:p>
      <w:pPr>
        <w:spacing w:before="0" w:after="0"/>
      </w:pPr>
    </w:p>
    <w:p>
      <w:pPr>
        <w:pStyle w:val="Heading2"/>
        <w:spacing w:before="240" w:after="120" w:line="360" w:lineRule="auto"/>
      </w:pPr>
      <w:r>
        <w:rPr>
          <w:b/>
          <w:bCs/>
        </w:rPr>
        <w:t xml:space="preserve">5.3 Indigenous Knowledge as Design Intelligence</w:t>
      </w:r>
    </w:p>
    <w:p>
      <w:pPr>
        <w:spacing w:before="0" w:after="0"/>
      </w:pPr>
    </w:p>
    <w:p>
      <w:pPr>
        <w:jc w:val="both"/>
        <w:spacing w:before="0" w:after="120" w:line="360" w:lineRule="auto"/>
      </w:pPr>
      <w:r>
        <w:t xml:space="preserve">The Australian case study illustrates how indigenous ecological knowledge (IEK) can function as a form of design intelligence that complements and enriches computational approaches. The Martu Traditional Owners' understanding of arid-zone ecological dynamics—particularly the pulsed character of desert ecosystems, where long dormant periods are punctuated by brief episodes of intense biological activity following rainfall—directly informed the building's bio-responsive design concept. The cryptogamic envelope's capacity to transition between dormancy and activity mirrors the broader landscape's ecological rhythm, creating an architecture that is semantically and functionally coherent with its ecological context in ways that purely computational optimization might not achieve.</w:t>
      </w:r>
    </w:p>
    <w:p>
      <w:pPr>
        <w:spacing w:before="0" w:after="0"/>
      </w:pPr>
    </w:p>
    <w:p>
      <w:pPr>
        <w:jc w:val="both"/>
        <w:spacing w:before="0" w:after="120" w:line="360" w:lineRule="auto"/>
      </w:pPr>
      <w:r>
        <w:t xml:space="preserve">This finding resonates with Kimmerer's argument [31] that indigenous knowledge systems embody forms of ecological understanding—relational, reciprocal, place-specific—that Western scientific frameworks often fail to capture. The integration of IEK into bio-integrated design is not merely a matter of cultural sensitivity or social license (though it is also these things) but of accessing design intelligence refined through millennia of attentive engagement with specific landscapes. The challenge for practitioners lies in developing ethical, non-extractive frameworks for such integration—ensuring that indigenous communities retain intellectual sovereignty over their knowledge while benefiting materially from its application in commercial tourism contexts [33, 32].</w:t>
      </w:r>
    </w:p>
    <w:p>
      <w:pPr>
        <w:spacing w:before="0" w:after="0"/>
      </w:pPr>
    </w:p>
    <w:p>
      <w:pPr>
        <w:pStyle w:val="Heading2"/>
        <w:spacing w:before="240" w:after="120" w:line="360" w:lineRule="auto"/>
      </w:pPr>
      <w:r>
        <w:rPr>
          <w:b/>
          <w:bCs/>
        </w:rPr>
        <w:t xml:space="preserve">5.4 Proposing the Bio-Integration Maturity Model (BIMM)</w:t>
      </w:r>
    </w:p>
    <w:p>
      <w:pPr>
        <w:spacing w:before="0" w:after="0"/>
      </w:pPr>
    </w:p>
    <w:p>
      <w:pPr>
        <w:jc w:val="both"/>
        <w:spacing w:before="0" w:after="120" w:line="360" w:lineRule="auto"/>
      </w:pPr>
      <w:r>
        <w:t xml:space="preserve">Drawing upon findings from the case studies and computational modeling, this section proposes a Bio-Integration Maturity Model (BIMM) as a practical framework for assessing and advancing tourism infrastructure along the continuum from conventional construction to full ecological reciprocity. The BIMM comprises five levels:</w:t>
      </w:r>
    </w:p>
    <w:p>
      <w:pPr>
        <w:spacing w:before="0" w:after="0"/>
      </w:pPr>
    </w:p>
    <w:p>
      <w:pPr>
        <w:jc w:val="both"/>
        <w:spacing w:before="0" w:after="120" w:line="360" w:lineRule="auto"/>
      </w:pPr>
      <w:r>
        <w:rPr>
          <w:b/>
          <w:bCs/>
        </w:rPr>
        <w:t xml:space="preserve">Level 1 — Bio-Informed:</w:t>
      </w:r>
      <w:r>
        <w:t xml:space="preserve"> Design draws upon biological principles (biomimicry) for form, structure, or system logic, but incorporates no living biological components. Examples: buildings with termite-mound-inspired ventilation; structures with bone-topology-optimized geometries.</w:t>
      </w:r>
    </w:p>
    <w:p>
      <w:pPr>
        <w:spacing w:before="0" w:after="0"/>
      </w:pPr>
    </w:p>
    <w:p>
      <w:pPr>
        <w:jc w:val="both"/>
        <w:spacing w:before="0" w:after="120" w:line="360" w:lineRule="auto"/>
      </w:pPr>
      <w:r>
        <w:rPr>
          <w:b/>
          <w:bCs/>
        </w:rPr>
        <w:t xml:space="preserve">Level 2 — Bio-Inclusive:</w:t>
      </w:r>
      <w:r>
        <w:t xml:space="preserve"> Design incorporates living systems in supplementary or decorative roles (green roofs, living walls, landscaping) that provide limited ecosystem services but are functionally separable from the primary building system.</w:t>
      </w:r>
    </w:p>
    <w:p>
      <w:pPr>
        <w:spacing w:before="0" w:after="0"/>
      </w:pPr>
    </w:p>
    <w:p>
      <w:pPr>
        <w:jc w:val="both"/>
        <w:spacing w:before="0" w:after="120" w:line="360" w:lineRule="auto"/>
      </w:pPr>
      <w:r>
        <w:rPr>
          <w:b/>
          <w:bCs/>
        </w:rPr>
        <w:t xml:space="preserve">Level 3 — Bio-Functional:</w:t>
      </w:r>
      <w:r>
        <w:t xml:space="preserve"> Living biological systems perform defined functional roles within the building (air purification, water treatment, food production) but remain essentially contained and managed subsystems requiring continuous human maintenance.</w:t>
      </w:r>
    </w:p>
    <w:p>
      <w:pPr>
        <w:spacing w:before="0" w:after="0"/>
      </w:pPr>
    </w:p>
    <w:p>
      <w:pPr>
        <w:jc w:val="both"/>
        <w:spacing w:before="0" w:after="120" w:line="360" w:lineRule="auto"/>
      </w:pPr>
      <w:r>
        <w:rPr>
          <w:b/>
          <w:bCs/>
        </w:rPr>
        <w:t xml:space="preserve">Level 4 — Bio-Structural:</w:t>
      </w:r>
      <w:r>
        <w:t xml:space="preserve"> Living organisms constitute integral structural or envelope components whose biological processes directly contribute to building performance. The building's functional capacity depends on biological viability. Examples: the three case studies presented in this chapter.</w:t>
      </w:r>
    </w:p>
    <w:p>
      <w:pPr>
        <w:spacing w:before="0" w:after="0"/>
      </w:pPr>
    </w:p>
    <w:p>
      <w:pPr>
        <w:jc w:val="both"/>
        <w:spacing w:before="0" w:after="120" w:line="360" w:lineRule="auto"/>
      </w:pPr>
      <w:r>
        <w:rPr>
          <w:b/>
          <w:bCs/>
        </w:rPr>
        <w:t xml:space="preserve">Level 5 — Bio-Reciprocal:</w:t>
      </w:r>
      <w:r>
        <w:t xml:space="preserve"> The building functions as a fully integrated component of its host ecosystem, with bidirectional material and energetic exchange. The building enhances ecosystem function while the ecosystem supports building performance. No clear boundary exists between building and ecosystem—they constitute a single coupled system.</w:t>
      </w:r>
    </w:p>
    <w:p>
      <w:pPr>
        <w:spacing w:before="0" w:after="0"/>
      </w:pPr>
    </w:p>
    <w:p>
      <w:pPr>
        <w:jc w:val="both"/>
        <w:spacing w:before="0" w:after="120" w:line="360" w:lineRule="auto"/>
      </w:pPr>
      <w:r>
        <w:t xml:space="preserve">Each level represents increased depth of biological integration, increased ecological contribution, and increased design and management complexity. The BIMM enables practitioners, developers, and policymakers to benchmark current practice, set aspirational targets, and identify specific interventions required to advance along the maturity continuum.</w:t>
      </w:r>
    </w:p>
    <w:p>
      <w:pPr>
        <w:spacing w:before="0" w:after="0"/>
      </w:pPr>
    </w:p>
    <w:p>
      <w:pPr>
        <w:pStyle w:val="Heading2"/>
        <w:spacing w:before="240" w:after="120" w:line="360" w:lineRule="auto"/>
      </w:pPr>
      <w:r>
        <w:rPr>
          <w:b/>
          <w:bCs/>
        </w:rPr>
        <w:t xml:space="preserve">5.5 Limitations and Caveats</w:t>
      </w:r>
    </w:p>
    <w:p>
      <w:pPr>
        <w:spacing w:before="0" w:after="0"/>
      </w:pPr>
    </w:p>
    <w:p>
      <w:pPr>
        <w:jc w:val="both"/>
        <w:spacing w:before="0" w:after="120" w:line="360" w:lineRule="auto"/>
      </w:pPr>
      <w:r>
        <w:t xml:space="preserve">Several limitations constrain the generalizability of findings. First, the case studies represent exceptional projects benefiting from above-average design expertise, motivated clients, and favorable regulatory environments. The transferability of outcomes to mainstream tourism development—characterized by cost pressure, compressed timelines, and risk aversion—remains uncertain and warrants investigation through larger-sample quantitative research. Second, the monitoring periods (3–6 years) capture early-stage ecosystem development but may not represent long-term steady-state performance; some bio-integrated systems may experience degradation or stabilization at levels below current trajectories. Third, the counterfactual baselines (best-practice conventional construction) are necessarily modeled rather than observed, introducing uncertainty into comparative assessments.</w:t>
      </w:r>
    </w:p>
    <w:p>
      <w:pPr>
        <w:spacing w:before="0" w:after="0"/>
      </w:pPr>
    </w:p>
    <w:p>
      <w:pPr>
        <w:jc w:val="both"/>
        <w:spacing w:before="0" w:after="120" w:line="360" w:lineRule="auto"/>
      </w:pPr>
      <w:r>
        <w:t xml:space="preserve">Additionally, the economic analysis does not fully account for potential risks specific to bio-integrated systems: biological system failure (disease, extreme weather events, climate change impacts), regulatory uncertainty regarding novel construction materials, and the specialized maintenance expertise required for living building systems. These risks, while manageable, may deter risk-averse developers and financiers, potentially limiting adoption despite favorable lifecycle economics.</w:t>
      </w:r>
    </w:p>
    <w:p>
      <w:pPr>
        <w:spacing w:before="0" w:after="0"/>
      </w:pPr>
    </w:p>
    <w:p>
      <w:pPr>
        <w:pBdr>
          <w:bottom w:val="single" w:sz="12" w:space="1" w:color="auto"/>
        </w:pBdr>
        <w:spacing w:before="240" w:after="240"/>
      </w:pPr>
    </w:p>
    <w:p>
      <w:pPr>
        <w:spacing w:before="0" w:after="0"/>
      </w:pPr>
    </w:p>
    <w:p>
      <w:pPr>
        <w:spacing w:before="0" w:after="0"/>
      </w:pPr>
    </w:p>
    <w:p>
      <w:pPr>
        <w:pStyle w:val="Heading1"/>
        <w:spacing w:before="360" w:after="120" w:line="360" w:lineRule="auto"/>
      </w:pPr>
      <w:r>
        <w:rPr>
          <w:b/>
          <w:bCs/>
          <w:sz w:val="26"/>
          <w:szCs w:val="26"/>
        </w:rPr>
        <w:t xml:space="preserve">6. Conclusion</w:t>
      </w:r>
    </w:p>
    <w:p>
      <w:pPr>
        <w:spacing w:before="0" w:after="0"/>
      </w:pPr>
    </w:p>
    <w:p>
      <w:pPr>
        <w:pStyle w:val="Heading2"/>
        <w:spacing w:before="240" w:after="120" w:line="360" w:lineRule="auto"/>
      </w:pPr>
      <w:r>
        <w:rPr>
          <w:b/>
          <w:bCs/>
        </w:rPr>
        <w:t xml:space="preserve">6.1 Knowledge Gained</w:t>
      </w:r>
    </w:p>
    <w:p>
      <w:pPr>
        <w:spacing w:before="0" w:after="0"/>
      </w:pPr>
    </w:p>
    <w:p>
      <w:pPr>
        <w:jc w:val="both"/>
        <w:spacing w:before="0" w:after="120" w:line="360" w:lineRule="auto"/>
      </w:pPr>
      <w:r>
        <w:t xml:space="preserve">This chapter has demonstrated, through theoretical argumentation, computational modeling, and empirical case study evidence, that bio-integrated tourism design represents a viable and measurably superior alternative to conventional sustainable construction for tourism infrastructure situated within or adjacent to ecologically valuable landscapes. The central thesis—that tourism infrastructure can function as an adaptive, regenerative entity engaged in ecological reciprocity with its host environment—is supported by consistent evidence across three diverse operational projects spanning tropical, marine, and arid biomes.</w:t>
      </w:r>
    </w:p>
    <w:p>
      <w:pPr>
        <w:spacing w:before="0" w:after="0"/>
      </w:pPr>
    </w:p>
    <w:p>
      <w:pPr>
        <w:jc w:val="both"/>
        <w:spacing w:before="0" w:after="120" w:line="360" w:lineRule="auto"/>
      </w:pPr>
      <w:r>
        <w:t xml:space="preserve">The knowledge gained extends across multiple domains. Technically, the research confirms that living biological systems—mycelial networks, coral communities, cryptogamic organisms—can be successfully integrated into building systems at architectural scales, maintaining biological viability and functional performance over multi-year operational periods. Computationally, the research demonstrates that multi-objective optimization algorithms, agent-based ecological models, and coupled hygrothermal-biological simulations provide reliable predictive tools for bio-integrated design, achieving correspondence with measured outcomes within 5–15% for most performance metrics. Ecologically, the research provides quantitative evidence that bio-integrated infrastructure produces ecosystem service enhancements of 23–247% above best-practice conventional construction, with average improvements of 164% for carbon sequestration, 64% for biodiversity support, and 43% for energy performance. Economically, the research establishes that bio-integration investments achieve payback within 3.7–5.2 years through combined ecosystem service value, energy savings, and visitor satisfaction premiums—timeframes well within the planning horizons of commercial tourism development.</w:t>
      </w:r>
    </w:p>
    <w:p>
      <w:pPr>
        <w:spacing w:before="0" w:after="0"/>
      </w:pPr>
    </w:p>
    <w:p>
      <w:pPr>
        <w:pStyle w:val="Heading2"/>
        <w:spacing w:before="240" w:after="120" w:line="360" w:lineRule="auto"/>
      </w:pPr>
      <w:r>
        <w:rPr>
          <w:b/>
          <w:bCs/>
        </w:rPr>
        <w:t xml:space="preserve">6.2 Implications for the Field</w:t>
      </w:r>
    </w:p>
    <w:p>
      <w:pPr>
        <w:spacing w:before="0" w:after="0"/>
      </w:pPr>
    </w:p>
    <w:p>
      <w:pPr>
        <w:jc w:val="both"/>
        <w:spacing w:before="0" w:after="120" w:line="360" w:lineRule="auto"/>
      </w:pPr>
      <w:r>
        <w:t xml:space="preserve">For design practitioners, the research provides evidence that bio-integration is not merely speculative or aspirational but practically achievable with existing materials, technologies, and computational tools. The Bio-Integration Maturity Model offers a structured pathway for practitioners seeking to advance beyond conventional green building practice toward genuinely regenerative outcomes. The case studies demonstrate that bio-integration is applicable across diverse climatic zones, construction typologies, and budgetary contexts—countering the perception that living buildings are viable only as expensive demonstration projects in favorable climates.</w:t>
      </w:r>
    </w:p>
    <w:p>
      <w:pPr>
        <w:spacing w:before="0" w:after="0"/>
      </w:pPr>
    </w:p>
    <w:p>
      <w:pPr>
        <w:jc w:val="both"/>
        <w:spacing w:before="0" w:after="120" w:line="360" w:lineRule="auto"/>
      </w:pPr>
      <w:r>
        <w:t xml:space="preserve">For policymakers and planning authorities, the research suggests that current green building certification systems—oriented around harm reduction metrics—are insufficient frameworks for assessing or incentivizing regenerative design. The BIMM provides a complementary assessment tool that evaluates positive ecological contribution rather than merely reduced negative impact, enabling planning systems to differentiate between buildings that are "less bad" and those that are actively beneficial to their ecological context.</w:t>
      </w:r>
    </w:p>
    <w:p>
      <w:pPr>
        <w:spacing w:before="0" w:after="0"/>
      </w:pPr>
    </w:p>
    <w:p>
      <w:pPr>
        <w:jc w:val="both"/>
        <w:spacing w:before="0" w:after="120" w:line="360" w:lineRule="auto"/>
      </w:pPr>
      <w:r>
        <w:t xml:space="preserve">For the academic community, the research opens several productive trajectories. The integration of ecological simulation into architectural design computation represents a methodological frontier requiring collaboration between architects, ecologists, computer scientists, and materials engineers. The role of indigenous ecological knowledge in informing bio-integrated design demands further investigation through genuinely partnership-based research methodologies [33, 34].</w:t>
      </w:r>
    </w:p>
    <w:p>
      <w:pPr>
        <w:spacing w:before="0" w:after="0"/>
      </w:pPr>
    </w:p>
    <w:p>
      <w:pPr>
        <w:pStyle w:val="Heading2"/>
        <w:spacing w:before="240" w:after="120" w:line="360" w:lineRule="auto"/>
      </w:pPr>
      <w:r>
        <w:rPr>
          <w:b/>
          <w:bCs/>
        </w:rPr>
        <w:t xml:space="preserve">6.3 Future Directions</w:t>
      </w:r>
    </w:p>
    <w:p>
      <w:pPr>
        <w:spacing w:before="0" w:after="0"/>
      </w:pPr>
    </w:p>
    <w:p>
      <w:pPr>
        <w:jc w:val="both"/>
        <w:spacing w:before="0" w:after="120" w:line="360" w:lineRule="auto"/>
      </w:pPr>
      <w:r>
        <w:t xml:space="preserve">Several directions for future research and development emerge from this work. First, scaling bio-integration from individual buildings to district and landscape scales represents a critical frontier. How might networks of bio-integrated structures collectively function as ecological infrastructure—creating habitat corridors, managing watershed hydrology, supporting pollinator networks—at scales relevant to landscape ecology?</w:t>
      </w:r>
    </w:p>
    <w:p>
      <w:pPr>
        <w:spacing w:before="0" w:after="0"/>
      </w:pPr>
    </w:p>
    <w:p>
      <w:pPr>
        <w:jc w:val="both"/>
        <w:spacing w:before="0" w:after="120" w:line="360" w:lineRule="auto"/>
      </w:pPr>
      <w:r>
        <w:t xml:space="preserve">Second, the development of biological building materials requires acceleration. Research into engineered living materials (ELMs)—including self-healing bioconcretes, pollution-sensing biofilms, and energy-harvesting photosynthetic membranes—promises to expand significantly the functional capabilities of bio-integrated construction [44, 45].</w:t>
      </w:r>
    </w:p>
    <w:p>
      <w:pPr>
        <w:spacing w:before="0" w:after="0"/>
      </w:pPr>
    </w:p>
    <w:p>
      <w:pPr>
        <w:jc w:val="both"/>
        <w:spacing w:before="0" w:after="120" w:line="360" w:lineRule="auto"/>
      </w:pPr>
      <w:r>
        <w:t xml:space="preserve">Third, the climate adaptation dimension of bio-integrated design warrants focused investigation. As tourism destinations face increasing climate stress—coral bleaching, wildfire intensification, extreme heat events, coastal erosion—bio-integrated infrastructure's capacity for biological adaptation (evolution, succession, migration) offers resilience advantages fundamentally unavailable to conventional inert construction [46].</w:t>
      </w:r>
    </w:p>
    <w:p>
      <w:pPr>
        <w:spacing w:before="0" w:after="0"/>
      </w:pPr>
    </w:p>
    <w:p>
      <w:pPr>
        <w:jc w:val="both"/>
        <w:spacing w:before="0" w:after="120" w:line="360" w:lineRule="auto"/>
      </w:pPr>
      <w:r>
        <w:t xml:space="preserve">Fourth, the economic and governance frameworks necessary for mainstreaming bio-integration require development. Payment for ecosystem services (PES) mechanisms, biodiversity offset markets, carbon credit systems, and green bonds all represent potential financial instruments for valuing and monetizing the ecological contributions of bio-integrated infrastructure, yet significant institutional barriers remain.</w:t>
      </w:r>
    </w:p>
    <w:p>
      <w:pPr>
        <w:spacing w:before="0" w:after="0"/>
      </w:pPr>
    </w:p>
    <w:p>
      <w:pPr>
        <w:jc w:val="both"/>
        <w:spacing w:before="0" w:after="120" w:line="360" w:lineRule="auto"/>
      </w:pPr>
      <w:r>
        <w:t xml:space="preserve">Finally, the ethical dimensions of bio-integrated design—the moral status of building-organisms, the rights of indigenous knowledge holders, the politics of ecological stewardship within commercial tourism—demand sustained philosophical and social-scientific attention. Bio-integrated design blurs fundamental categories—living/built, natural/artificial, organism/artifact—that have structured Western environmental thought.</w:t>
      </w:r>
    </w:p>
    <w:p>
      <w:pPr>
        <w:spacing w:before="0" w:after="0"/>
      </w:pPr>
    </w:p>
    <w:p>
      <w:pPr>
        <w:pStyle w:val="Heading2"/>
        <w:spacing w:before="240" w:after="120" w:line="360" w:lineRule="auto"/>
      </w:pPr>
      <w:r>
        <w:rPr>
          <w:b/>
          <w:bCs/>
        </w:rPr>
        <w:t xml:space="preserve">6.4 Closing Reflection</w:t>
      </w:r>
    </w:p>
    <w:p>
      <w:pPr>
        <w:spacing w:before="0" w:after="0"/>
      </w:pPr>
    </w:p>
    <w:p>
      <w:pPr>
        <w:jc w:val="both"/>
        <w:spacing w:before="0" w:after="120" w:line="360" w:lineRule="auto"/>
      </w:pPr>
      <w:r>
        <w:t xml:space="preserve">The tourism industry stands at a crossroads. It can continue to develop infrastructure that degrades the very landscapes that attract visitors, mitigating harm through efficiency improvements while remaining fundamentally extractive in its relationship with living systems. Or it can embrace a radically different vision: tourism infrastructure as living architecture—metabolically active, ecologically reciprocal, and regenerative by design. The evidence presented in this chapter demonstrates that this vision is not utopian but achievable, not economically prohibitive but financially compelling, and not merely theoretical but operationally proven. The question is no longer whether bio-integrated tourism design is possible, but whether the will exists—among designers, developers, policymakers, and travelers—to make it the norm rather than the exception.</w:t>
      </w:r>
    </w:p>
    <w:p>
      <w:pPr>
        <w:spacing w:before="0" w:after="0"/>
      </w:pPr>
    </w:p>
    <w:p>
      <w:pPr>
        <w:pBdr>
          <w:bottom w:val="single" w:sz="12" w:space="1" w:color="auto"/>
        </w:pBdr>
        <w:spacing w:before="240" w:after="240"/>
      </w:pPr>
    </w:p>
    <w:p>
      <w:pPr>
        <w:spacing w:before="0" w:after="0"/>
      </w:pPr>
    </w:p>
    <w:p>
      <w:pPr>
        <w:pStyle w:val="Heading1"/>
        <w:spacing w:before="360" w:after="120" w:line="360" w:lineRule="auto"/>
      </w:pPr>
      <w:r>
        <w:rPr>
          <w:b/>
          <w:bCs/>
          <w:sz w:val="26"/>
          <w:szCs w:val="26"/>
        </w:rPr>
        <w:t xml:space="preserve">References</w:t>
      </w:r>
    </w:p>
    <w:p>
      <w:pPr>
        <w:spacing w:before="0" w:after="0"/>
      </w:pPr>
    </w:p>
    <w:p>
      <w:pPr>
        <w:jc w:val="both"/>
        <w:spacing w:before="0" w:after="120" w:line="360" w:lineRule="auto"/>
      </w:pPr>
      <w:r>
        <w:t xml:space="preserve">[1] Lenzen, M., Sun, Y. Y., Faturay, F., Ting, Y. P., Geschke, A., &amp; Malik, A. (2018). The carbon footprint of global tourism. </w:t>
      </w:r>
      <w:r>
        <w:rPr>
          <w:i/>
          <w:iCs/>
        </w:rPr>
        <w:t xml:space="preserve">Nature Climate Change</w:t>
      </w:r>
      <w:r>
        <w:t xml:space="preserve">, 8(6), 522–528.</w:t>
      </w:r>
    </w:p>
    <w:p>
      <w:pPr>
        <w:spacing w:before="0" w:after="0"/>
      </w:pPr>
    </w:p>
    <w:p>
      <w:pPr>
        <w:jc w:val="both"/>
        <w:spacing w:before="0" w:after="120" w:line="360" w:lineRule="auto"/>
      </w:pPr>
      <w:r>
        <w:t xml:space="preserve">[2] Gössling, S., &amp; Peeters, P. (2015). Assessing tourism's global environmental impact 1900–2050. </w:t>
      </w:r>
      <w:r>
        <w:rPr>
          <w:i/>
          <w:iCs/>
        </w:rPr>
        <w:t xml:space="preserve">Journal of Sustainable Tourism</w:t>
      </w:r>
      <w:r>
        <w:t xml:space="preserve">, 23(5), 639–659.</w:t>
      </w:r>
    </w:p>
    <w:p>
      <w:pPr>
        <w:spacing w:before="0" w:after="0"/>
      </w:pPr>
    </w:p>
    <w:p>
      <w:pPr>
        <w:jc w:val="both"/>
        <w:spacing w:before="0" w:after="120" w:line="360" w:lineRule="auto"/>
      </w:pPr>
      <w:r>
        <w:t xml:space="preserve">[3] Higgins-Desbiolles, F. (2018). Sustainable tourism: Sustaining tourism or something more? </w:t>
      </w:r>
      <w:r>
        <w:rPr>
          <w:i/>
          <w:iCs/>
        </w:rPr>
        <w:t xml:space="preserve">Tourism Management Perspectives</w:t>
      </w:r>
      <w:r>
        <w:t xml:space="preserve">, 25, 157–160.</w:t>
      </w:r>
    </w:p>
    <w:p>
      <w:pPr>
        <w:spacing w:before="0" w:after="0"/>
      </w:pPr>
    </w:p>
    <w:p>
      <w:pPr>
        <w:jc w:val="both"/>
        <w:spacing w:before="0" w:after="120" w:line="360" w:lineRule="auto"/>
      </w:pPr>
      <w:r>
        <w:t xml:space="preserve">[4] Benyus, J. M. (2002). </w:t>
      </w:r>
      <w:r>
        <w:rPr>
          <w:i/>
          <w:iCs/>
        </w:rPr>
        <w:t xml:space="preserve">Biomimicry: Innovation Inspired by Nature</w:t>
      </w:r>
      <w:r>
        <w:t xml:space="preserve">. Harper Perennial.</w:t>
      </w:r>
    </w:p>
    <w:p>
      <w:pPr>
        <w:spacing w:before="0" w:after="0"/>
      </w:pPr>
    </w:p>
    <w:p>
      <w:pPr>
        <w:jc w:val="both"/>
        <w:spacing w:before="0" w:after="120" w:line="360" w:lineRule="auto"/>
      </w:pPr>
      <w:r>
        <w:t xml:space="preserve">[5] Armstrong, R. (2015). </w:t>
      </w:r>
      <w:r>
        <w:rPr>
          <w:i/>
          <w:iCs/>
        </w:rPr>
        <w:t xml:space="preserve">Star Ark: A Living, Self-Sustaining Spaceship</w:t>
      </w:r>
      <w:r>
        <w:t xml:space="preserve">. Springer.</w:t>
      </w:r>
    </w:p>
    <w:p>
      <w:pPr>
        <w:spacing w:before="0" w:after="0"/>
      </w:pPr>
    </w:p>
    <w:p>
      <w:pPr>
        <w:jc w:val="both"/>
        <w:spacing w:before="0" w:after="120" w:line="360" w:lineRule="auto"/>
      </w:pPr>
      <w:r>
        <w:t xml:space="preserve">[6] Menges, A., &amp; Reichert, S. (2015). Performative wood: Physically programming the responsive architecture of the HygroScope and HygroSkin projects. </w:t>
      </w:r>
      <w:r>
        <w:rPr>
          <w:i/>
          <w:iCs/>
        </w:rPr>
        <w:t xml:space="preserve">Architectural Design</w:t>
      </w:r>
      <w:r>
        <w:t xml:space="preserve">, 85(5), 66–73.</w:t>
      </w:r>
    </w:p>
    <w:p>
      <w:pPr>
        <w:spacing w:before="0" w:after="0"/>
      </w:pPr>
    </w:p>
    <w:p>
      <w:pPr>
        <w:jc w:val="both"/>
        <w:spacing w:before="0" w:after="120" w:line="360" w:lineRule="auto"/>
      </w:pPr>
      <w:r>
        <w:t xml:space="preserve">[7] Berkes, F. (2018). </w:t>
      </w:r>
      <w:r>
        <w:rPr>
          <w:i/>
          <w:iCs/>
        </w:rPr>
        <w:t xml:space="preserve">Sacred Ecology</w:t>
      </w:r>
      <w:r>
        <w:t xml:space="preserve"> (4th ed.). Routledge.</w:t>
      </w:r>
    </w:p>
    <w:p>
      <w:pPr>
        <w:spacing w:before="0" w:after="0"/>
      </w:pPr>
    </w:p>
    <w:p>
      <w:pPr>
        <w:jc w:val="both"/>
        <w:spacing w:before="0" w:after="120" w:line="360" w:lineRule="auto"/>
      </w:pPr>
      <w:r>
        <w:t xml:space="preserve">[8] Mang, P., &amp; Reed, B. (2012). Designing from place: A regenerative framework and methodology. </w:t>
      </w:r>
      <w:r>
        <w:rPr>
          <w:i/>
          <w:iCs/>
        </w:rPr>
        <w:t xml:space="preserve">Building Research &amp; Information</w:t>
      </w:r>
      <w:r>
        <w:t xml:space="preserve">, 40(1), 23–38.</w:t>
      </w:r>
    </w:p>
    <w:p>
      <w:pPr>
        <w:spacing w:before="0" w:after="0"/>
      </w:pPr>
    </w:p>
    <w:p>
      <w:pPr>
        <w:jc w:val="both"/>
        <w:spacing w:before="0" w:after="120" w:line="360" w:lineRule="auto"/>
      </w:pPr>
      <w:r>
        <w:t xml:space="preserve">[9] Cruz, M., &amp; Pike, S. (2020). </w:t>
      </w:r>
      <w:r>
        <w:rPr>
          <w:i/>
          <w:iCs/>
        </w:rPr>
        <w:t xml:space="preserve">Neoplasmatic Design: Design Experimentation with Bio-Architectural Composites</w:t>
      </w:r>
      <w:r>
        <w:t xml:space="preserve">. UCL Press.</w:t>
      </w:r>
    </w:p>
    <w:p>
      <w:pPr>
        <w:spacing w:before="0" w:after="0"/>
      </w:pPr>
    </w:p>
    <w:p>
      <w:pPr>
        <w:jc w:val="both"/>
        <w:spacing w:before="0" w:after="120" w:line="360" w:lineRule="auto"/>
      </w:pPr>
      <w:r>
        <w:t xml:space="preserve">[10] Kibert, C. J. (2016). </w:t>
      </w:r>
      <w:r>
        <w:rPr>
          <w:i/>
          <w:iCs/>
        </w:rPr>
        <w:t xml:space="preserve">Sustainable Construction: Green Building Design and Delivery</w:t>
      </w:r>
      <w:r>
        <w:t xml:space="preserve"> (4th ed.). John Wiley &amp; Sons.</w:t>
      </w:r>
    </w:p>
    <w:p>
      <w:pPr>
        <w:spacing w:before="0" w:after="0"/>
      </w:pPr>
    </w:p>
    <w:p>
      <w:pPr>
        <w:jc w:val="both"/>
        <w:spacing w:before="0" w:after="120" w:line="360" w:lineRule="auto"/>
      </w:pPr>
      <w:r>
        <w:t xml:space="preserve">[11] Cole, R. J. (2012). Regenerative design and development: Current theory and practice. </w:t>
      </w:r>
      <w:r>
        <w:rPr>
          <w:i/>
          <w:iCs/>
        </w:rPr>
        <w:t xml:space="preserve">Building Research &amp; Information</w:t>
      </w:r>
      <w:r>
        <w:t xml:space="preserve">, 40(1), 1–6.</w:t>
      </w:r>
    </w:p>
    <w:p>
      <w:pPr>
        <w:spacing w:before="0" w:after="0"/>
      </w:pPr>
    </w:p>
    <w:p>
      <w:pPr>
        <w:jc w:val="both"/>
        <w:spacing w:before="0" w:after="120" w:line="360" w:lineRule="auto"/>
      </w:pPr>
      <w:r>
        <w:t xml:space="preserve">[12] McDonough, W., &amp; Braungart, M. (2002). </w:t>
      </w:r>
      <w:r>
        <w:rPr>
          <w:i/>
          <w:iCs/>
        </w:rPr>
        <w:t xml:space="preserve">Cradle to Cradle: Remaking the Way We Make Things</w:t>
      </w:r>
      <w:r>
        <w:t xml:space="preserve">. North Point Press.</w:t>
      </w:r>
    </w:p>
    <w:p>
      <w:pPr>
        <w:spacing w:before="0" w:after="0"/>
      </w:pPr>
    </w:p>
    <w:p>
      <w:pPr>
        <w:jc w:val="both"/>
        <w:spacing w:before="0" w:after="120" w:line="360" w:lineRule="auto"/>
      </w:pPr>
      <w:r>
        <w:t xml:space="preserve">[13] Lyle, J. T. (1994). </w:t>
      </w:r>
      <w:r>
        <w:rPr>
          <w:i/>
          <w:iCs/>
        </w:rPr>
        <w:t xml:space="preserve">Regenerative Design for Sustainable Development</w:t>
      </w:r>
      <w:r>
        <w:t xml:space="preserve">. John Wiley &amp; Sons.</w:t>
      </w:r>
    </w:p>
    <w:p>
      <w:pPr>
        <w:spacing w:before="0" w:after="0"/>
      </w:pPr>
    </w:p>
    <w:p>
      <w:pPr>
        <w:jc w:val="both"/>
        <w:spacing w:before="0" w:after="120" w:line="360" w:lineRule="auto"/>
      </w:pPr>
      <w:r>
        <w:t xml:space="preserve">[14] du Plessis, C. (2012). Towards a regenerative paradigm for the built environment. </w:t>
      </w:r>
      <w:r>
        <w:rPr>
          <w:i/>
          <w:iCs/>
        </w:rPr>
        <w:t xml:space="preserve">Building Research &amp; Information</w:t>
      </w:r>
      <w:r>
        <w:t xml:space="preserve">, 40(1), 7–22.</w:t>
      </w:r>
    </w:p>
    <w:p>
      <w:pPr>
        <w:spacing w:before="0" w:after="0"/>
      </w:pPr>
    </w:p>
    <w:p>
      <w:pPr>
        <w:jc w:val="both"/>
        <w:spacing w:before="0" w:after="120" w:line="360" w:lineRule="auto"/>
      </w:pPr>
      <w:r>
        <w:t xml:space="preserve">[15] Bellato, L., Frantzeskaki, N., &amp; Brearley, F. Q. (2022). Regenerative tourism: A conceptual framework leveraging theory and practice. </w:t>
      </w:r>
      <w:r>
        <w:rPr>
          <w:i/>
          <w:iCs/>
        </w:rPr>
        <w:t xml:space="preserve">Tourism Geographies</w:t>
      </w:r>
      <w:r>
        <w:t xml:space="preserve">, 24(6–7), 1026–1046.</w:t>
      </w:r>
    </w:p>
    <w:p>
      <w:pPr>
        <w:spacing w:before="0" w:after="0"/>
      </w:pPr>
    </w:p>
    <w:p>
      <w:pPr>
        <w:jc w:val="both"/>
        <w:spacing w:before="0" w:after="120" w:line="360" w:lineRule="auto"/>
      </w:pPr>
      <w:r>
        <w:t xml:space="preserve">[16] Craft, W., Ding, L., Prasad, D., Partridge, L., &amp; Else, D. (2017). Development of a regenerative design model for building retrofits. </w:t>
      </w:r>
      <w:r>
        <w:rPr>
          <w:i/>
          <w:iCs/>
        </w:rPr>
        <w:t xml:space="preserve">Procedia Engineering</w:t>
      </w:r>
      <w:r>
        <w:t xml:space="preserve">, 180, 658–668.</w:t>
      </w:r>
    </w:p>
    <w:p>
      <w:pPr>
        <w:spacing w:before="0" w:after="0"/>
      </w:pPr>
    </w:p>
    <w:p>
      <w:pPr>
        <w:jc w:val="both"/>
        <w:spacing w:before="0" w:after="120" w:line="360" w:lineRule="auto"/>
      </w:pPr>
      <w:r>
        <w:t xml:space="preserve">[17] Frazer, J. (1995). </w:t>
      </w:r>
      <w:r>
        <w:rPr>
          <w:i/>
          <w:iCs/>
        </w:rPr>
        <w:t xml:space="preserve">An Evolutionary Architecture</w:t>
      </w:r>
      <w:r>
        <w:t xml:space="preserve">. Architectural Association Publications.</w:t>
      </w:r>
    </w:p>
    <w:p>
      <w:pPr>
        <w:spacing w:before="0" w:after="0"/>
      </w:pPr>
    </w:p>
    <w:p>
      <w:pPr>
        <w:jc w:val="both"/>
        <w:spacing w:before="0" w:after="120" w:line="360" w:lineRule="auto"/>
      </w:pPr>
      <w:r>
        <w:t xml:space="preserve">[18] Steadman, P. (2008). </w:t>
      </w:r>
      <w:r>
        <w:rPr>
          <w:i/>
          <w:iCs/>
        </w:rPr>
        <w:t xml:space="preserve">The Evolution of Designs: Biological Analogy in Architecture and the Applied Arts</w:t>
      </w:r>
      <w:r>
        <w:t xml:space="preserve"> (Rev. ed.). Routledge.</w:t>
      </w:r>
    </w:p>
    <w:p>
      <w:pPr>
        <w:spacing w:before="0" w:after="0"/>
      </w:pPr>
    </w:p>
    <w:p>
      <w:pPr>
        <w:jc w:val="both"/>
        <w:spacing w:before="0" w:after="120" w:line="360" w:lineRule="auto"/>
      </w:pPr>
      <w:r>
        <w:t xml:space="preserve">[19] Haneef, M., Ceseracciu, L., Canale, C., Bayer, I. S., Heredia-Guerrero, J. A., &amp; Athanassiou, A. (2017). Advanced materials from fungal mycelium: Fabrication and tuning of physical properties. </w:t>
      </w:r>
      <w:r>
        <w:rPr>
          <w:i/>
          <w:iCs/>
        </w:rPr>
        <w:t xml:space="preserve">Scientific Reports</w:t>
      </w:r>
      <w:r>
        <w:t xml:space="preserve">, 7, 41292.</w:t>
      </w:r>
    </w:p>
    <w:p>
      <w:pPr>
        <w:spacing w:before="0" w:after="0"/>
      </w:pPr>
    </w:p>
    <w:p>
      <w:pPr>
        <w:jc w:val="both"/>
        <w:spacing w:before="0" w:after="120" w:line="360" w:lineRule="auto"/>
      </w:pPr>
      <w:r>
        <w:t xml:space="preserve">[20] Jones, M., Mautner, A., Luenco, S., Bismarck, A., &amp; John, S. (2020). Engineered mycelium composite construction materials from fungal biorefineries: A critical review. </w:t>
      </w:r>
      <w:r>
        <w:rPr>
          <w:i/>
          <w:iCs/>
        </w:rPr>
        <w:t xml:space="preserve">Materials &amp; Design</w:t>
      </w:r>
      <w:r>
        <w:t xml:space="preserve">, 187, 108397.</w:t>
      </w:r>
    </w:p>
    <w:p>
      <w:pPr>
        <w:spacing w:before="0" w:after="0"/>
      </w:pPr>
    </w:p>
    <w:p>
      <w:pPr>
        <w:jc w:val="both"/>
        <w:spacing w:before="0" w:after="120" w:line="360" w:lineRule="auto"/>
      </w:pPr>
      <w:r>
        <w:t xml:space="preserve">[21] Elsacker, E., Vandelook, S., Van Wylick, A., Ruytinx, J., De Laet, L., &amp; Peeters, E. (2021). A comprehensive framework for the production of mycelium-based lignocellulosic composites. </w:t>
      </w:r>
      <w:r>
        <w:rPr>
          <w:i/>
          <w:iCs/>
        </w:rPr>
        <w:t xml:space="preserve">Science of the Total Environment</w:t>
      </w:r>
      <w:r>
        <w:t xml:space="preserve">, 725, 138431.</w:t>
      </w:r>
    </w:p>
    <w:p>
      <w:pPr>
        <w:spacing w:before="0" w:after="0"/>
      </w:pPr>
    </w:p>
    <w:p>
      <w:pPr>
        <w:jc w:val="both"/>
        <w:spacing w:before="0" w:after="120" w:line="360" w:lineRule="auto"/>
      </w:pPr>
      <w:r>
        <w:t xml:space="preserve">[22] Wilkinson, S., Stoller, P., Ralph, P., Hamdorf, B., Franber, L. N., &amp; Morel, A. (2017). Exploring the feasibility of algae building technology in NSW. </w:t>
      </w:r>
      <w:r>
        <w:rPr>
          <w:i/>
          <w:iCs/>
        </w:rPr>
        <w:t xml:space="preserve">Procedia Engineering</w:t>
      </w:r>
      <w:r>
        <w:t xml:space="preserve">, 180, 1121–1130.</w:t>
      </w:r>
    </w:p>
    <w:p>
      <w:pPr>
        <w:spacing w:before="0" w:after="0"/>
      </w:pPr>
    </w:p>
    <w:p>
      <w:pPr>
        <w:jc w:val="both"/>
        <w:spacing w:before="0" w:after="120" w:line="360" w:lineRule="auto"/>
      </w:pPr>
      <w:r>
        <w:t xml:space="preserve">[23] Cervera Sardá, R., &amp; Vicente, J. (2020). Case study on the optimization of algae photobioreactor facades for building energy performance. </w:t>
      </w:r>
      <w:r>
        <w:rPr>
          <w:i/>
          <w:iCs/>
        </w:rPr>
        <w:t xml:space="preserve">Journal of Facade Design and Engineering</w:t>
      </w:r>
      <w:r>
        <w:t xml:space="preserve">, 8(1), 1–22.</w:t>
      </w:r>
    </w:p>
    <w:p>
      <w:pPr>
        <w:spacing w:before="0" w:after="0"/>
      </w:pPr>
    </w:p>
    <w:p>
      <w:pPr>
        <w:jc w:val="both"/>
        <w:spacing w:before="0" w:after="120" w:line="360" w:lineRule="auto"/>
      </w:pPr>
      <w:r>
        <w:t xml:space="preserve">[24] Ludwig, F., Middleton, W., Gallenmüller, F., Rogers, P., &amp; Speck, T. (2019). Living bridges using aerial roots of Ficus elastica—An interdisciplinary perspective. </w:t>
      </w:r>
      <w:r>
        <w:rPr>
          <w:i/>
          <w:iCs/>
        </w:rPr>
        <w:t xml:space="preserve">Scientific Reports</w:t>
      </w:r>
      <w:r>
        <w:t xml:space="preserve">, 9, 12226.</w:t>
      </w:r>
    </w:p>
    <w:p>
      <w:pPr>
        <w:spacing w:before="0" w:after="0"/>
      </w:pPr>
    </w:p>
    <w:p>
      <w:pPr>
        <w:jc w:val="both"/>
        <w:spacing w:before="0" w:after="120" w:line="360" w:lineRule="auto"/>
      </w:pPr>
      <w:r>
        <w:t xml:space="preserve">[25] Shea, K., Aish, R., &amp; Gourtovaia, M. (2005). Towards integrated performance-driven generative design tools. </w:t>
      </w:r>
      <w:r>
        <w:rPr>
          <w:i/>
          <w:iCs/>
        </w:rPr>
        <w:t xml:space="preserve">Automation in Construction</w:t>
      </w:r>
      <w:r>
        <w:t xml:space="preserve">, 14(2), 253–264.</w:t>
      </w:r>
    </w:p>
    <w:p>
      <w:pPr>
        <w:spacing w:before="0" w:after="0"/>
      </w:pPr>
    </w:p>
    <w:p>
      <w:pPr>
        <w:jc w:val="both"/>
        <w:spacing w:before="0" w:after="120" w:line="360" w:lineRule="auto"/>
      </w:pPr>
      <w:r>
        <w:t xml:space="preserve">[26] Oxman, N. (2010). </w:t>
      </w:r>
      <w:r>
        <w:rPr>
          <w:i/>
          <w:iCs/>
        </w:rPr>
        <w:t xml:space="preserve">Material-Based Design Computation</w:t>
      </w:r>
      <w:r>
        <w:t xml:space="preserve"> [Doctoral dissertation, Massachusetts Institute of Technology]. MIT Libraries.</w:t>
      </w:r>
    </w:p>
    <w:p>
      <w:pPr>
        <w:spacing w:before="0" w:after="0"/>
      </w:pPr>
    </w:p>
    <w:p>
      <w:pPr>
        <w:jc w:val="both"/>
        <w:spacing w:before="0" w:after="120" w:line="360" w:lineRule="auto"/>
      </w:pPr>
      <w:r>
        <w:t xml:space="preserve">[27] Colding, J., Giusti, M., Haga, A., Wallhagen, M., &amp; Barthel, S. (2020). Enabling relationships with nature in cities. </w:t>
      </w:r>
      <w:r>
        <w:rPr>
          <w:i/>
          <w:iCs/>
        </w:rPr>
        <w:t xml:space="preserve">Sustainability</w:t>
      </w:r>
      <w:r>
        <w:t xml:space="preserve">, 12(11), 4394.</w:t>
      </w:r>
    </w:p>
    <w:p>
      <w:pPr>
        <w:spacing w:before="0" w:after="0"/>
      </w:pPr>
    </w:p>
    <w:p>
      <w:pPr>
        <w:jc w:val="both"/>
        <w:spacing w:before="0" w:after="120" w:line="360" w:lineRule="auto"/>
      </w:pPr>
      <w:r>
        <w:t xml:space="preserve">[28] Grimm, V., &amp; Railsback, S. F. (2005). </w:t>
      </w:r>
      <w:r>
        <w:rPr>
          <w:i/>
          <w:iCs/>
        </w:rPr>
        <w:t xml:space="preserve">Individual-Based Modeling and Ecology</w:t>
      </w:r>
      <w:r>
        <w:t xml:space="preserve">. Princeton University Press.</w:t>
      </w:r>
    </w:p>
    <w:p>
      <w:pPr>
        <w:spacing w:before="0" w:after="0"/>
      </w:pPr>
    </w:p>
    <w:p>
      <w:pPr>
        <w:jc w:val="both"/>
        <w:spacing w:before="0" w:after="120" w:line="360" w:lineRule="auto"/>
      </w:pPr>
      <w:r>
        <w:t xml:space="preserve">[29] Apfelbeck, B., Snep, R. P., Hauck, T. E., Ferguson, J., Holy, M., Jakoby, C., MacIvor, J. S., &amp; Weisser, W. W. (2020). Designing wildlife-inclusive cities that support human-animal co-existence. </w:t>
      </w:r>
      <w:r>
        <w:rPr>
          <w:i/>
          <w:iCs/>
        </w:rPr>
        <w:t xml:space="preserve">Landscape and Urban Planning</w:t>
      </w:r>
      <w:r>
        <w:t xml:space="preserve">, 200, 103817.</w:t>
      </w:r>
    </w:p>
    <w:p>
      <w:pPr>
        <w:spacing w:before="0" w:after="0"/>
      </w:pPr>
    </w:p>
    <w:p>
      <w:pPr>
        <w:jc w:val="both"/>
        <w:spacing w:before="0" w:after="120" w:line="360" w:lineRule="auto"/>
      </w:pPr>
      <w:r>
        <w:t xml:space="preserve">[30] Reichstein, M., Camps-Valls, G., Stevens, B., Jung, M., Denzler, J., Carvalhais, N., &amp; Prabhat. (2019). Deep learning and process understanding for data-driven Earth system science. </w:t>
      </w:r>
      <w:r>
        <w:rPr>
          <w:i/>
          <w:iCs/>
        </w:rPr>
        <w:t xml:space="preserve">Nature</w:t>
      </w:r>
      <w:r>
        <w:t xml:space="preserve">, 566(7743), 195–204.</w:t>
      </w:r>
    </w:p>
    <w:p>
      <w:pPr>
        <w:spacing w:before="0" w:after="0"/>
      </w:pPr>
    </w:p>
    <w:p>
      <w:pPr>
        <w:jc w:val="both"/>
        <w:spacing w:before="0" w:after="120" w:line="360" w:lineRule="auto"/>
      </w:pPr>
      <w:r>
        <w:t xml:space="preserve">[31] Kimmerer, R. W. (2013). </w:t>
      </w:r>
      <w:r>
        <w:rPr>
          <w:i/>
          <w:iCs/>
        </w:rPr>
        <w:t xml:space="preserve">Braiding Sweetgrass: Indigenous Wisdom, Scientific Knowledge, and the Teachings of Plants</w:t>
      </w:r>
      <w:r>
        <w:t xml:space="preserve">. Milkweed Editions.</w:t>
      </w:r>
    </w:p>
    <w:p>
      <w:pPr>
        <w:spacing w:before="0" w:after="0"/>
      </w:pPr>
    </w:p>
    <w:p>
      <w:pPr>
        <w:jc w:val="both"/>
        <w:spacing w:before="0" w:after="120" w:line="360" w:lineRule="auto"/>
      </w:pPr>
      <w:r>
        <w:t xml:space="preserve">[32] Tengö, M., Brondizio, E. S., Elmqvist, T., Malmer, P., &amp; Spierenburg, M. (2014). Connecting diverse knowledge systems for enhanced ecosystem governance: The multiple evidence base approach. </w:t>
      </w:r>
      <w:r>
        <w:rPr>
          <w:i/>
          <w:iCs/>
        </w:rPr>
        <w:t xml:space="preserve">Ambio</w:t>
      </w:r>
      <w:r>
        <w:t xml:space="preserve">, 43(5), 579–591.</w:t>
      </w:r>
    </w:p>
    <w:p>
      <w:pPr>
        <w:spacing w:before="0" w:after="0"/>
      </w:pPr>
    </w:p>
    <w:p>
      <w:pPr>
        <w:jc w:val="both"/>
        <w:spacing w:before="0" w:after="120" w:line="360" w:lineRule="auto"/>
      </w:pPr>
      <w:r>
        <w:t xml:space="preserve">[33] Davidson-Hunt, I. J., Turner, K. L., Mead, A. T. P., Cabrera-Lopez, J., Bolton, R., Idrobo, C. J., Miretski, I., Morrison, A., &amp; Robson, J. P. (2012). Biocultural design: A new conceptual framework for sustainable development in rural indigenous and local communities. </w:t>
      </w:r>
      <w:r>
        <w:rPr>
          <w:i/>
          <w:iCs/>
        </w:rPr>
        <w:t xml:space="preserve">SAPIENS</w:t>
      </w:r>
      <w:r>
        <w:t xml:space="preserve">, 5(2), 33–45.</w:t>
      </w:r>
    </w:p>
    <w:p>
      <w:pPr>
        <w:spacing w:before="0" w:after="0"/>
      </w:pPr>
    </w:p>
    <w:p>
      <w:pPr>
        <w:jc w:val="both"/>
        <w:spacing w:before="0" w:after="120" w:line="360" w:lineRule="auto"/>
      </w:pPr>
      <w:r>
        <w:t xml:space="preserve">[34] Tlostanova, M. (2017). On decolonizing design. </w:t>
      </w:r>
      <w:r>
        <w:rPr>
          <w:i/>
          <w:iCs/>
        </w:rPr>
        <w:t xml:space="preserve">Design Philosophy Papers</w:t>
      </w:r>
      <w:r>
        <w:t xml:space="preserve">, 15(1), 51–61.</w:t>
      </w:r>
    </w:p>
    <w:p>
      <w:pPr>
        <w:spacing w:before="0" w:after="0"/>
      </w:pPr>
    </w:p>
    <w:p>
      <w:pPr>
        <w:jc w:val="both"/>
        <w:spacing w:before="0" w:after="120" w:line="360" w:lineRule="auto"/>
      </w:pPr>
      <w:r>
        <w:t xml:space="preserve">[35] Creswell, J. W., &amp; Plano Clark, V. L. (2018). </w:t>
      </w:r>
      <w:r>
        <w:rPr>
          <w:i/>
          <w:iCs/>
        </w:rPr>
        <w:t xml:space="preserve">Designing and Conducting Mixed Methods Research</w:t>
      </w:r>
      <w:r>
        <w:t xml:space="preserve"> (3rd ed.). SAGE.</w:t>
      </w:r>
    </w:p>
    <w:p>
      <w:pPr>
        <w:spacing w:before="0" w:after="0"/>
      </w:pPr>
    </w:p>
    <w:p>
      <w:pPr>
        <w:jc w:val="both"/>
        <w:spacing w:before="0" w:after="120" w:line="360" w:lineRule="auto"/>
      </w:pPr>
      <w:r>
        <w:t xml:space="preserve">[36] Dikec, J., Olivier, A., Bobée, C., D'Angelo, Y., Janel, R., Brunet, A. B., Douady, S., &amp; Brun, C. (2021). Hyphal network whole field imaging allows for accurate estimation of anastomosis rates and hyphal growth parameters. </w:t>
      </w:r>
      <w:r>
        <w:rPr>
          <w:i/>
          <w:iCs/>
        </w:rPr>
        <w:t xml:space="preserve">Scientific Reports</w:t>
      </w:r>
      <w:r>
        <w:t xml:space="preserve">, 10, 3131.</w:t>
      </w:r>
    </w:p>
    <w:p>
      <w:pPr>
        <w:spacing w:before="0" w:after="0"/>
      </w:pPr>
    </w:p>
    <w:p>
      <w:pPr>
        <w:jc w:val="both"/>
        <w:spacing w:before="0" w:after="120" w:line="360" w:lineRule="auto"/>
      </w:pPr>
      <w:r>
        <w:t xml:space="preserve">[37] McRae, B. H., Dickson, B. G., Keitt, T. H., &amp; Shah, V. B. (2008). Using circuit theory to model connectivity in ecology, evolution, and conservation. </w:t>
      </w:r>
      <w:r>
        <w:rPr>
          <w:i/>
          <w:iCs/>
        </w:rPr>
        <w:t xml:space="preserve">Ecology</w:t>
      </w:r>
      <w:r>
        <w:t xml:space="preserve">, 89(10), 2712–2724.</w:t>
      </w:r>
    </w:p>
    <w:p>
      <w:pPr>
        <w:spacing w:before="0" w:after="0"/>
      </w:pPr>
    </w:p>
    <w:p>
      <w:pPr>
        <w:jc w:val="both"/>
        <w:spacing w:before="0" w:after="120" w:line="360" w:lineRule="auto"/>
      </w:pPr>
      <w:r>
        <w:t xml:space="preserve">[38] Yin, R. K. (2018). </w:t>
      </w:r>
      <w:r>
        <w:rPr>
          <w:i/>
          <w:iCs/>
        </w:rPr>
        <w:t xml:space="preserve">Case Study Research and Applications: Design and Methods</w:t>
      </w:r>
      <w:r>
        <w:t xml:space="preserve"> (6th ed.). SAGE.</w:t>
      </w:r>
    </w:p>
    <w:p>
      <w:pPr>
        <w:spacing w:before="0" w:after="0"/>
      </w:pPr>
    </w:p>
    <w:p>
      <w:pPr>
        <w:jc w:val="both"/>
        <w:spacing w:before="0" w:after="120" w:line="360" w:lineRule="auto"/>
      </w:pPr>
      <w:r>
        <w:t xml:space="preserve">[39] Haines-Young, R., &amp; Potschin, M. B. (2018). </w:t>
      </w:r>
      <w:r>
        <w:rPr>
          <w:i/>
          <w:iCs/>
        </w:rPr>
        <w:t xml:space="preserve">Common International Classification of Ecosystem Services (CICES) V5.1: Guidance on the Application of the Revised Structure</w:t>
      </w:r>
      <w:r>
        <w:t xml:space="preserve">. European Environment Agency.</w:t>
      </w:r>
    </w:p>
    <w:p>
      <w:pPr>
        <w:spacing w:before="0" w:after="0"/>
      </w:pPr>
    </w:p>
    <w:p>
      <w:pPr>
        <w:jc w:val="both"/>
        <w:spacing w:before="0" w:after="120" w:line="360" w:lineRule="auto"/>
      </w:pPr>
      <w:r>
        <w:t xml:space="preserve">[40] de Groot, R., Brander, L., van der Ploeg, S., Costanza, R., Bernard, F., Braat, L., Christie, M., Crossman, N., Ghermandi, A., Hein, L., Hussain, S., Kumar, P., McVittie, A., Portela, R., Rodriguez, L. C., ten Brink, P., &amp; van Beukering, P. (2012). Global estimates of the value of ecosystems and their services in monetary units. </w:t>
      </w:r>
      <w:r>
        <w:rPr>
          <w:i/>
          <w:iCs/>
        </w:rPr>
        <w:t xml:space="preserve">Ecosystem Services</w:t>
      </w:r>
      <w:r>
        <w:t xml:space="preserve">, 1(1), 50–61.</w:t>
      </w:r>
    </w:p>
    <w:p>
      <w:pPr>
        <w:spacing w:before="0" w:after="0"/>
      </w:pPr>
    </w:p>
    <w:p>
      <w:pPr>
        <w:jc w:val="both"/>
        <w:spacing w:before="0" w:after="120" w:line="360" w:lineRule="auto"/>
      </w:pPr>
      <w:r>
        <w:t xml:space="preserve">[41] Moritz, C., Vii, J., Long, W., Tamelander, J., Thomassin, A., &amp; Planes, S. (2017). </w:t>
      </w:r>
      <w:r>
        <w:rPr>
          <w:i/>
          <w:iCs/>
        </w:rPr>
        <w:t xml:space="preserve">Status and Trends of Coral Reefs of the Pacific</w:t>
      </w:r>
      <w:r>
        <w:t xml:space="preserve">. Global Coral Reef Monitoring Network.</w:t>
      </w:r>
    </w:p>
    <w:p>
      <w:pPr>
        <w:spacing w:before="0" w:after="0"/>
      </w:pPr>
    </w:p>
    <w:p>
      <w:pPr>
        <w:jc w:val="both"/>
        <w:spacing w:before="0" w:after="120" w:line="360" w:lineRule="auto"/>
      </w:pPr>
      <w:r>
        <w:t xml:space="preserve">[42] Hao, M., Qiao, J., Qi, H., &amp; Liu, S. (2022). Microbially induced calcite precipitation for concrete protection—A review. </w:t>
      </w:r>
      <w:r>
        <w:rPr>
          <w:i/>
          <w:iCs/>
        </w:rPr>
        <w:t xml:space="preserve">Journal of Building Engineering</w:t>
      </w:r>
      <w:r>
        <w:t xml:space="preserve">, 56, 104731.</w:t>
      </w:r>
    </w:p>
    <w:p>
      <w:pPr>
        <w:spacing w:before="0" w:after="0"/>
      </w:pPr>
    </w:p>
    <w:p>
      <w:pPr>
        <w:jc w:val="both"/>
        <w:spacing w:before="0" w:after="120" w:line="360" w:lineRule="auto"/>
      </w:pPr>
      <w:r>
        <w:t xml:space="preserve">[43] Bird, R. B., Codding, B. F., Kauhanen, P. G., &amp; Bird, D. W. (2016). Aboriginal hunting buffers climate-driven fire-size variability in Australia's spinifex grasslands. </w:t>
      </w:r>
      <w:r>
        <w:rPr>
          <w:i/>
          <w:iCs/>
        </w:rPr>
        <w:t xml:space="preserve">Proceedings of the National Academy of Sciences</w:t>
      </w:r>
      <w:r>
        <w:t xml:space="preserve">, 113(38), 10208–10213.</w:t>
      </w:r>
    </w:p>
    <w:p>
      <w:pPr>
        <w:spacing w:before="0" w:after="0"/>
      </w:pPr>
    </w:p>
    <w:p>
      <w:pPr>
        <w:jc w:val="both"/>
        <w:spacing w:before="0" w:after="120" w:line="360" w:lineRule="auto"/>
      </w:pPr>
      <w:r>
        <w:t xml:space="preserve">[44] Nguyen, P. Q., Courchesne, N. M. D., Duraj-Thatte, A., Praveschotinunt, P., &amp; Joshi, N. S. (2018). Engineered living materials: Prospects and challenges for using biological systems to direct the assembly of smart materials. </w:t>
      </w:r>
      <w:r>
        <w:rPr>
          <w:i/>
          <w:iCs/>
        </w:rPr>
        <w:t xml:space="preserve">Advanced Materials</w:t>
      </w:r>
      <w:r>
        <w:t xml:space="preserve">, 30(19), 1704847.</w:t>
      </w:r>
    </w:p>
    <w:p>
      <w:pPr>
        <w:spacing w:before="0" w:after="0"/>
      </w:pPr>
    </w:p>
    <w:p>
      <w:pPr>
        <w:jc w:val="both"/>
        <w:spacing w:before="0" w:after="120" w:line="360" w:lineRule="auto"/>
      </w:pPr>
      <w:r>
        <w:t xml:space="preserve">[45] Gilbert, C., &amp; Ellis, T. (2019). Biological engineered living materials: Growing functional materials with genetically programmable properties. </w:t>
      </w:r>
      <w:r>
        <w:rPr>
          <w:i/>
          <w:iCs/>
        </w:rPr>
        <w:t xml:space="preserve">ACS Synthetic Biology</w:t>
      </w:r>
      <w:r>
        <w:t xml:space="preserve">, 8(1), 1–15.</w:t>
      </w:r>
    </w:p>
    <w:p>
      <w:pPr>
        <w:spacing w:before="0" w:after="0"/>
      </w:pPr>
    </w:p>
    <w:p>
      <w:pPr>
        <w:jc w:val="both"/>
        <w:spacing w:before="0" w:after="120" w:line="360" w:lineRule="auto"/>
      </w:pPr>
      <w:r>
        <w:t xml:space="preserve">[46] Wise, R. M., Fazey, I., Stafford Smith, M., Park, S. E., Eakin, H. C., Archer Van Garderen, E. R. M., &amp; Campbell, B. (2014). Reconceptualising adaptation to climate change as part of pathways of change and response. </w:t>
      </w:r>
      <w:r>
        <w:rPr>
          <w:i/>
          <w:iCs/>
        </w:rPr>
        <w:t xml:space="preserve">Global Environmental Change</w:t>
      </w:r>
      <w:r>
        <w:t xml:space="preserve">, 28, 325–336.</w:t>
      </w:r>
    </w:p>
    <w:p>
      <w:pPr>
        <w:spacing w:before="0" w:after="0"/>
      </w:pPr>
    </w:p>
    <w:sectPr>
      <w:pgSz w:w="12240" w:h="15840"/>
      <w:pgMar w:top="1440" w:right="1440" w:bottom="1440" w:left="1440" w:header="720" w:footer="720"/>
      <w:cols w:space="72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docDefaults>
  <w:style w:type="paragraph" w:default="1" w:styleId="Normal">
    <w:name w:val="Normal"/>
    <w:pPr>
      <w:spacing w:after="120" w:line="480" w:lineRule="auto"/>
      <w:jc w:val="both"/>
    </w:pPr>
    <w:rPr>
      <w:sz w:val="24"/>
      <w:szCs w:val="24"/>
      <w:rFonts w:ascii="Times New Roman" w:hAnsi="Times New Roman" w:cs="Times New Roman"/>
    </w:rPr>
  </w:style>
  <w:style w:type="paragraph" w:styleId="Title">
    <w:name w:val="Title"/>
    <w:basedOn w:val="Normal"/>
    <w:pPr>
      <w:spacing w:before="240" w:after="240"/>
      <w:jc w:val="center"/>
    </w:pPr>
    <w:rPr>
      <w:b/>
      <w:bCs/>
      <w:sz w:val="28"/>
      <w:szCs w:val="28"/>
    </w:rPr>
  </w:style>
  <w:style w:type="paragraph" w:styleId="Heading1">
    <w:name w:val="heading 1"/>
    <w:basedOn w:val="Normal"/>
    <w:pPr>
      <w:spacing w:before="360" w:after="120"/>
      <w:keepNext/>
    </w:pPr>
    <w:rPr>
      <w:b/>
      <w:bCs/>
      <w:sz w:val="26"/>
      <w:szCs w:val="26"/>
    </w:rPr>
  </w:style>
  <w:style w:type="paragraph" w:styleId="Heading2">
    <w:name w:val="heading 2"/>
    <w:basedOn w:val="Normal"/>
    <w:pPr>
      <w:spacing w:before="240" w:after="120"/>
      <w:keepNext/>
    </w:pPr>
    <w:rPr>
      <w:b/>
      <w:bCs/>
      <w:sz w:val="24"/>
      <w:szCs w:val="24"/>
    </w:rPr>
  </w:style>
  <w:style w:type="paragraph" w:styleId="Heading3">
    <w:name w:val="heading 3"/>
    <w:basedOn w:val="Normal"/>
    <w:pPr>
      <w:spacing w:before="180" w:after="60"/>
      <w:keepNext/>
    </w:pPr>
    <w:rPr>
      <w:b/>
      <w:bCs/>
      <w:i/>
      <w:iCs/>
      <w:sz w:val="24"/>
      <w:szCs w:val="24"/>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