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spacing w:before="240" w:after="240" w:line="360" w:lineRule="auto"/>
      </w:pPr>
      <w:r>
        <w:rPr>
          <w:b/>
          <w:bCs/>
          <w:sz w:val="32"/>
          <w:szCs w:val="32"/>
        </w:rPr>
        <w:t xml:space="preserve">Differential Equations and Dynamical Systems in Biology</w:t>
      </w:r>
    </w:p>
    <w:p>
      <w:pPr>
        <w:spacing w:before="0" w:after="0"/>
      </w:pPr>
    </w:p>
    <w:p>
      <w:pPr>
        <w:jc w:val="center"/>
        <w:spacing w:before="240" w:after="120" w:line="360" w:lineRule="auto"/>
      </w:pPr>
      <w:r>
        <w:rPr>
          <w:b/>
          <w:bCs/>
          <w:sz w:val="22"/>
          <w:szCs w:val="22"/>
        </w:rPr>
        <w:t xml:space="preserve">Book: Biomathematics: A New Horizon of Science and Engineering</w:t>
      </w:r>
    </w:p>
    <w:p>
      <w:pPr>
        <w:spacing w:before="0" w:after="0"/>
      </w:pPr>
    </w:p>
    <w:p>
      <w:pPr>
        <w:pBdr>
          <w:bottom w:val="single" w:sz="12" w:space="1" w:color="auto"/>
        </w:pBdr>
        <w:spacing w:before="240" w:after="240"/>
      </w:pPr>
    </w:p>
    <w:p>
      <w:pPr>
        <w:spacing w:before="0" w:after="0"/>
      </w:pPr>
    </w:p>
    <w:p>
      <w:pPr>
        <w:pStyle w:val="Heading1"/>
        <w:spacing w:before="360" w:after="120" w:line="360" w:lineRule="auto"/>
      </w:pPr>
      <w:r>
        <w:rPr>
          <w:b/>
          <w:bCs/>
          <w:sz w:val="28"/>
          <w:szCs w:val="28"/>
        </w:rPr>
        <w:t xml:space="preserve">Abstract</w:t>
      </w:r>
    </w:p>
    <w:p>
      <w:pPr>
        <w:spacing w:before="0" w:after="0"/>
      </w:pPr>
    </w:p>
    <w:p>
      <w:pPr>
        <w:jc w:val="both"/>
        <w:spacing w:before="0" w:after="120" w:line="360" w:lineRule="auto"/>
      </w:pPr>
      <w:r>
        <w:t xml:space="preserve">The application of differential equations and dynamical systems theory to biological sciences represents one of the most productive intersections of mathematics and the life sciences [1, 2]. This chapter provides a comprehensive exploration of how mathematical frameworks built upon ordinary and partial differential equations, stability analysis, bifurcation theory, and computational simulation have transformed our understanding of biological phenomena [3, 4]. From population dynamics and epidemiological modeling to cellular signaling and pattern formation, we examine both foundational principles and cutting-edge applications that define modern biomathematics [5]. The chapter concludes with perspectives on emerging computational tools, multiscale modeling challenges, and the future trajectory of mathematical biology in the era of data-driven science and personalized medicine [6, 7].</w:t>
      </w:r>
    </w:p>
    <w:p>
      <w:pPr>
        <w:spacing w:before="0" w:after="0"/>
      </w:pPr>
    </w:p>
    <w:p>
      <w:pPr>
        <w:pBdr>
          <w:bottom w:val="single" w:sz="12" w:space="1" w:color="auto"/>
        </w:pBdr>
        <w:spacing w:before="240" w:after="240"/>
      </w:pPr>
    </w:p>
    <w:p>
      <w:pPr>
        <w:spacing w:before="0" w:after="0"/>
      </w:pPr>
    </w:p>
    <w:p>
      <w:pPr>
        <w:pStyle w:val="Heading1"/>
        <w:spacing w:before="360" w:after="120" w:line="360" w:lineRule="auto"/>
      </w:pPr>
      <w:r>
        <w:rPr>
          <w:b/>
          <w:bCs/>
          <w:sz w:val="28"/>
          <w:szCs w:val="28"/>
        </w:rPr>
        <w:t xml:space="preserve">Section 1: Foundations of Mathematical Biology</w:t>
      </w:r>
    </w:p>
    <w:p>
      <w:pPr>
        <w:spacing w:before="0" w:after="0"/>
      </w:pPr>
    </w:p>
    <w:p>
      <w:pPr>
        <w:pStyle w:val="Heading2"/>
        <w:spacing w:before="240" w:after="120" w:line="360" w:lineRule="auto"/>
      </w:pPr>
      <w:r>
        <w:rPr>
          <w:b/>
          <w:bCs/>
        </w:rPr>
        <w:t xml:space="preserve">1.1 Introduction to Biomathematics and Its Scope</w:t>
      </w:r>
    </w:p>
    <w:p>
      <w:pPr>
        <w:spacing w:before="0" w:after="0"/>
      </w:pPr>
    </w:p>
    <w:p>
      <w:pPr>
        <w:pStyle w:val="Heading3"/>
        <w:spacing w:before="180" w:after="60" w:line="360" w:lineRule="auto"/>
      </w:pPr>
      <w:r>
        <w:rPr>
          <w:b/>
          <w:bCs/>
          <w:i/>
          <w:iCs/>
        </w:rPr>
        <w:t xml:space="preserve">Role of Mathematics in Understanding Biological Systems</w:t>
      </w:r>
    </w:p>
    <w:p>
      <w:pPr>
        <w:spacing w:before="0" w:after="0"/>
      </w:pPr>
    </w:p>
    <w:p>
      <w:pPr>
        <w:jc w:val="both"/>
        <w:spacing w:before="0" w:after="120" w:line="360" w:lineRule="auto"/>
      </w:pPr>
      <w:r>
        <w:t xml:space="preserve">Biology, by its very nature, is a science of complexity [1]. Living systems operate across multiple spatial and temporal scales, from molecular interactions occurring in nanoseconds to evolutionary processes spanning millions of years [8]. Mathematics provides the universal language through which these diverse phenomena can be described, analyzed, and predicted with precision [2, 3]. The mathematical modeling of biological systems enables researchers to formalize hypotheses, identify governing principles, and make quantitative predictions that guide experimental investigation [9].</w:t>
      </w:r>
    </w:p>
    <w:p>
      <w:pPr>
        <w:spacing w:before="0" w:after="0"/>
      </w:pPr>
    </w:p>
    <w:p>
      <w:pPr>
        <w:jc w:val="both"/>
        <w:spacing w:before="0" w:after="120" w:line="360" w:lineRule="auto"/>
      </w:pPr>
      <w:r>
        <w:t xml:space="preserve">The relationship between mathematics and biology is not merely one of application but of mutual enrichment [10]. Biological problems have inspired entirely new branches of mathematics, while mathematical insights have revealed hidden structures and mechanisms within living systems [4]. Differential equations, in particular, serve as the primary mathematical tool for describing how biological quantities change continuously over time and space [11]. Whether tracking the growth of a bacterial colony, the spread of an infectious disease, or the propagation of electrical signals along nerve fibers, differential equations provide the formal framework that connects mechanism to observation [12].</w:t>
      </w:r>
    </w:p>
    <w:p>
      <w:pPr>
        <w:spacing w:before="0" w:after="0"/>
      </w:pPr>
    </w:p>
    <w:p>
      <w:pPr>
        <w:pStyle w:val="Heading3"/>
        <w:spacing w:before="180" w:after="60" w:line="360" w:lineRule="auto"/>
      </w:pPr>
      <w:r>
        <w:rPr>
          <w:b/>
          <w:bCs/>
          <w:i/>
          <w:iCs/>
        </w:rPr>
        <w:t xml:space="preserve">Historical Development and Interdisciplinary Significance</w:t>
      </w:r>
    </w:p>
    <w:p>
      <w:pPr>
        <w:spacing w:before="0" w:after="0"/>
      </w:pPr>
    </w:p>
    <w:p>
      <w:pPr>
        <w:jc w:val="both"/>
        <w:spacing w:before="0" w:after="120" w:line="360" w:lineRule="auto"/>
      </w:pPr>
      <w:r>
        <w:t xml:space="preserve">The roots of mathematical biology extend to the eighteenth century, when Daniel Bernoulli applied mathematical reasoning to analyze smallpox inoculation strategies in 1760 [13]. However, the field gained substantial momentum in the early twentieth century through the pioneering work of Alfred Lotka and Vito Volterra, who independently developed mathematical models of predator-prey interactions [14, 15]. Their systems of coupled ordinary differential equations demonstrated that simple mathematical rules could generate the complex oscillatory dynamics observed in natural ecosystems [16].</w:t>
      </w:r>
    </w:p>
    <w:p>
      <w:pPr>
        <w:spacing w:before="0" w:after="0"/>
      </w:pPr>
    </w:p>
    <w:p>
      <w:pPr>
        <w:jc w:val="both"/>
        <w:spacing w:before="0" w:after="120" w:line="360" w:lineRule="auto"/>
      </w:pPr>
      <w:r>
        <w:t xml:space="preserve">The mid-twentieth century witnessed transformative contributions from Alan Turing, whose 1952 paper on morphogenesis showed how reaction-diffusion equations could explain biological pattern formation [17], and from Alan Hodgkin and Andrew Huxley, whose Nobel Prize-winning mathematical model of nerve impulse propagation remains a cornerstone of computational neuroscience [18]. These achievements established that mathematical modeling was not merely a descriptive exercise but a genuinely predictive tool capable of revealing mechanisms invisible to purely experimental approaches [19].</w:t>
      </w:r>
    </w:p>
    <w:p>
      <w:pPr>
        <w:spacing w:before="0" w:after="0"/>
      </w:pPr>
    </w:p>
    <w:p>
      <w:pPr>
        <w:jc w:val="both"/>
        <w:spacing w:before="0" w:after="120" w:line="360" w:lineRule="auto"/>
      </w:pPr>
      <w:r>
        <w:t xml:space="preserve">Today, biomathematics stands as a mature interdisciplinary field encompassing mathematical ecology, epidemiology, systems biology, bioinformatics, and computational medicine [5, 20]. The exponential growth in biological data, advances in computational power, and the increasing complexity of questions facing modern biology have made mathematical approaches not just valuable but essential [21].</w:t>
      </w:r>
    </w:p>
    <w:p>
      <w:pPr>
        <w:spacing w:before="0" w:after="0"/>
      </w:pPr>
    </w:p>
    <w:p>
      <w:pPr>
        <w:pStyle w:val="Heading3"/>
        <w:spacing w:before="180" w:after="60" w:line="360" w:lineRule="auto"/>
      </w:pPr>
      <w:r>
        <w:rPr>
          <w:b/>
          <w:bCs/>
          <w:i/>
          <w:iCs/>
        </w:rPr>
        <w:t xml:space="preserve">Examples of Biological Phenomena Modeled Mathematically</w:t>
      </w:r>
    </w:p>
    <w:p>
      <w:pPr>
        <w:spacing w:before="0" w:after="0"/>
      </w:pPr>
    </w:p>
    <w:p>
      <w:pPr>
        <w:jc w:val="both"/>
        <w:spacing w:before="0" w:after="120" w:line="360" w:lineRule="auto"/>
      </w:pPr>
      <w:r>
        <w:t xml:space="preserve">The breadth of biological phenomena amenable to mathematical description is remarkable [1, 2]. Population ecologists employ logistic growth equations and Lotka-Volterra systems to understand species interactions and predict ecosystem dynamics [22, 23]. Epidemiologists use compartmental models to forecast disease outbreaks and evaluate intervention strategies [24, 25]. Cell biologists apply Michaelis-Menten kinetics and systems of coupled ODEs to unravel metabolic and signaling networks [26, 27]. Developmental biologists employ reaction-diffusion equations to explain how embryonic cells differentiate into organized tissues and organs [17, 28]. Neuroscientists use conductance-based models and neural field equations to understand brain function from the single-neuron level to large-scale network dynamics [18, 29]. Each of these applications relies fundamentally on differential equations and the theory of dynamical systems [4].</w:t>
      </w:r>
    </w:p>
    <w:p>
      <w:pPr>
        <w:spacing w:before="0" w:after="0"/>
      </w:pPr>
    </w:p>
    <w:p>
      <w:pPr>
        <w:spacing w:before="0" w:after="0"/>
      </w:pPr>
    </w:p>
    <w:p>
      <w:pPr>
        <w:spacing w:before="0" w:after="0"/>
      </w:pPr>
    </w:p>
    <w:p>
      <w:pPr>
        <w:pStyle w:val="Heading2"/>
        <w:spacing w:before="240" w:after="120" w:line="360" w:lineRule="auto"/>
      </w:pPr>
      <w:r>
        <w:rPr>
          <w:b/>
          <w:bCs/>
        </w:rPr>
        <w:t xml:space="preserve">1.2 Basics of Differential Equations in Biology</w:t>
      </w:r>
    </w:p>
    <w:p>
      <w:pPr>
        <w:spacing w:before="0" w:after="0"/>
      </w:pPr>
    </w:p>
    <w:p>
      <w:pPr>
        <w:pStyle w:val="Heading3"/>
        <w:spacing w:before="180" w:after="60" w:line="360" w:lineRule="auto"/>
      </w:pPr>
      <w:r>
        <w:rPr>
          <w:b/>
          <w:bCs/>
          <w:i/>
          <w:iCs/>
        </w:rPr>
        <w:t xml:space="preserve">Ordinary and Partial Differential Equations (ODEs &amp; PDEs)</w:t>
      </w:r>
    </w:p>
    <w:p>
      <w:pPr>
        <w:spacing w:before="0" w:after="0"/>
      </w:pPr>
    </w:p>
    <w:p>
      <w:pPr>
        <w:jc w:val="both"/>
        <w:spacing w:before="0" w:after="120" w:line="360" w:lineRule="auto"/>
      </w:pPr>
      <w:r>
        <w:t xml:space="preserve">Differential equations constitute the mathematical backbone of dynamic biological modeling [11, 30]. An ordinary differential equation describes the rate of change of a dependent variable with respect to a single independent variable, typically time [3]. In biological contexts, ODEs model well-mixed systems where spatial heterogeneity can be neglected, such as the concentration of a substrate in a well-stirred bioreactor or the total number of infected individuals in a population [31].</w:t>
      </w:r>
    </w:p>
    <w:p>
      <w:pPr>
        <w:spacing w:before="0" w:after="0"/>
      </w:pPr>
    </w:p>
    <w:p>
      <w:pPr>
        <w:jc w:val="both"/>
        <w:spacing w:before="0" w:after="120" w:line="360" w:lineRule="auto"/>
      </w:pPr>
      <w:r>
        <w:t xml:space="preserve">A general first-order ODE takes the form dx/dt = f(x, t), where x represents the state variable (population size, chemical concentration, membrane voltage) and f encodes the biological mechanism governing change [4]. Higher-order ODEs and systems of coupled ODEs arise naturally when multiple interacting components must be tracked simultaneously, as in metabolic networks or multi-species ecological communities [32].</w:t>
      </w:r>
    </w:p>
    <w:p>
      <w:pPr>
        <w:spacing w:before="0" w:after="0"/>
      </w:pPr>
    </w:p>
    <w:p>
      <w:pPr>
        <w:jc w:val="both"/>
        <w:spacing w:before="0" w:after="120" w:line="360" w:lineRule="auto"/>
      </w:pPr>
      <w:r>
        <w:t xml:space="preserve">Partial differential equations extend this framework to systems where spatial variation is important [2, 33]. A PDE involves partial derivatives with respect to both time and one or more spatial coordinates. The general reaction-diffusion equation, du/dt = D nabla^2 u + R(u), combines diffusive transport (characterized by diffusion coefficient D) with local reaction kinetics R(u) [34]. PDEs are essential for modeling phenomena such as morphogen gradient formation during embryonic development, the spatial spread of epidemics, and calcium wave propagation in cardiac tissue [35, 36].</w:t>
      </w:r>
    </w:p>
    <w:p>
      <w:pPr>
        <w:spacing w:before="0" w:after="0"/>
      </w:pPr>
    </w:p>
    <w:p>
      <w:pPr>
        <w:pStyle w:val="Heading3"/>
        <w:spacing w:before="180" w:after="60" w:line="360" w:lineRule="auto"/>
      </w:pPr>
      <w:r>
        <w:rPr>
          <w:b/>
          <w:bCs/>
          <w:i/>
          <w:iCs/>
        </w:rPr>
        <w:t xml:space="preserve">Initial and Boundary Conditions in Biological Contexts</w:t>
      </w:r>
    </w:p>
    <w:p>
      <w:pPr>
        <w:spacing w:before="0" w:after="0"/>
      </w:pPr>
    </w:p>
    <w:p>
      <w:pPr>
        <w:jc w:val="both"/>
        <w:spacing w:before="0" w:after="120" w:line="360" w:lineRule="auto"/>
      </w:pPr>
      <w:r>
        <w:t xml:space="preserve">The solution of a differential equation is not unique without specification of appropriate auxiliary conditions [11]. For ODEs, initial conditions specify the state of the system at time t = 0, reflecting the starting configuration of the biological system under study [30]. For instance, in epidemiological modeling, initial conditions define the number of susceptible, infected, and recovered individuals at the onset of an outbreak [24].</w:t>
      </w:r>
    </w:p>
    <w:p>
      <w:pPr>
        <w:spacing w:before="0" w:after="0"/>
      </w:pPr>
    </w:p>
    <w:p>
      <w:pPr>
        <w:jc w:val="both"/>
        <w:spacing w:before="0" w:after="120" w:line="360" w:lineRule="auto"/>
      </w:pPr>
      <w:r>
        <w:t xml:space="preserve">PDEs additionally require boundary conditions that describe the behavior of the system at the edges of the spatial domain [33]. In biological applications, boundary conditions may represent impermeable cell membranes (no-flux or Neumann conditions), fixed concentrations maintained by external sources (Dirichlet conditions), or periodic boundaries appropriate for modeling ring-shaped or toroidal geometries [34]. The choice of boundary conditions profoundly influences system behavior and must be guided by biological reality [2].</w:t>
      </w:r>
    </w:p>
    <w:p>
      <w:pPr>
        <w:spacing w:before="0" w:after="0"/>
      </w:pPr>
    </w:p>
    <w:p>
      <w:pPr>
        <w:pStyle w:val="Heading3"/>
        <w:spacing w:before="180" w:after="60" w:line="360" w:lineRule="auto"/>
      </w:pPr>
      <w:r>
        <w:rPr>
          <w:b/>
          <w:bCs/>
          <w:i/>
          <w:iCs/>
        </w:rPr>
        <w:t xml:space="preserve">Analytical vs Numerical Solution Approaches</w:t>
      </w:r>
    </w:p>
    <w:p>
      <w:pPr>
        <w:spacing w:before="0" w:after="0"/>
      </w:pPr>
    </w:p>
    <w:p>
      <w:pPr>
        <w:jc w:val="both"/>
        <w:spacing w:before="0" w:after="120" w:line="360" w:lineRule="auto"/>
      </w:pPr>
      <w:r>
        <w:t xml:space="preserve">Analytical solutions, expressed in closed mathematical form, provide complete insight into parameter dependence and system behavior [3]. However, they exist only for relatively simple equations. The exponential growth equation dN/dt = rN has the analytical solution N(t) = N_0 e^{rt}, which immediately reveals the dependence on growth rate r and initial condition N_0 [22]. Similarly, the logistic equation admits a closed-form solution expressible in terms of the carrying capacity and intrinsic growth rate [37].</w:t>
      </w:r>
    </w:p>
    <w:p>
      <w:pPr>
        <w:spacing w:before="0" w:after="0"/>
      </w:pPr>
    </w:p>
    <w:p>
      <w:pPr>
        <w:jc w:val="both"/>
        <w:spacing w:before="0" w:after="120" w:line="360" w:lineRule="auto"/>
      </w:pPr>
      <w:r>
        <w:t xml:space="preserve">Most biologically realistic models, however, are too complex for analytical treatment [38]. Nonlinearities, coupling between multiple variables, and spatial heterogeneity typically necessitate numerical methods. Euler's method, Runge-Kutta schemes, and adaptive step-size algorithms provide approximate solutions to ODEs, while finite difference, finite element, and spectral methods address PDEs [39, 40]. The choice between analytical and numerical approaches depends on the complexity of the model, the questions being asked, and the desired level of quantitative precision [41].</w:t>
      </w:r>
    </w:p>
    <w:p>
      <w:pPr>
        <w:spacing w:before="0" w:after="0"/>
      </w:pPr>
    </w:p>
    <w:p>
      <w:pPr>
        <w:spacing w:before="0" w:after="0"/>
      </w:pPr>
    </w:p>
    <w:p>
      <w:pPr>
        <w:spacing w:before="0" w:after="0"/>
      </w:pPr>
    </w:p>
    <w:p>
      <w:pPr>
        <w:pStyle w:val="Heading2"/>
        <w:spacing w:before="240" w:after="120" w:line="360" w:lineRule="auto"/>
      </w:pPr>
      <w:r>
        <w:rPr>
          <w:b/>
          <w:bCs/>
        </w:rPr>
        <w:t xml:space="preserve">1.3 Modeling Biological Systems: Principles and Assumptions</w:t>
      </w:r>
    </w:p>
    <w:p>
      <w:pPr>
        <w:spacing w:before="0" w:after="0"/>
      </w:pPr>
    </w:p>
    <w:p>
      <w:pPr>
        <w:pStyle w:val="Heading3"/>
        <w:spacing w:before="180" w:after="60" w:line="360" w:lineRule="auto"/>
      </w:pPr>
      <w:r>
        <w:rPr>
          <w:b/>
          <w:bCs/>
          <w:i/>
          <w:iCs/>
        </w:rPr>
        <w:t xml:space="preserve">Deterministic vs Stochastic Models</w:t>
      </w:r>
    </w:p>
    <w:p>
      <w:pPr>
        <w:spacing w:before="0" w:after="0"/>
      </w:pPr>
    </w:p>
    <w:p>
      <w:pPr>
        <w:jc w:val="both"/>
        <w:spacing w:before="0" w:after="120" w:line="360" w:lineRule="auto"/>
      </w:pPr>
      <w:r>
        <w:t xml:space="preserve">Deterministic models, governed by ordinary or partial differential equations, assume that the future state of a system is completely determined by its current state and the governing equations [42]. This framework is appropriate when dealing with large populations or high molecular concentrations, where random fluctuations average out [31]. The law of mass action, which underpins most chemical kinetics models, is inherently deterministic and produces reproducible trajectories for given initial conditions [43].</w:t>
      </w:r>
    </w:p>
    <w:p>
      <w:pPr>
        <w:spacing w:before="0" w:after="0"/>
      </w:pPr>
    </w:p>
    <w:p>
      <w:pPr>
        <w:jc w:val="both"/>
        <w:spacing w:before="0" w:after="120" w:line="360" w:lineRule="auto"/>
      </w:pPr>
      <w:r>
        <w:t xml:space="preserve">However, many biological processes operate in regimes where stochasticity is significant [44]. Gene expression in individual cells involves small numbers of molecules, making random fluctuations (noise) a dominant feature rather than a minor perturbation [45]. Stochastic models, typically formulated as continuous-time Markov chains governed by master equations or approximated through stochastic differential equations (Langevin equations), capture this intrinsic variability [46]. The Gillespie algorithm provides exact stochastic simulation of chemical reaction networks, revealing phenomena such as bistability, noise-induced switching, and cell-to-cell variability that deterministic models cannot capture [47].</w:t>
      </w:r>
    </w:p>
    <w:p>
      <w:pPr>
        <w:spacing w:before="0" w:after="0"/>
      </w:pPr>
    </w:p>
    <w:p>
      <w:pPr>
        <w:pStyle w:val="Heading3"/>
        <w:spacing w:before="180" w:after="60" w:line="360" w:lineRule="auto"/>
      </w:pPr>
      <w:r>
        <w:rPr>
          <w:b/>
          <w:bCs/>
          <w:i/>
          <w:iCs/>
        </w:rPr>
        <w:t xml:space="preserve">Scaling, Simplification, and Parameter Estimation</w:t>
      </w:r>
    </w:p>
    <w:p>
      <w:pPr>
        <w:spacing w:before="0" w:after="0"/>
      </w:pPr>
    </w:p>
    <w:p>
      <w:pPr>
        <w:jc w:val="both"/>
        <w:spacing w:before="0" w:after="120" w:line="360" w:lineRule="auto"/>
      </w:pPr>
      <w:r>
        <w:t xml:space="preserve">Biological systems typically involve numerous interacting components across multiple scales [8]. Effective mathematical modeling requires judicious simplification through dimensional analysis, non-dimensionalization, and identification of fast and slow timescales [48]. Quasi-steady-state approximations reduce the dimensionality of enzyme kinetic models, while singular perturbation theory separates fast transient dynamics from slow manifold behavior [49].</w:t>
      </w:r>
    </w:p>
    <w:p>
      <w:pPr>
        <w:spacing w:before="0" w:after="0"/>
      </w:pPr>
    </w:p>
    <w:p>
      <w:pPr>
        <w:jc w:val="both"/>
        <w:spacing w:before="0" w:after="120" w:line="360" w:lineRule="auto"/>
      </w:pPr>
      <w:r>
        <w:t xml:space="preserve">Parameter estimation represents a critical challenge in biological modeling [50]. Model parameters often lack direct experimental measurements and must be inferred from indirect observations [51]. Techniques ranging from least-squares fitting and maximum likelihood estimation to Bayesian inference and Markov chain Monte Carlo methods enable systematic parameter identification [52, 53]. The identifiability of parameters—whether unique parameter values can be determined from available data—is a fundamental theoretical question that influences experimental design [54].</w:t>
      </w:r>
    </w:p>
    <w:p>
      <w:pPr>
        <w:spacing w:before="0" w:after="0"/>
      </w:pPr>
    </w:p>
    <w:p>
      <w:pPr>
        <w:pStyle w:val="Heading3"/>
        <w:spacing w:before="180" w:after="60" w:line="360" w:lineRule="auto"/>
      </w:pPr>
      <w:r>
        <w:rPr>
          <w:b/>
          <w:bCs/>
          <w:i/>
          <w:iCs/>
        </w:rPr>
        <w:t xml:space="preserve">Model Validation Using Experimental Data</w:t>
      </w:r>
    </w:p>
    <w:p>
      <w:pPr>
        <w:spacing w:before="0" w:after="0"/>
      </w:pPr>
    </w:p>
    <w:p>
      <w:pPr>
        <w:jc w:val="both"/>
        <w:spacing w:before="0" w:after="120" w:line="360" w:lineRule="auto"/>
      </w:pPr>
      <w:r>
        <w:t xml:space="preserve">A mathematical model, regardless of its elegance, has scientific value only insofar as it accurately represents biological reality [9]. Model validation involves systematic comparison of model predictions with independent experimental data not used in parameter estimation [55]. This process tests whether the model captures essential biological mechanisms and whether its predictions extrapolate reliably to new conditions [56].</w:t>
      </w:r>
    </w:p>
    <w:p>
      <w:pPr>
        <w:spacing w:before="0" w:after="0"/>
      </w:pPr>
    </w:p>
    <w:p>
      <w:pPr>
        <w:jc w:val="both"/>
        <w:spacing w:before="0" w:after="120" w:line="360" w:lineRule="auto"/>
      </w:pPr>
      <w:r>
        <w:t xml:space="preserve">Validation strategies include comparing predicted steady states with measured equilibrium concentrations, testing whether predicted dynamic trajectories match time-series data, and verifying that the model correctly predicts the outcome of perturbation experiments [50, 57]. When models fail validation, this failure itself is informative, suggesting missing mechanisms or incorrect assumptions that guide model refinement [55]. The iterative cycle of modeling, prediction, experimental testing, and refinement constitutes the scientific method as applied to mathematical biology [1, 9].</w:t>
      </w:r>
    </w:p>
    <w:p>
      <w:pPr>
        <w:spacing w:before="0" w:after="0"/>
      </w:pPr>
    </w:p>
    <w:p>
      <w:pPr>
        <w:jc w:val="center"/>
        <w:spacing w:before="240" w:after="120" w:line="360" w:lineRule="auto"/>
      </w:pPr>
      <w:r>
        <w:rPr>
          <w:b/>
          <w:bCs/>
          <w:sz w:val="22"/>
          <w:szCs w:val="22"/>
        </w:rPr>
        <w:t xml:space="preserve">Table 1: Summary of Key Concepts in Foundations of Mathematical Biology</w:t>
      </w:r>
    </w:p>
    <w:p>
      <w:pPr>
        <w:spacing w:before="0" w:after="0"/>
      </w:pP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340"/>
        <w:gridCol w:w="2340"/>
        <w:gridCol w:w="2340"/>
      </w:tblGrid>
      <w:tr>
        <w:tc>
          <w:tcPr>
            <w:tcW w:w="2340" w:type="dxa"/>
            <w:shd w:val="clear" w:color="auto" w:fill="D9E2F3"/>
          </w:tcPr>
          <w:p>
            <w:pPr>
              <w:spacing w:before="40" w:after="40" w:line="240" w:lineRule="auto"/>
            </w:pPr>
            <w:r>
              <w:rPr>
                <w:sz w:val="18"/>
                <w:szCs w:val="18"/>
                <w:b/>
                <w:bCs/>
              </w:rPr>
              <w:t xml:space="preserve">Topic</w:t>
            </w:r>
          </w:p>
        </w:tc>
        <w:tc>
          <w:tcPr>
            <w:tcW w:w="2340" w:type="dxa"/>
            <w:shd w:val="clear" w:color="auto" w:fill="D9E2F3"/>
          </w:tcPr>
          <w:p>
            <w:pPr>
              <w:spacing w:before="40" w:after="40" w:line="240" w:lineRule="auto"/>
            </w:pPr>
            <w:r>
              <w:rPr>
                <w:sz w:val="18"/>
                <w:szCs w:val="18"/>
                <w:b/>
                <w:bCs/>
              </w:rPr>
              <w:t xml:space="preserve">Key Equation/Concept</w:t>
            </w:r>
          </w:p>
        </w:tc>
        <w:tc>
          <w:tcPr>
            <w:tcW w:w="2340" w:type="dxa"/>
            <w:shd w:val="clear" w:color="auto" w:fill="D9E2F3"/>
          </w:tcPr>
          <w:p>
            <w:pPr>
              <w:spacing w:before="40" w:after="40" w:line="240" w:lineRule="auto"/>
            </w:pPr>
            <w:r>
              <w:rPr>
                <w:sz w:val="18"/>
                <w:szCs w:val="18"/>
                <w:b/>
                <w:bCs/>
              </w:rPr>
              <w:t xml:space="preserve">Biological Application</w:t>
            </w:r>
          </w:p>
        </w:tc>
        <w:tc>
          <w:tcPr>
            <w:tcW w:w="2340" w:type="dxa"/>
            <w:shd w:val="clear" w:color="auto" w:fill="D9E2F3"/>
          </w:tcPr>
          <w:p>
            <w:pPr>
              <w:spacing w:before="40" w:after="40" w:line="240" w:lineRule="auto"/>
            </w:pPr>
            <w:r>
              <w:rPr>
                <w:sz w:val="18"/>
                <w:szCs w:val="18"/>
                <w:b/>
                <w:bCs/>
              </w:rPr>
              <w:t xml:space="preserve">Mathematical Framework</w:t>
            </w:r>
          </w:p>
        </w:tc>
      </w:tr>
      <w:tr>
        <w:tc>
          <w:tcPr>
            <w:tcW w:w="2340" w:type="dxa"/>
          </w:tcPr>
          <w:p>
            <w:pPr>
              <w:spacing w:before="40" w:after="40" w:line="240" w:lineRule="auto"/>
            </w:pPr>
            <w:r>
              <w:rPr>
                <w:sz w:val="18"/>
                <w:szCs w:val="18"/>
              </w:rPr>
              <w:t xml:space="preserve">Exponential Growth</w:t>
            </w:r>
          </w:p>
        </w:tc>
        <w:tc>
          <w:tcPr>
            <w:tcW w:w="2340" w:type="dxa"/>
          </w:tcPr>
          <w:p>
            <w:pPr>
              <w:spacing w:before="40" w:after="40" w:line="240" w:lineRule="auto"/>
            </w:pPr>
            <w:r>
              <w:rPr>
                <w:sz w:val="18"/>
                <w:szCs w:val="18"/>
              </w:rPr>
              <w:t xml:space="preserve">dN/dt = rN</w:t>
            </w:r>
          </w:p>
        </w:tc>
        <w:tc>
          <w:tcPr>
            <w:tcW w:w="2340" w:type="dxa"/>
          </w:tcPr>
          <w:p>
            <w:pPr>
              <w:spacing w:before="40" w:after="40" w:line="240" w:lineRule="auto"/>
            </w:pPr>
            <w:r>
              <w:rPr>
                <w:sz w:val="18"/>
                <w:szCs w:val="18"/>
              </w:rPr>
              <w:t xml:space="preserve">Microbial cultures, early colonization</w:t>
            </w:r>
          </w:p>
        </w:tc>
        <w:tc>
          <w:tcPr>
            <w:tcW w:w="2340" w:type="dxa"/>
          </w:tcPr>
          <w:p>
            <w:pPr>
              <w:spacing w:before="40" w:after="40" w:line="240" w:lineRule="auto"/>
            </w:pPr>
            <w:r>
              <w:rPr>
                <w:sz w:val="18"/>
                <w:szCs w:val="18"/>
              </w:rPr>
              <w:t xml:space="preserve">First-order linear ODE</w:t>
            </w:r>
          </w:p>
        </w:tc>
      </w:tr>
      <w:tr>
        <w:tc>
          <w:tcPr>
            <w:tcW w:w="2340" w:type="dxa"/>
          </w:tcPr>
          <w:p>
            <w:pPr>
              <w:spacing w:before="40" w:after="40" w:line="240" w:lineRule="auto"/>
            </w:pPr>
            <w:r>
              <w:rPr>
                <w:sz w:val="18"/>
                <w:szCs w:val="18"/>
              </w:rPr>
              <w:t xml:space="preserve">Logistic Growth</w:t>
            </w:r>
          </w:p>
        </w:tc>
        <w:tc>
          <w:tcPr>
            <w:tcW w:w="2340" w:type="dxa"/>
          </w:tcPr>
          <w:p>
            <w:pPr>
              <w:spacing w:before="40" w:after="40" w:line="240" w:lineRule="auto"/>
            </w:pPr>
            <w:r>
              <w:rPr>
                <w:sz w:val="18"/>
                <w:szCs w:val="18"/>
              </w:rPr>
              <w:t xml:space="preserve">dN/dt = rN(1 - N/K)</w:t>
            </w:r>
          </w:p>
        </w:tc>
        <w:tc>
          <w:tcPr>
            <w:tcW w:w="2340" w:type="dxa"/>
          </w:tcPr>
          <w:p>
            <w:pPr>
              <w:spacing w:before="40" w:after="40" w:line="240" w:lineRule="auto"/>
            </w:pPr>
            <w:r>
              <w:rPr>
                <w:sz w:val="18"/>
                <w:szCs w:val="18"/>
              </w:rPr>
              <w:t xml:space="preserve">Density-regulated populations</w:t>
            </w:r>
          </w:p>
        </w:tc>
        <w:tc>
          <w:tcPr>
            <w:tcW w:w="2340" w:type="dxa"/>
          </w:tcPr>
          <w:p>
            <w:pPr>
              <w:spacing w:before="40" w:after="40" w:line="240" w:lineRule="auto"/>
            </w:pPr>
            <w:r>
              <w:rPr>
                <w:sz w:val="18"/>
                <w:szCs w:val="18"/>
              </w:rPr>
              <w:t xml:space="preserve">Nonlinear ODE with carrying capacity</w:t>
            </w:r>
          </w:p>
        </w:tc>
      </w:tr>
      <w:tr>
        <w:tc>
          <w:tcPr>
            <w:tcW w:w="2340" w:type="dxa"/>
          </w:tcPr>
          <w:p>
            <w:pPr>
              <w:spacing w:before="40" w:after="40" w:line="240" w:lineRule="auto"/>
            </w:pPr>
            <w:r>
              <w:rPr>
                <w:sz w:val="18"/>
                <w:szCs w:val="18"/>
              </w:rPr>
              <w:t xml:space="preserve">Reaction-Diffusion</w:t>
            </w:r>
          </w:p>
        </w:tc>
        <w:tc>
          <w:tcPr>
            <w:tcW w:w="2340" w:type="dxa"/>
          </w:tcPr>
          <w:p>
            <w:pPr>
              <w:spacing w:before="40" w:after="40" w:line="240" w:lineRule="auto"/>
            </w:pPr>
            <w:r>
              <w:rPr>
                <w:sz w:val="18"/>
                <w:szCs w:val="18"/>
              </w:rPr>
              <w:t xml:space="preserve">du/dt = D∇²u + R(u)</w:t>
            </w:r>
          </w:p>
        </w:tc>
        <w:tc>
          <w:tcPr>
            <w:tcW w:w="2340" w:type="dxa"/>
          </w:tcPr>
          <w:p>
            <w:pPr>
              <w:spacing w:before="40" w:after="40" w:line="240" w:lineRule="auto"/>
            </w:pPr>
            <w:r>
              <w:rPr>
                <w:sz w:val="18"/>
                <w:szCs w:val="18"/>
              </w:rPr>
              <w:t xml:space="preserve">Morphogen gradients, spatial spread</w:t>
            </w:r>
          </w:p>
        </w:tc>
        <w:tc>
          <w:tcPr>
            <w:tcW w:w="2340" w:type="dxa"/>
          </w:tcPr>
          <w:p>
            <w:pPr>
              <w:spacing w:before="40" w:after="40" w:line="240" w:lineRule="auto"/>
            </w:pPr>
            <w:r>
              <w:rPr>
                <w:sz w:val="18"/>
                <w:szCs w:val="18"/>
              </w:rPr>
              <w:t xml:space="preserve">Partial differential equation</w:t>
            </w:r>
          </w:p>
        </w:tc>
      </w:tr>
      <w:tr>
        <w:tc>
          <w:tcPr>
            <w:tcW w:w="2340" w:type="dxa"/>
          </w:tcPr>
          <w:p>
            <w:pPr>
              <w:spacing w:before="40" w:after="40" w:line="240" w:lineRule="auto"/>
            </w:pPr>
            <w:r>
              <w:rPr>
                <w:sz w:val="18"/>
                <w:szCs w:val="18"/>
              </w:rPr>
              <w:t xml:space="preserve">Deterministic Modeling</w:t>
            </w:r>
          </w:p>
        </w:tc>
        <w:tc>
          <w:tcPr>
            <w:tcW w:w="2340" w:type="dxa"/>
          </w:tcPr>
          <w:p>
            <w:pPr>
              <w:spacing w:before="40" w:after="40" w:line="240" w:lineRule="auto"/>
            </w:pPr>
            <w:r>
              <w:rPr>
                <w:sz w:val="18"/>
                <w:szCs w:val="18"/>
              </w:rPr>
              <w:t xml:space="preserve">dx/dt = f(x, t)</w:t>
            </w:r>
          </w:p>
        </w:tc>
        <w:tc>
          <w:tcPr>
            <w:tcW w:w="2340" w:type="dxa"/>
          </w:tcPr>
          <w:p>
            <w:pPr>
              <w:spacing w:before="40" w:after="40" w:line="240" w:lineRule="auto"/>
            </w:pPr>
            <w:r>
              <w:rPr>
                <w:sz w:val="18"/>
                <w:szCs w:val="18"/>
              </w:rPr>
              <w:t xml:space="preserve">Large populations, well-mixed systems</w:t>
            </w:r>
          </w:p>
        </w:tc>
        <w:tc>
          <w:tcPr>
            <w:tcW w:w="2340" w:type="dxa"/>
          </w:tcPr>
          <w:p>
            <w:pPr>
              <w:spacing w:before="40" w:after="40" w:line="240" w:lineRule="auto"/>
            </w:pPr>
            <w:r>
              <w:rPr>
                <w:sz w:val="18"/>
                <w:szCs w:val="18"/>
              </w:rPr>
              <w:t xml:space="preserve">Ordinary differential equations</w:t>
            </w:r>
          </w:p>
        </w:tc>
      </w:tr>
      <w:tr>
        <w:tc>
          <w:tcPr>
            <w:tcW w:w="2340" w:type="dxa"/>
          </w:tcPr>
          <w:p>
            <w:pPr>
              <w:spacing w:before="40" w:after="40" w:line="240" w:lineRule="auto"/>
            </w:pPr>
            <w:r>
              <w:rPr>
                <w:sz w:val="18"/>
                <w:szCs w:val="18"/>
              </w:rPr>
              <w:t xml:space="preserve">Stochastic Modeling</w:t>
            </w:r>
          </w:p>
        </w:tc>
        <w:tc>
          <w:tcPr>
            <w:tcW w:w="2340" w:type="dxa"/>
          </w:tcPr>
          <w:p>
            <w:pPr>
              <w:spacing w:before="40" w:after="40" w:line="240" w:lineRule="auto"/>
            </w:pPr>
            <w:r>
              <w:rPr>
                <w:sz w:val="18"/>
                <w:szCs w:val="18"/>
              </w:rPr>
              <w:t xml:space="preserve">Master equation / Langevin</w:t>
            </w:r>
          </w:p>
        </w:tc>
        <w:tc>
          <w:tcPr>
            <w:tcW w:w="2340" w:type="dxa"/>
          </w:tcPr>
          <w:p>
            <w:pPr>
              <w:spacing w:before="40" w:after="40" w:line="240" w:lineRule="auto"/>
            </w:pPr>
            <w:r>
              <w:rPr>
                <w:sz w:val="18"/>
                <w:szCs w:val="18"/>
              </w:rPr>
              <w:t xml:space="preserve">Gene expression, small molecule counts</w:t>
            </w:r>
          </w:p>
        </w:tc>
        <w:tc>
          <w:tcPr>
            <w:tcW w:w="2340" w:type="dxa"/>
          </w:tcPr>
          <w:p>
            <w:pPr>
              <w:spacing w:before="40" w:after="40" w:line="240" w:lineRule="auto"/>
            </w:pPr>
            <w:r>
              <w:rPr>
                <w:sz w:val="18"/>
                <w:szCs w:val="18"/>
              </w:rPr>
              <w:t xml:space="preserve">Markov chains, SDEs</w:t>
            </w:r>
          </w:p>
        </w:tc>
      </w:tr>
      <w:tr>
        <w:tc>
          <w:tcPr>
            <w:tcW w:w="2340" w:type="dxa"/>
          </w:tcPr>
          <w:p>
            <w:pPr>
              <w:spacing w:before="40" w:after="40" w:line="240" w:lineRule="auto"/>
            </w:pPr>
            <w:r>
              <w:rPr>
                <w:sz w:val="18"/>
                <w:szCs w:val="18"/>
              </w:rPr>
              <w:t xml:space="preserve">Parameter Estimation</w:t>
            </w:r>
          </w:p>
        </w:tc>
        <w:tc>
          <w:tcPr>
            <w:tcW w:w="2340" w:type="dxa"/>
          </w:tcPr>
          <w:p>
            <w:pPr>
              <w:spacing w:before="40" w:after="40" w:line="240" w:lineRule="auto"/>
            </w:pPr>
            <w:r>
              <w:rPr>
                <w:sz w:val="18"/>
                <w:szCs w:val="18"/>
              </w:rPr>
              <w:t xml:space="preserve">Least-squares, MLE, Bayesian</w:t>
            </w:r>
          </w:p>
        </w:tc>
        <w:tc>
          <w:tcPr>
            <w:tcW w:w="2340" w:type="dxa"/>
          </w:tcPr>
          <w:p>
            <w:pPr>
              <w:spacing w:before="40" w:after="40" w:line="240" w:lineRule="auto"/>
            </w:pPr>
            <w:r>
              <w:rPr>
                <w:sz w:val="18"/>
                <w:szCs w:val="18"/>
              </w:rPr>
              <w:t xml:space="preserve">Inferring rate constants from data</w:t>
            </w:r>
          </w:p>
        </w:tc>
        <w:tc>
          <w:tcPr>
            <w:tcW w:w="2340" w:type="dxa"/>
          </w:tcPr>
          <w:p>
            <w:pPr>
              <w:spacing w:before="40" w:after="40" w:line="240" w:lineRule="auto"/>
            </w:pPr>
            <w:r>
              <w:rPr>
                <w:sz w:val="18"/>
                <w:szCs w:val="18"/>
              </w:rPr>
              <w:t xml:space="preserve">Statistical inference</w:t>
            </w:r>
          </w:p>
        </w:tc>
      </w:tr>
      <w:tr>
        <w:tc>
          <w:tcPr>
            <w:tcW w:w="2340" w:type="dxa"/>
          </w:tcPr>
          <w:p>
            <w:pPr>
              <w:spacing w:before="40" w:after="40" w:line="240" w:lineRule="auto"/>
            </w:pPr>
            <w:r>
              <w:rPr>
                <w:sz w:val="18"/>
                <w:szCs w:val="18"/>
              </w:rPr>
              <w:t xml:space="preserve">Model Validation</w:t>
            </w:r>
          </w:p>
        </w:tc>
        <w:tc>
          <w:tcPr>
            <w:tcW w:w="2340" w:type="dxa"/>
          </w:tcPr>
          <w:p>
            <w:pPr>
              <w:spacing w:before="40" w:after="40" w:line="240" w:lineRule="auto"/>
            </w:pPr>
            <w:r>
              <w:rPr>
                <w:sz w:val="18"/>
                <w:szCs w:val="18"/>
              </w:rPr>
              <w:t xml:space="preserve">Prediction vs. experiment</w:t>
            </w:r>
          </w:p>
        </w:tc>
        <w:tc>
          <w:tcPr>
            <w:tcW w:w="2340" w:type="dxa"/>
          </w:tcPr>
          <w:p>
            <w:pPr>
              <w:spacing w:before="40" w:after="40" w:line="240" w:lineRule="auto"/>
            </w:pPr>
            <w:r>
              <w:rPr>
                <w:sz w:val="18"/>
                <w:szCs w:val="18"/>
              </w:rPr>
              <w:t xml:space="preserve">Testing mechanistic hypotheses</w:t>
            </w:r>
          </w:p>
        </w:tc>
        <w:tc>
          <w:tcPr>
            <w:tcW w:w="2340" w:type="dxa"/>
          </w:tcPr>
          <w:p>
            <w:pPr>
              <w:spacing w:before="40" w:after="40" w:line="240" w:lineRule="auto"/>
            </w:pPr>
            <w:r>
              <w:rPr>
                <w:sz w:val="18"/>
                <w:szCs w:val="18"/>
              </w:rPr>
              <w:t xml:space="preserve">Iterative refinement cycle</w:t>
            </w:r>
          </w:p>
        </w:tc>
      </w:tr>
      <w:tr>
        <w:tc>
          <w:tcPr>
            <w:tcW w:w="2340" w:type="dxa"/>
          </w:tcPr>
          <w:p>
            <w:pPr>
              <w:spacing w:before="40" w:after="40" w:line="240" w:lineRule="auto"/>
            </w:pPr>
            <w:r>
              <w:rPr>
                <w:sz w:val="18"/>
                <w:szCs w:val="18"/>
              </w:rPr>
              <w:t xml:space="preserve">Quasi-Steady-State</w:t>
            </w:r>
          </w:p>
        </w:tc>
        <w:tc>
          <w:tcPr>
            <w:tcW w:w="2340" w:type="dxa"/>
          </w:tcPr>
          <w:p>
            <w:pPr>
              <w:spacing w:before="40" w:after="40" w:line="240" w:lineRule="auto"/>
            </w:pPr>
            <w:r>
              <w:rPr>
                <w:sz w:val="18"/>
                <w:szCs w:val="18"/>
              </w:rPr>
              <w:t xml:space="preserve">Fast variable elimination</w:t>
            </w:r>
          </w:p>
        </w:tc>
        <w:tc>
          <w:tcPr>
            <w:tcW w:w="2340" w:type="dxa"/>
          </w:tcPr>
          <w:p>
            <w:pPr>
              <w:spacing w:before="40" w:after="40" w:line="240" w:lineRule="auto"/>
            </w:pPr>
            <w:r>
              <w:rPr>
                <w:sz w:val="18"/>
                <w:szCs w:val="18"/>
              </w:rPr>
              <w:t xml:space="preserve">Enzyme kinetics simplification</w:t>
            </w:r>
          </w:p>
        </w:tc>
        <w:tc>
          <w:tcPr>
            <w:tcW w:w="2340" w:type="dxa"/>
          </w:tcPr>
          <w:p>
            <w:pPr>
              <w:spacing w:before="40" w:after="40" w:line="240" w:lineRule="auto"/>
            </w:pPr>
            <w:r>
              <w:rPr>
                <w:sz w:val="18"/>
                <w:szCs w:val="18"/>
              </w:rPr>
              <w:t xml:space="preserve">Singular perturbation theory</w:t>
            </w:r>
          </w:p>
        </w:tc>
      </w:tr>
    </w:tbl>
    <w:p>
      <w:pPr>
        <w:spacing w:before="120" w:after="120"/>
      </w:pPr>
    </w:p>
    <w:p>
      <w:pPr>
        <w:spacing w:before="0" w:after="0"/>
      </w:pPr>
    </w:p>
    <w:p>
      <w:pPr>
        <w:pBdr>
          <w:bottom w:val="single" w:sz="12" w:space="1" w:color="auto"/>
        </w:pBdr>
        <w:spacing w:before="240" w:after="240"/>
      </w:pPr>
    </w:p>
    <w:p>
      <w:pPr>
        <w:spacing w:before="0" w:after="0"/>
      </w:pPr>
    </w:p>
    <w:p>
      <w:pPr>
        <w:spacing w:before="0" w:after="0"/>
      </w:pPr>
    </w:p>
    <w:p>
      <w:pPr>
        <w:spacing w:before="0" w:after="0"/>
      </w:pPr>
    </w:p>
    <w:p>
      <w:pPr>
        <w:pStyle w:val="Heading1"/>
        <w:spacing w:before="360" w:after="120" w:line="360" w:lineRule="auto"/>
      </w:pPr>
      <w:r>
        <w:rPr>
          <w:b/>
          <w:bCs/>
          <w:sz w:val="28"/>
          <w:szCs w:val="28"/>
        </w:rPr>
        <w:t xml:space="preserve">Section 2: Dynamical Systems Theory in Biological Modeling</w:t>
      </w:r>
    </w:p>
    <w:p>
      <w:pPr>
        <w:spacing w:before="0" w:after="0"/>
      </w:pPr>
    </w:p>
    <w:p>
      <w:pPr>
        <w:pStyle w:val="Heading2"/>
        <w:spacing w:before="240" w:after="120" w:line="360" w:lineRule="auto"/>
      </w:pPr>
      <w:r>
        <w:rPr>
          <w:b/>
          <w:bCs/>
        </w:rPr>
        <w:t xml:space="preserve">2.1 Introduction to Dynamical Systems</w:t>
      </w:r>
    </w:p>
    <w:p>
      <w:pPr>
        <w:spacing w:before="0" w:after="0"/>
      </w:pPr>
    </w:p>
    <w:p>
      <w:pPr>
        <w:pStyle w:val="Heading3"/>
        <w:spacing w:before="180" w:after="60" w:line="360" w:lineRule="auto"/>
      </w:pPr>
      <w:r>
        <w:rPr>
          <w:b/>
          <w:bCs/>
          <w:i/>
          <w:iCs/>
        </w:rPr>
        <w:t xml:space="preserve">Definition of Dynamical Systems in Biology</w:t>
      </w:r>
    </w:p>
    <w:p>
      <w:pPr>
        <w:spacing w:before="0" w:after="0"/>
      </w:pPr>
    </w:p>
    <w:p>
      <w:pPr>
        <w:jc w:val="both"/>
        <w:spacing w:before="0" w:after="120" w:line="360" w:lineRule="auto"/>
      </w:pPr>
      <w:r>
        <w:t xml:space="preserve">A dynamical system is a mathematical framework that describes how the state of a system evolves over time according to fixed rules [4, 58]. Formally, a continuous-time dynamical system is specified by a set of ordinary differential equations dx/dt = F(x), where x is a vector of state variables and F defines the vector field governing the system's evolution [59]. In biological contexts, dynamical systems theory provides the conceptual and analytical tools for understanding how living systems change, maintain homeostasis, respond to perturbations, and transition between qualitatively different behaviors [60].</w:t>
      </w:r>
    </w:p>
    <w:p>
      <w:pPr>
        <w:spacing w:before="0" w:after="0"/>
      </w:pPr>
    </w:p>
    <w:p>
      <w:pPr>
        <w:jc w:val="both"/>
        <w:spacing w:before="0" w:after="120" w:line="360" w:lineRule="auto"/>
      </w:pPr>
      <w:r>
        <w:t xml:space="preserve">The power of dynamical systems theory lies in its ability to characterize the qualitative behavior of systems without necessarily solving the governing equations explicitly [58]. Questions such as whether a system will approach a steady state, oscillate periodically, or exhibit chaotic behavior can often be answered through geometric and topological analysis of the phase space structure [4]. This qualitative approach is particularly valuable in biology, where precise parameter values are frequently unknown but qualitative behavioral features are experimentally observable [61].</w:t>
      </w:r>
    </w:p>
    <w:p>
      <w:pPr>
        <w:spacing w:before="0" w:after="0"/>
      </w:pPr>
    </w:p>
    <w:p>
      <w:pPr>
        <w:pStyle w:val="Heading3"/>
        <w:spacing w:before="180" w:after="60" w:line="360" w:lineRule="auto"/>
      </w:pPr>
      <w:r>
        <w:rPr>
          <w:b/>
          <w:bCs/>
          <w:i/>
          <w:iCs/>
        </w:rPr>
        <w:t xml:space="preserve">State Variables, Phase Space, and Trajectories</w:t>
      </w:r>
    </w:p>
    <w:p>
      <w:pPr>
        <w:spacing w:before="0" w:after="0"/>
      </w:pPr>
    </w:p>
    <w:p>
      <w:pPr>
        <w:jc w:val="both"/>
        <w:spacing w:before="0" w:after="120" w:line="360" w:lineRule="auto"/>
      </w:pPr>
      <w:r>
        <w:t xml:space="preserve">The state of a biological system at any instant is described by its state variables—quantities such as population densities, chemical concentrations, membrane potentials, or gene expression levels [59]. The collection of all possible states forms the phase space (or state space), with each point representing a unique configuration of the system [4]. For a system with n state variables, the phase space is n-dimensional [58].</w:t>
      </w:r>
    </w:p>
    <w:p>
      <w:pPr>
        <w:spacing w:before="0" w:after="0"/>
      </w:pPr>
    </w:p>
    <w:p>
      <w:pPr>
        <w:jc w:val="both"/>
        <w:spacing w:before="0" w:after="120" w:line="360" w:lineRule="auto"/>
      </w:pPr>
      <w:r>
        <w:t xml:space="preserve">As a system evolves in time, its state traces a curve through phase space called a trajectory or orbit [60]. The collection of all possible trajectories constitutes the phase portrait, which provides a complete qualitative picture of system behavior [4]. Phase portraits reveal the geometric structure of dynamics: attractors toward which trajectories converge, repellers from which they diverge, and separatrices that divide phase space into distinct basins of attraction [62]. In biological terms, different attractors may correspond to distinct cell fates, alternative stable states in ecosystems, or endemic versus disease-free equilibria in epidemiology [63, 64].</w:t>
      </w:r>
    </w:p>
    <w:p>
      <w:pPr>
        <w:spacing w:before="0" w:after="0"/>
      </w:pPr>
    </w:p>
    <w:p>
      <w:pPr>
        <w:pStyle w:val="Heading3"/>
        <w:spacing w:before="180" w:after="60" w:line="360" w:lineRule="auto"/>
      </w:pPr>
      <w:r>
        <w:rPr>
          <w:b/>
          <w:bCs/>
          <w:i/>
          <w:iCs/>
        </w:rPr>
        <w:t xml:space="preserve">Continuous vs Discrete Dynamical Systems</w:t>
      </w:r>
    </w:p>
    <w:p>
      <w:pPr>
        <w:spacing w:before="0" w:after="0"/>
      </w:pPr>
    </w:p>
    <w:p>
      <w:pPr>
        <w:jc w:val="both"/>
        <w:spacing w:before="0" w:after="120" w:line="360" w:lineRule="auto"/>
      </w:pPr>
      <w:r>
        <w:t xml:space="preserve">Continuous dynamical systems, described by differential equations, are appropriate when biological processes unfold smoothly in time [11]. Many physiological and biochemical processes—enzyme catalysis, neural membrane dynamics, hormone secretion—are well described by continuous models [5]. The mathematical theory of continuous systems draws upon topology, differential geometry, and functional analysis to characterize behavior [58].</w:t>
      </w:r>
    </w:p>
    <w:p>
      <w:pPr>
        <w:spacing w:before="0" w:after="0"/>
      </w:pPr>
    </w:p>
    <w:p>
      <w:pPr>
        <w:jc w:val="both"/>
        <w:spacing w:before="0" w:after="120" w:line="360" w:lineRule="auto"/>
      </w:pPr>
      <w:r>
        <w:t xml:space="preserve">Discrete dynamical systems, described by difference equations or iterated maps of the form x_{n+1} = G(x_n), arise naturally when biological events occur at distinct time steps [65]. Organisms with non-overlapping generations, annual census data in ecology, and cell division cycles are naturally modeled in discrete time [22]. Discrete systems can exhibit rich dynamical behavior including period-doubling cascades and chaos even in one-dimensional maps, as demonstrated by Robert May's influential analysis of the discrete logistic equation [66]. The choice between continuous and discrete formulations depends on the timescale resolution of interest and the nature of the biological process being modeled [3].</w:t>
      </w:r>
    </w:p>
    <w:p>
      <w:pPr>
        <w:spacing w:before="0" w:after="0"/>
      </w:pPr>
    </w:p>
    <w:p>
      <w:pPr>
        <w:spacing w:before="0" w:after="0"/>
      </w:pPr>
    </w:p>
    <w:p>
      <w:pPr>
        <w:spacing w:before="0" w:after="0"/>
      </w:pPr>
    </w:p>
    <w:p>
      <w:pPr>
        <w:pStyle w:val="Heading2"/>
        <w:spacing w:before="240" w:after="120" w:line="360" w:lineRule="auto"/>
      </w:pPr>
      <w:r>
        <w:rPr>
          <w:b/>
          <w:bCs/>
        </w:rPr>
        <w:t xml:space="preserve">2.2 Stability Analysis and Equilibrium Points</w:t>
      </w:r>
    </w:p>
    <w:p>
      <w:pPr>
        <w:spacing w:before="0" w:after="0"/>
      </w:pPr>
    </w:p>
    <w:p>
      <w:pPr>
        <w:pStyle w:val="Heading3"/>
        <w:spacing w:before="180" w:after="60" w:line="360" w:lineRule="auto"/>
      </w:pPr>
      <w:r>
        <w:rPr>
          <w:b/>
          <w:bCs/>
          <w:i/>
          <w:iCs/>
        </w:rPr>
        <w:t xml:space="preserve">Fixed Points and Steady States</w:t>
      </w:r>
    </w:p>
    <w:p>
      <w:pPr>
        <w:spacing w:before="0" w:after="0"/>
      </w:pPr>
    </w:p>
    <w:p>
      <w:pPr>
        <w:jc w:val="both"/>
        <w:spacing w:before="0" w:after="120" w:line="360" w:lineRule="auto"/>
      </w:pPr>
      <w:r>
        <w:t xml:space="preserve">An equilibrium point (also called a fixed point or steady state) of a dynamical system dx/dt = F(x) is a point x where F(x) = 0 [4, 58]. At such points, all rates of change vanish simultaneously, and the system remains stationary if placed exactly at equilibrium [59]. In biological systems, steady states represent homeostatic conditions—the resting membrane potential of a neuron, the carrying capacity of a population, the basal expression level of a gene, or the disease-free equilibrium of an epidemic model [60, 67].</w:t>
      </w:r>
    </w:p>
    <w:p>
      <w:pPr>
        <w:spacing w:before="0" w:after="0"/>
      </w:pPr>
    </w:p>
    <w:p>
      <w:pPr>
        <w:jc w:val="both"/>
        <w:spacing w:before="0" w:after="120" w:line="360" w:lineRule="auto"/>
      </w:pPr>
      <w:r>
        <w:t xml:space="preserve">Finding equilibrium points requires solving the algebraic system F(x</w:t>
      </w:r>
      <w:r>
        <w:t xml:space="preserve">) = 0, which may yield zero, one, or multiple solutions depending on system parameters [4]. The existence of multiple equilibria is biologically significant, as it implies the possibility of alternative stable states—a phenomenon observed in lake ecosystems (clear vs turbid states), gene regulatory networks (differentiated vs undifferentiated cells), and infectious disease dynamics (endemic vs disease-free conditions) [63, 68]. The number and nature of equilibria may change as parameters vary, leading to the bifurcation phenomena discussed in Section 2.3 [69].</w:t>
      </w:r>
    </w:p>
    <w:p>
      <w:pPr>
        <w:spacing w:before="0" w:after="0"/>
      </w:pPr>
    </w:p>
    <w:p>
      <w:pPr>
        <w:pStyle w:val="Heading3"/>
        <w:spacing w:before="180" w:after="60" w:line="360" w:lineRule="auto"/>
      </w:pPr>
      <w:r>
        <w:rPr>
          <w:b/>
          <w:bCs/>
          <w:i/>
          <w:iCs/>
        </w:rPr>
        <w:t xml:space="preserve">Linearization and Jacobian Matrices</w:t>
      </w:r>
    </w:p>
    <w:p>
      <w:pPr>
        <w:spacing w:before="0" w:after="0"/>
      </w:pPr>
    </w:p>
    <w:p>
      <w:pPr>
        <w:jc w:val="both"/>
        <w:spacing w:before="0" w:after="120" w:line="360" w:lineRule="auto"/>
      </w:pPr>
      <w:r>
        <w:t xml:space="preserve">The behavior of trajectories near an equilibrium point is determined by linearization—approximating the nonlinear vector field F(x) by its first-order Taylor expansion about x [58]. This yields the linearized system dy/dt = Jy, where y = x - x represents the deviation from equilibrium and J is the Jacobian matrix evaluated at x</w:t>
      </w:r>
      <w:r>
        <w:t xml:space="preserve"> [4]. The elements of J are the partial derivatives J_{ij} = partial F_i / partial x_j evaluated at the equilibrium point [59].</w:t>
      </w:r>
    </w:p>
    <w:p>
      <w:pPr>
        <w:spacing w:before="0" w:after="0"/>
      </w:pPr>
    </w:p>
    <w:p>
      <w:pPr>
        <w:jc w:val="both"/>
        <w:spacing w:before="0" w:after="120" w:line="360" w:lineRule="auto"/>
      </w:pPr>
      <w:r>
        <w:t xml:space="preserve">The Jacobian matrix encodes how each state variable's rate of change depends on perturbations in every other variable [60]. In ecological models, Jacobian elements represent interaction strengths between species [70]. In biochemical networks, they quantify the sensitivity of reaction rates to changes in metabolite concentrations [27]. The linearized system captures the essential dynamics near equilibrium and determines whether small perturbations grow or decay over time [4, 71].</w:t>
      </w:r>
    </w:p>
    <w:p>
      <w:pPr>
        <w:spacing w:before="0" w:after="0"/>
      </w:pPr>
    </w:p>
    <w:p>
      <w:pPr>
        <w:pStyle w:val="Heading3"/>
        <w:spacing w:before="180" w:after="60" w:line="360" w:lineRule="auto"/>
      </w:pPr>
      <w:r>
        <w:rPr>
          <w:b/>
          <w:bCs/>
          <w:i/>
          <w:iCs/>
        </w:rPr>
        <w:t xml:space="preserve">Stability Criteria and Biological Interpretation</w:t>
      </w:r>
    </w:p>
    <w:p>
      <w:pPr>
        <w:spacing w:before="0" w:after="0"/>
      </w:pPr>
    </w:p>
    <w:p>
      <w:pPr>
        <w:jc w:val="both"/>
        <w:spacing w:before="0" w:after="120" w:line="360" w:lineRule="auto"/>
      </w:pPr>
      <w:r>
        <w:t xml:space="preserve">The stability of an equilibrium point is determined by the eigenvalues of the Jacobian matrix [58, 59]. If all eigenvalues have negative real parts, the equilibrium is asymptotically stable—small perturbations decay exponentially, and the system returns to steady state [4]. If any eigenvalue has a positive real part, the equilibrium is unstable, and perturbations grow [60]. Complex eigenvalues with negative real parts indicate damped oscillatory approach to equilibrium, while purely imaginary eigenvalues signal the boundary between stability and instability [71].</w:t>
      </w:r>
    </w:p>
    <w:p>
      <w:pPr>
        <w:spacing w:before="0" w:after="0"/>
      </w:pPr>
    </w:p>
    <w:p>
      <w:pPr>
        <w:jc w:val="both"/>
        <w:spacing w:before="0" w:after="120" w:line="360" w:lineRule="auto"/>
      </w:pPr>
      <w:r>
        <w:t xml:space="preserve">In biological terms, stability analysis reveals the robustness of homeostatic states [67]. A stable equilibrium in a population model indicates that the population will return to its carrying capacity after environmental perturbation [22]. An unstable disease-free equilibrium in an epidemiological model signals that a pathogen can invade and establish endemic infection [24, 25]. The basic reproduction number R_0 in epidemiology is directly related to the stability of the disease-free equilibrium: when R_0 &gt; 1, the leading eigenvalue becomes positive, and the disease-free state loses stability [72].</w:t>
      </w:r>
    </w:p>
    <w:p>
      <w:pPr>
        <w:spacing w:before="0" w:after="0"/>
      </w:pPr>
    </w:p>
    <w:p>
      <w:pPr>
        <w:jc w:val="both"/>
        <w:spacing w:before="0" w:after="120" w:line="360" w:lineRule="auto"/>
      </w:pPr>
      <w:r>
        <w:t xml:space="preserve">The Routh-Hurwitz criteria provide algebraic conditions on the coefficients of the characteristic polynomial that guarantee stability without explicitly computing eigenvalues [58]. These conditions are particularly useful for systems of moderate dimension where symbolic eigenvalue computation becomes unwieldy [4]. For two-dimensional systems, stability requires that the trace of J be negative (ensuring the sum of eigenvalues is negative) and the determinant be positive (ensuring the product of eigenvalues is positive) [59].</w:t>
      </w:r>
    </w:p>
    <w:p>
      <w:pPr>
        <w:spacing w:before="0" w:after="0"/>
      </w:pPr>
    </w:p>
    <w:p>
      <w:pPr>
        <w:spacing w:before="0" w:after="0"/>
      </w:pPr>
    </w:p>
    <w:p>
      <w:pPr>
        <w:spacing w:before="0" w:after="0"/>
      </w:pPr>
    </w:p>
    <w:p>
      <w:pPr>
        <w:pStyle w:val="Heading2"/>
        <w:spacing w:before="240" w:after="120" w:line="360" w:lineRule="auto"/>
      </w:pPr>
      <w:r>
        <w:rPr>
          <w:b/>
          <w:bCs/>
        </w:rPr>
        <w:t xml:space="preserve">2.3 Nonlinear Dynamics and Bifurcation Analysis</w:t>
      </w:r>
    </w:p>
    <w:p>
      <w:pPr>
        <w:spacing w:before="0" w:after="0"/>
      </w:pPr>
    </w:p>
    <w:p>
      <w:pPr>
        <w:pStyle w:val="Heading3"/>
        <w:spacing w:before="180" w:after="60" w:line="360" w:lineRule="auto"/>
      </w:pPr>
      <w:r>
        <w:rPr>
          <w:b/>
          <w:bCs/>
          <w:i/>
          <w:iCs/>
        </w:rPr>
        <w:t xml:space="preserve">Nonlinearity in Biological Systems</w:t>
      </w:r>
    </w:p>
    <w:p>
      <w:pPr>
        <w:spacing w:before="0" w:after="0"/>
      </w:pPr>
    </w:p>
    <w:p>
      <w:pPr>
        <w:jc w:val="both"/>
        <w:spacing w:before="0" w:after="120" w:line="360" w:lineRule="auto"/>
      </w:pPr>
      <w:r>
        <w:t xml:space="preserve">Nonlinearity is the rule rather than the exception in biological systems [4, 60]. Saturating enzyme kinetics (Michaelis-Menten), cooperative binding (Hill functions), threshold-dependent activation, and density-dependent growth all introduce nonlinear terms into governing equations [26, 27]. These nonlinearities are responsible for the rich dynamical repertoire of living systems, including multistability, oscillations, excitability, and chaos—behaviors that are impossible in purely linear systems [58, 73].</w:t>
      </w:r>
    </w:p>
    <w:p>
      <w:pPr>
        <w:spacing w:before="0" w:after="0"/>
      </w:pPr>
    </w:p>
    <w:p>
      <w:pPr>
        <w:jc w:val="both"/>
        <w:spacing w:before="0" w:after="120" w:line="360" w:lineRule="auto"/>
      </w:pPr>
      <w:r>
        <w:t xml:space="preserve">The mathematical consequences of nonlinearity are profound [69]. Superposition fails: the response to combined inputs is not the sum of individual responses [4]. Small changes in parameters can produce qualitative changes in behavior [71]. Multiple attractors can coexist, making system behavior history-dependent [63]. These features, while complicating mathematical analysis, reflect genuine biological phenomena. Cellular memory, developmental switches, and critical transitions in ecosystems all arise from underlying nonlinear dynamics [64, 68].</w:t>
      </w:r>
    </w:p>
    <w:p>
      <w:pPr>
        <w:spacing w:before="0" w:after="0"/>
      </w:pPr>
    </w:p>
    <w:p>
      <w:pPr>
        <w:pStyle w:val="Heading3"/>
        <w:spacing w:before="180" w:after="60" w:line="360" w:lineRule="auto"/>
      </w:pPr>
      <w:r>
        <w:rPr>
          <w:b/>
          <w:bCs/>
          <w:i/>
          <w:iCs/>
        </w:rPr>
        <w:t xml:space="preserve">Limit Cycles, Oscillations, and Chaos</w:t>
      </w:r>
    </w:p>
    <w:p>
      <w:pPr>
        <w:spacing w:before="0" w:after="0"/>
      </w:pPr>
    </w:p>
    <w:p>
      <w:pPr>
        <w:jc w:val="both"/>
        <w:spacing w:before="0" w:after="120" w:line="360" w:lineRule="auto"/>
      </w:pPr>
      <w:r>
        <w:t xml:space="preserve">Periodic oscillations are ubiquitous in biology: circadian rhythms, cardiac pacemaker activity, calcium oscillations in signaling cells, predator-prey population cycles, and metabolic oscillations in yeast glycolysis [74, 75]. Mathematically, sustained oscillations correspond to limit cycles—isolated closed orbits in phase space that attract nearby trajectories [4, 58]. The Poincare-Bendixson theorem guarantees that bounded planar systems that cannot converge to equilibrium must contain a limit cycle, providing a powerful existence result for two-dimensional biological oscillators [59].</w:t>
      </w:r>
    </w:p>
    <w:p>
      <w:pPr>
        <w:spacing w:before="0" w:after="0"/>
      </w:pPr>
    </w:p>
    <w:p>
      <w:pPr>
        <w:jc w:val="both"/>
        <w:spacing w:before="0" w:after="120" w:line="360" w:lineRule="auto"/>
      </w:pPr>
      <w:r>
        <w:t xml:space="preserve">The Hopf bifurcation is the primary mathematical mechanism through which oscillations emerge [69, 76]. As a parameter crosses a critical threshold, a stable equilibrium loses stability through a pair of complex conjugate eigenvalues crossing the imaginary axis, and a limit cycle is born [4]. This mechanism underlies the onset of oscillations in numerous biological systems, from the emergence of neural rhythms to the onset of calcium spiking in stimulated cells [29, 77].</w:t>
      </w:r>
    </w:p>
    <w:p>
      <w:pPr>
        <w:spacing w:before="0" w:after="0"/>
      </w:pPr>
    </w:p>
    <w:p>
      <w:pPr>
        <w:jc w:val="both"/>
        <w:spacing w:before="0" w:after="120" w:line="360" w:lineRule="auto"/>
      </w:pPr>
      <w:r>
        <w:t xml:space="preserve">Chaos—deterministic yet unpredictable dynamics characterized by sensitive dependence on initial conditions—has been identified in various biological contexts [66, 78]. Cardiac arrhythmias, irregular neural firing patterns, and fluctuations in insect populations have all been associated with chaotic dynamics [79]. While the biological significance of chaos remains debated, its possibility reminds us that complex, apparently random behavior can arise from simple deterministic rules, challenging naive distinctions between order and randomness in living systems [66, 80].</w:t>
      </w:r>
    </w:p>
    <w:p>
      <w:pPr>
        <w:spacing w:before="0" w:after="0"/>
      </w:pPr>
    </w:p>
    <w:p>
      <w:pPr>
        <w:pStyle w:val="Heading3"/>
        <w:spacing w:before="180" w:after="60" w:line="360" w:lineRule="auto"/>
      </w:pPr>
      <w:r>
        <w:rPr>
          <w:b/>
          <w:bCs/>
          <w:i/>
          <w:iCs/>
        </w:rPr>
        <w:t xml:space="preserve">Bifurcation Theory and Transitions in System Behavior</w:t>
      </w:r>
    </w:p>
    <w:p>
      <w:pPr>
        <w:spacing w:before="0" w:after="0"/>
      </w:pPr>
    </w:p>
    <w:p>
      <w:pPr>
        <w:jc w:val="both"/>
        <w:spacing w:before="0" w:after="120" w:line="360" w:lineRule="auto"/>
      </w:pPr>
      <w:r>
        <w:t xml:space="preserve">Bifurcation theory studies how the qualitative structure of a dynamical system changes as parameters vary [69, 76]. A bifurcation occurs at a parameter value where the number, type, or stability of equilibria or periodic orbits changes [4]. Bifurcations represent critical transitions in biological systems—thresholds beyond which system behavior changes fundamentally [68].</w:t>
      </w:r>
    </w:p>
    <w:p>
      <w:pPr>
        <w:spacing w:before="0" w:after="0"/>
      </w:pPr>
    </w:p>
    <w:p>
      <w:pPr>
        <w:jc w:val="both"/>
        <w:spacing w:before="0" w:after="120" w:line="360" w:lineRule="auto"/>
      </w:pPr>
      <w:r>
        <w:t xml:space="preserve">Saddle-node bifurcations, where two equilibria (one stable, one unstable) collide and annihilate, underlie critical transitions in ecosystems, such as the sudden collapse of fisheries or the irreversible eutrophication of lakes [68, 81]. Transcritical bifurcations, where stability transfers between two equilibria, describe the invasion threshold in epidemiological models (R_0 = 1) [72]. Pitchfork bifurcations arise in systems with symmetry and describe spontaneous symmetry-breaking, relevant to cell polarization and pattern formation [69, 76].</w:t>
      </w:r>
    </w:p>
    <w:p>
      <w:pPr>
        <w:spacing w:before="0" w:after="0"/>
      </w:pPr>
    </w:p>
    <w:p>
      <w:pPr>
        <w:jc w:val="both"/>
        <w:spacing w:before="0" w:after="120" w:line="360" w:lineRule="auto"/>
      </w:pPr>
      <w:r>
        <w:t xml:space="preserve">Bifurcation diagrams, which plot equilibrium values or oscillation amplitudes as functions of a control parameter, provide compact visual summaries of system behavior across parameter ranges [4, 58]. These diagrams reveal hysteresis (history-dependence), bistability (coexisting attractors), and critical thresholds, offering biologists a roadmap for understanding how gradual environmental or physiological changes can trigger abrupt behavioral transitions [63, 81].</w:t>
      </w:r>
    </w:p>
    <w:p>
      <w:pPr>
        <w:spacing w:before="0" w:after="0"/>
      </w:pPr>
    </w:p>
    <w:p>
      <w:pPr>
        <w:jc w:val="center"/>
        <w:spacing w:before="240" w:after="120" w:line="360" w:lineRule="auto"/>
      </w:pPr>
      <w:r>
        <w:rPr>
          <w:b/>
          <w:bCs/>
          <w:sz w:val="22"/>
          <w:szCs w:val="22"/>
        </w:rPr>
        <w:t xml:space="preserve">Table 2: Summary of Dynamical Systems Concepts and Their Biological Significance</w:t>
      </w:r>
    </w:p>
    <w:p>
      <w:pPr>
        <w:spacing w:before="0" w:after="0"/>
      </w:pP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340"/>
        <w:gridCol w:w="2340"/>
        <w:gridCol w:w="2340"/>
      </w:tblGrid>
      <w:tr>
        <w:tc>
          <w:tcPr>
            <w:tcW w:w="2340" w:type="dxa"/>
            <w:shd w:val="clear" w:color="auto" w:fill="D9E2F3"/>
          </w:tcPr>
          <w:p>
            <w:pPr>
              <w:spacing w:before="40" w:after="40" w:line="240" w:lineRule="auto"/>
            </w:pPr>
            <w:r>
              <w:rPr>
                <w:sz w:val="18"/>
                <w:szCs w:val="18"/>
                <w:b/>
                <w:bCs/>
              </w:rPr>
              <w:t xml:space="preserve">Dynamical Systems Concept</w:t>
            </w:r>
          </w:p>
        </w:tc>
        <w:tc>
          <w:tcPr>
            <w:tcW w:w="2340" w:type="dxa"/>
            <w:shd w:val="clear" w:color="auto" w:fill="D9E2F3"/>
          </w:tcPr>
          <w:p>
            <w:pPr>
              <w:spacing w:before="40" w:after="40" w:line="240" w:lineRule="auto"/>
            </w:pPr>
            <w:r>
              <w:rPr>
                <w:sz w:val="18"/>
                <w:szCs w:val="18"/>
                <w:b/>
                <w:bCs/>
              </w:rPr>
              <w:t xml:space="preserve">Mathematical Characterization</w:t>
            </w:r>
          </w:p>
        </w:tc>
        <w:tc>
          <w:tcPr>
            <w:tcW w:w="2340" w:type="dxa"/>
            <w:shd w:val="clear" w:color="auto" w:fill="D9E2F3"/>
          </w:tcPr>
          <w:p>
            <w:pPr>
              <w:spacing w:before="40" w:after="40" w:line="240" w:lineRule="auto"/>
            </w:pPr>
            <w:r>
              <w:rPr>
                <w:sz w:val="18"/>
                <w:szCs w:val="18"/>
                <w:b/>
                <w:bCs/>
              </w:rPr>
              <w:t xml:space="preserve">Biological Example</w:t>
            </w:r>
          </w:p>
        </w:tc>
        <w:tc>
          <w:tcPr>
            <w:tcW w:w="2340" w:type="dxa"/>
            <w:shd w:val="clear" w:color="auto" w:fill="D9E2F3"/>
          </w:tcPr>
          <w:p>
            <w:pPr>
              <w:spacing w:before="40" w:after="40" w:line="240" w:lineRule="auto"/>
            </w:pPr>
            <w:r>
              <w:rPr>
                <w:sz w:val="18"/>
                <w:szCs w:val="18"/>
                <w:b/>
                <w:bCs/>
              </w:rPr>
              <w:t xml:space="preserve">Significance</w:t>
            </w:r>
          </w:p>
        </w:tc>
      </w:tr>
      <w:tr>
        <w:tc>
          <w:tcPr>
            <w:tcW w:w="2340" w:type="dxa"/>
          </w:tcPr>
          <w:p>
            <w:pPr>
              <w:spacing w:before="40" w:after="40" w:line="240" w:lineRule="auto"/>
            </w:pPr>
            <w:r>
              <w:rPr>
                <w:sz w:val="18"/>
                <w:szCs w:val="18"/>
              </w:rPr>
              <w:t xml:space="preserve">Stable Equilibrium</w:t>
            </w:r>
          </w:p>
        </w:tc>
        <w:tc>
          <w:tcPr>
            <w:tcW w:w="2340" w:type="dxa"/>
          </w:tcPr>
          <w:p>
            <w:pPr>
              <w:spacing w:before="40" w:after="40" w:line="240" w:lineRule="auto"/>
            </w:pPr>
            <w:r>
              <w:rPr>
                <w:sz w:val="18"/>
                <w:szCs w:val="18"/>
              </w:rPr>
              <w:t xml:space="preserve">All eigenvalues Re(λ) &lt; 0</w:t>
            </w:r>
          </w:p>
        </w:tc>
        <w:tc>
          <w:tcPr>
            <w:tcW w:w="2340" w:type="dxa"/>
          </w:tcPr>
          <w:p>
            <w:pPr>
              <w:spacing w:before="40" w:after="40" w:line="240" w:lineRule="auto"/>
            </w:pPr>
            <w:r>
              <w:rPr>
                <w:sz w:val="18"/>
                <w:szCs w:val="18"/>
              </w:rPr>
              <w:t xml:space="preserve">Population at carrying capacity</w:t>
            </w:r>
          </w:p>
        </w:tc>
        <w:tc>
          <w:tcPr>
            <w:tcW w:w="2340" w:type="dxa"/>
          </w:tcPr>
          <w:p>
            <w:pPr>
              <w:spacing w:before="40" w:after="40" w:line="240" w:lineRule="auto"/>
            </w:pPr>
            <w:r>
              <w:rPr>
                <w:sz w:val="18"/>
                <w:szCs w:val="18"/>
              </w:rPr>
              <w:t xml:space="preserve">Homeostasis, robustness</w:t>
            </w:r>
          </w:p>
        </w:tc>
      </w:tr>
      <w:tr>
        <w:tc>
          <w:tcPr>
            <w:tcW w:w="2340" w:type="dxa"/>
          </w:tcPr>
          <w:p>
            <w:pPr>
              <w:spacing w:before="40" w:after="40" w:line="240" w:lineRule="auto"/>
            </w:pPr>
            <w:r>
              <w:rPr>
                <w:sz w:val="18"/>
                <w:szCs w:val="18"/>
              </w:rPr>
              <w:t xml:space="preserve">Unstable Equilibrium</w:t>
            </w:r>
          </w:p>
        </w:tc>
        <w:tc>
          <w:tcPr>
            <w:tcW w:w="2340" w:type="dxa"/>
          </w:tcPr>
          <w:p>
            <w:pPr>
              <w:spacing w:before="40" w:after="40" w:line="240" w:lineRule="auto"/>
            </w:pPr>
            <w:r>
              <w:rPr>
                <w:sz w:val="18"/>
                <w:szCs w:val="18"/>
              </w:rPr>
              <w:t xml:space="preserve">Any eigenvalue Re(λ) &gt; 0</w:t>
            </w:r>
          </w:p>
        </w:tc>
        <w:tc>
          <w:tcPr>
            <w:tcW w:w="2340" w:type="dxa"/>
          </w:tcPr>
          <w:p>
            <w:pPr>
              <w:spacing w:before="40" w:after="40" w:line="240" w:lineRule="auto"/>
            </w:pPr>
            <w:r>
              <w:rPr>
                <w:sz w:val="18"/>
                <w:szCs w:val="18"/>
              </w:rPr>
              <w:t xml:space="preserve">Disease-free state when R₀ &gt; 1</w:t>
            </w:r>
          </w:p>
        </w:tc>
        <w:tc>
          <w:tcPr>
            <w:tcW w:w="2340" w:type="dxa"/>
          </w:tcPr>
          <w:p>
            <w:pPr>
              <w:spacing w:before="40" w:after="40" w:line="240" w:lineRule="auto"/>
            </w:pPr>
            <w:r>
              <w:rPr>
                <w:sz w:val="18"/>
                <w:szCs w:val="18"/>
              </w:rPr>
              <w:t xml:space="preserve">Pathogen invasion threshold</w:t>
            </w:r>
          </w:p>
        </w:tc>
      </w:tr>
      <w:tr>
        <w:tc>
          <w:tcPr>
            <w:tcW w:w="2340" w:type="dxa"/>
          </w:tcPr>
          <w:p>
            <w:pPr>
              <w:spacing w:before="40" w:after="40" w:line="240" w:lineRule="auto"/>
            </w:pPr>
            <w:r>
              <w:rPr>
                <w:sz w:val="18"/>
                <w:szCs w:val="18"/>
              </w:rPr>
              <w:t xml:space="preserve">Limit Cycle</w:t>
            </w:r>
          </w:p>
        </w:tc>
        <w:tc>
          <w:tcPr>
            <w:tcW w:w="2340" w:type="dxa"/>
          </w:tcPr>
          <w:p>
            <w:pPr>
              <w:spacing w:before="40" w:after="40" w:line="240" w:lineRule="auto"/>
            </w:pPr>
            <w:r>
              <w:rPr>
                <w:sz w:val="18"/>
                <w:szCs w:val="18"/>
              </w:rPr>
              <w:t xml:space="preserve">Isolated closed orbit in phase space</w:t>
            </w:r>
          </w:p>
        </w:tc>
        <w:tc>
          <w:tcPr>
            <w:tcW w:w="2340" w:type="dxa"/>
          </w:tcPr>
          <w:p>
            <w:pPr>
              <w:spacing w:before="40" w:after="40" w:line="240" w:lineRule="auto"/>
            </w:pPr>
            <w:r>
              <w:rPr>
                <w:sz w:val="18"/>
                <w:szCs w:val="18"/>
              </w:rPr>
              <w:t xml:space="preserve">Circadian rhythms, cardiac pacemaker</w:t>
            </w:r>
          </w:p>
        </w:tc>
        <w:tc>
          <w:tcPr>
            <w:tcW w:w="2340" w:type="dxa"/>
          </w:tcPr>
          <w:p>
            <w:pPr>
              <w:spacing w:before="40" w:after="40" w:line="240" w:lineRule="auto"/>
            </w:pPr>
            <w:r>
              <w:rPr>
                <w:sz w:val="18"/>
                <w:szCs w:val="18"/>
              </w:rPr>
              <w:t xml:space="preserve">Sustained biological oscillations</w:t>
            </w:r>
          </w:p>
        </w:tc>
      </w:tr>
      <w:tr>
        <w:tc>
          <w:tcPr>
            <w:tcW w:w="2340" w:type="dxa"/>
          </w:tcPr>
          <w:p>
            <w:pPr>
              <w:spacing w:before="40" w:after="40" w:line="240" w:lineRule="auto"/>
            </w:pPr>
            <w:r>
              <w:rPr>
                <w:sz w:val="18"/>
                <w:szCs w:val="18"/>
              </w:rPr>
              <w:t xml:space="preserve">Hopf Bifurcation</w:t>
            </w:r>
          </w:p>
        </w:tc>
        <w:tc>
          <w:tcPr>
            <w:tcW w:w="2340" w:type="dxa"/>
          </w:tcPr>
          <w:p>
            <w:pPr>
              <w:spacing w:before="40" w:after="40" w:line="240" w:lineRule="auto"/>
            </w:pPr>
            <w:r>
              <w:rPr>
                <w:sz w:val="18"/>
                <w:szCs w:val="18"/>
              </w:rPr>
              <w:t xml:space="preserve">Complex eigenvalues cross imaginary axis</w:t>
            </w:r>
          </w:p>
        </w:tc>
        <w:tc>
          <w:tcPr>
            <w:tcW w:w="2340" w:type="dxa"/>
          </w:tcPr>
          <w:p>
            <w:pPr>
              <w:spacing w:before="40" w:after="40" w:line="240" w:lineRule="auto"/>
            </w:pPr>
            <w:r>
              <w:rPr>
                <w:sz w:val="18"/>
                <w:szCs w:val="18"/>
              </w:rPr>
              <w:t xml:space="preserve">Onset of calcium spiking</w:t>
            </w:r>
          </w:p>
        </w:tc>
        <w:tc>
          <w:tcPr>
            <w:tcW w:w="2340" w:type="dxa"/>
          </w:tcPr>
          <w:p>
            <w:pPr>
              <w:spacing w:before="40" w:after="40" w:line="240" w:lineRule="auto"/>
            </w:pPr>
            <w:r>
              <w:rPr>
                <w:sz w:val="18"/>
                <w:szCs w:val="18"/>
              </w:rPr>
              <w:t xml:space="preserve">Emergence of rhythmic behavior</w:t>
            </w:r>
          </w:p>
        </w:tc>
      </w:tr>
      <w:tr>
        <w:tc>
          <w:tcPr>
            <w:tcW w:w="2340" w:type="dxa"/>
          </w:tcPr>
          <w:p>
            <w:pPr>
              <w:spacing w:before="40" w:after="40" w:line="240" w:lineRule="auto"/>
            </w:pPr>
            <w:r>
              <w:rPr>
                <w:sz w:val="18"/>
                <w:szCs w:val="18"/>
              </w:rPr>
              <w:t xml:space="preserve">Saddle-Node Bifurcation</w:t>
            </w:r>
          </w:p>
        </w:tc>
        <w:tc>
          <w:tcPr>
            <w:tcW w:w="2340" w:type="dxa"/>
          </w:tcPr>
          <w:p>
            <w:pPr>
              <w:spacing w:before="40" w:after="40" w:line="240" w:lineRule="auto"/>
            </w:pPr>
            <w:r>
              <w:rPr>
                <w:sz w:val="18"/>
                <w:szCs w:val="18"/>
              </w:rPr>
              <w:t xml:space="preserve">Two equilibria collide and annihilate</w:t>
            </w:r>
          </w:p>
        </w:tc>
        <w:tc>
          <w:tcPr>
            <w:tcW w:w="2340" w:type="dxa"/>
          </w:tcPr>
          <w:p>
            <w:pPr>
              <w:spacing w:before="40" w:after="40" w:line="240" w:lineRule="auto"/>
            </w:pPr>
            <w:r>
              <w:rPr>
                <w:sz w:val="18"/>
                <w:szCs w:val="18"/>
              </w:rPr>
              <w:t xml:space="preserve">Ecosystem collapse, lake eutrophication</w:t>
            </w:r>
          </w:p>
        </w:tc>
        <w:tc>
          <w:tcPr>
            <w:tcW w:w="2340" w:type="dxa"/>
          </w:tcPr>
          <w:p>
            <w:pPr>
              <w:spacing w:before="40" w:after="40" w:line="240" w:lineRule="auto"/>
            </w:pPr>
            <w:r>
              <w:rPr>
                <w:sz w:val="18"/>
                <w:szCs w:val="18"/>
              </w:rPr>
              <w:t xml:space="preserve">Critical transitions, tipping points</w:t>
            </w:r>
          </w:p>
        </w:tc>
      </w:tr>
      <w:tr>
        <w:tc>
          <w:tcPr>
            <w:tcW w:w="2340" w:type="dxa"/>
          </w:tcPr>
          <w:p>
            <w:pPr>
              <w:spacing w:before="40" w:after="40" w:line="240" w:lineRule="auto"/>
            </w:pPr>
            <w:r>
              <w:rPr>
                <w:sz w:val="18"/>
                <w:szCs w:val="18"/>
              </w:rPr>
              <w:t xml:space="preserve">Transcritical Bifurcation</w:t>
            </w:r>
          </w:p>
        </w:tc>
        <w:tc>
          <w:tcPr>
            <w:tcW w:w="2340" w:type="dxa"/>
          </w:tcPr>
          <w:p>
            <w:pPr>
              <w:spacing w:before="40" w:after="40" w:line="240" w:lineRule="auto"/>
            </w:pPr>
            <w:r>
              <w:rPr>
                <w:sz w:val="18"/>
                <w:szCs w:val="18"/>
              </w:rPr>
              <w:t xml:space="preserve">Stability exchange between equilibria</w:t>
            </w:r>
          </w:p>
        </w:tc>
        <w:tc>
          <w:tcPr>
            <w:tcW w:w="2340" w:type="dxa"/>
          </w:tcPr>
          <w:p>
            <w:pPr>
              <w:spacing w:before="40" w:after="40" w:line="240" w:lineRule="auto"/>
            </w:pPr>
            <w:r>
              <w:rPr>
                <w:sz w:val="18"/>
                <w:szCs w:val="18"/>
              </w:rPr>
              <w:t xml:space="preserve">Epidemic threshold (R₀ = 1)</w:t>
            </w:r>
          </w:p>
        </w:tc>
        <w:tc>
          <w:tcPr>
            <w:tcW w:w="2340" w:type="dxa"/>
          </w:tcPr>
          <w:p>
            <w:pPr>
              <w:spacing w:before="40" w:after="40" w:line="240" w:lineRule="auto"/>
            </w:pPr>
            <w:r>
              <w:rPr>
                <w:sz w:val="18"/>
                <w:szCs w:val="18"/>
              </w:rPr>
              <w:t xml:space="preserve">Invasion/extinction boundaries</w:t>
            </w:r>
          </w:p>
        </w:tc>
      </w:tr>
      <w:tr>
        <w:tc>
          <w:tcPr>
            <w:tcW w:w="2340" w:type="dxa"/>
          </w:tcPr>
          <w:p>
            <w:pPr>
              <w:spacing w:before="40" w:after="40" w:line="240" w:lineRule="auto"/>
            </w:pPr>
            <w:r>
              <w:rPr>
                <w:sz w:val="18"/>
                <w:szCs w:val="18"/>
              </w:rPr>
              <w:t xml:space="preserve">Chaos</w:t>
            </w:r>
          </w:p>
        </w:tc>
        <w:tc>
          <w:tcPr>
            <w:tcW w:w="2340" w:type="dxa"/>
          </w:tcPr>
          <w:p>
            <w:pPr>
              <w:spacing w:before="40" w:after="40" w:line="240" w:lineRule="auto"/>
            </w:pPr>
            <w:r>
              <w:rPr>
                <w:sz w:val="18"/>
                <w:szCs w:val="18"/>
              </w:rPr>
              <w:t xml:space="preserve">Sensitive dependence on initial conditions</w:t>
            </w:r>
          </w:p>
        </w:tc>
        <w:tc>
          <w:tcPr>
            <w:tcW w:w="2340" w:type="dxa"/>
          </w:tcPr>
          <w:p>
            <w:pPr>
              <w:spacing w:before="40" w:after="40" w:line="240" w:lineRule="auto"/>
            </w:pPr>
            <w:r>
              <w:rPr>
                <w:sz w:val="18"/>
                <w:szCs w:val="18"/>
              </w:rPr>
              <w:t xml:space="preserve">Cardiac arrhythmias, insect populations</w:t>
            </w:r>
          </w:p>
        </w:tc>
        <w:tc>
          <w:tcPr>
            <w:tcW w:w="2340" w:type="dxa"/>
          </w:tcPr>
          <w:p>
            <w:pPr>
              <w:spacing w:before="40" w:after="40" w:line="240" w:lineRule="auto"/>
            </w:pPr>
            <w:r>
              <w:rPr>
                <w:sz w:val="18"/>
                <w:szCs w:val="18"/>
              </w:rPr>
              <w:t xml:space="preserve">Deterministic unpredictability</w:t>
            </w:r>
          </w:p>
        </w:tc>
      </w:tr>
      <w:tr>
        <w:tc>
          <w:tcPr>
            <w:tcW w:w="2340" w:type="dxa"/>
          </w:tcPr>
          <w:p>
            <w:pPr>
              <w:spacing w:before="40" w:after="40" w:line="240" w:lineRule="auto"/>
            </w:pPr>
            <w:r>
              <w:rPr>
                <w:sz w:val="18"/>
                <w:szCs w:val="18"/>
              </w:rPr>
              <w:t xml:space="preserve">Bistability</w:t>
            </w:r>
          </w:p>
        </w:tc>
        <w:tc>
          <w:tcPr>
            <w:tcW w:w="2340" w:type="dxa"/>
          </w:tcPr>
          <w:p>
            <w:pPr>
              <w:spacing w:before="40" w:after="40" w:line="240" w:lineRule="auto"/>
            </w:pPr>
            <w:r>
              <w:rPr>
                <w:sz w:val="18"/>
                <w:szCs w:val="18"/>
              </w:rPr>
              <w:t xml:space="preserve">Two coexisting stable attractors</w:t>
            </w:r>
          </w:p>
        </w:tc>
        <w:tc>
          <w:tcPr>
            <w:tcW w:w="2340" w:type="dxa"/>
          </w:tcPr>
          <w:p>
            <w:pPr>
              <w:spacing w:before="40" w:after="40" w:line="240" w:lineRule="auto"/>
            </w:pPr>
            <w:r>
              <w:rPr>
                <w:sz w:val="18"/>
                <w:szCs w:val="18"/>
              </w:rPr>
              <w:t xml:space="preserve">Cell fate decisions, genetic switches</w:t>
            </w:r>
          </w:p>
        </w:tc>
        <w:tc>
          <w:tcPr>
            <w:tcW w:w="2340" w:type="dxa"/>
          </w:tcPr>
          <w:p>
            <w:pPr>
              <w:spacing w:before="40" w:after="40" w:line="240" w:lineRule="auto"/>
            </w:pPr>
            <w:r>
              <w:rPr>
                <w:sz w:val="18"/>
                <w:szCs w:val="18"/>
              </w:rPr>
              <w:t xml:space="preserve">Cellular memory, irreversible transitions</w:t>
            </w:r>
          </w:p>
        </w:tc>
      </w:tr>
    </w:tbl>
    <w:p>
      <w:pPr>
        <w:spacing w:before="120" w:after="120"/>
      </w:pPr>
    </w:p>
    <w:p>
      <w:pPr>
        <w:spacing w:before="0" w:after="0"/>
      </w:pPr>
    </w:p>
    <w:p>
      <w:pPr>
        <w:pBdr>
          <w:bottom w:val="single" w:sz="12" w:space="1" w:color="auto"/>
        </w:pBdr>
        <w:spacing w:before="240" w:after="240"/>
      </w:pPr>
    </w:p>
    <w:p>
      <w:pPr>
        <w:spacing w:before="0" w:after="0"/>
      </w:pPr>
    </w:p>
    <w:p>
      <w:pPr>
        <w:spacing w:before="0" w:after="0"/>
      </w:pPr>
    </w:p>
    <w:p>
      <w:pPr>
        <w:spacing w:before="0" w:after="0"/>
      </w:pPr>
    </w:p>
    <w:p>
      <w:pPr>
        <w:pStyle w:val="Heading1"/>
        <w:spacing w:before="360" w:after="120" w:line="360" w:lineRule="auto"/>
      </w:pPr>
      <w:r>
        <w:rPr>
          <w:b/>
          <w:bCs/>
          <w:sz w:val="28"/>
          <w:szCs w:val="28"/>
        </w:rPr>
        <w:t xml:space="preserve">Section 3: Applications in Biological Systems</w:t>
      </w:r>
    </w:p>
    <w:p>
      <w:pPr>
        <w:spacing w:before="0" w:after="0"/>
      </w:pPr>
    </w:p>
    <w:p>
      <w:pPr>
        <w:pStyle w:val="Heading2"/>
        <w:spacing w:before="240" w:after="120" w:line="360" w:lineRule="auto"/>
      </w:pPr>
      <w:r>
        <w:rPr>
          <w:b/>
          <w:bCs/>
        </w:rPr>
        <w:t xml:space="preserve">3.1 Population Dynamics and Ecology Models</w:t>
      </w:r>
    </w:p>
    <w:p>
      <w:pPr>
        <w:spacing w:before="0" w:after="0"/>
      </w:pPr>
    </w:p>
    <w:p>
      <w:pPr>
        <w:pStyle w:val="Heading3"/>
        <w:spacing w:before="180" w:after="60" w:line="360" w:lineRule="auto"/>
      </w:pPr>
      <w:r>
        <w:rPr>
          <w:b/>
          <w:bCs/>
          <w:i/>
          <w:iCs/>
        </w:rPr>
        <w:t xml:space="preserve">Exponential and Logistic Growth Models</w:t>
      </w:r>
    </w:p>
    <w:p>
      <w:pPr>
        <w:spacing w:before="0" w:after="0"/>
      </w:pPr>
    </w:p>
    <w:p>
      <w:pPr>
        <w:jc w:val="both"/>
        <w:spacing w:before="0" w:after="120" w:line="360" w:lineRule="auto"/>
      </w:pPr>
      <w:r>
        <w:t xml:space="preserve">The simplest model of population growth assumes that the per-capita growth rate is constant, yielding the exponential growth equation dN/dt = rN, where N is population size and r is the intrinsic rate of natural increase [22, 37]. This model captures the initial phase of growth in unlimited environments and has the analytical solution N(t) = N_0 e^{rt} [3]. While biologically unrealistic over long timescales (no population can grow without bound), exponential growth provides the baseline against which more realistic models are measured and serves as an excellent approximation during the early colonization phase of microbial cultures and invasive species establishments [23].</w:t>
      </w:r>
    </w:p>
    <w:p>
      <w:pPr>
        <w:spacing w:before="0" w:after="0"/>
      </w:pPr>
    </w:p>
    <w:p>
      <w:pPr>
        <w:jc w:val="both"/>
        <w:spacing w:before="0" w:after="120" w:line="360" w:lineRule="auto"/>
      </w:pPr>
      <w:r>
        <w:t xml:space="preserve">The logistic equation, dN/dt = rN(1 - N/K), introduces environmental carrying capacity K as a density-dependent feedback mechanism [37]. As population size approaches K, per-capita growth rate declines linearly to zero, reflecting resource limitation, waste accumulation, or increased competition [22]. The logistic model exhibits a single stable equilibrium at N = K and an unstable equilibrium at N = 0, meaning that any positive initial population will eventually converge to carrying capacity [23]. Despite its simplicity, the logistic equation captures the essential qualitative features of density-regulated growth observed across taxa from bacteria to mammals [16].</w:t>
      </w:r>
    </w:p>
    <w:p>
      <w:pPr>
        <w:spacing w:before="0" w:after="0"/>
      </w:pPr>
    </w:p>
    <w:p>
      <w:pPr>
        <w:jc w:val="both"/>
        <w:spacing w:before="0" w:after="120" w:line="360" w:lineRule="auto"/>
      </w:pPr>
      <w:r>
        <w:t xml:space="preserve">Extensions of the logistic framework incorporate time delays (reflecting maturation periods or resource regeneration times), Allee effects (reduced growth at low densities due to mate-finding difficulties or cooperative feeding), and environmental stochasticity [82, 83]. Time-delayed logistic equations can generate oscillations and chaos, demonstrating how biological delays introduce dynamical complexity [66]. Allee effects create unstable equilibria that define minimum viable population sizes, with profound implications for conservation biology [83].</w:t>
      </w:r>
    </w:p>
    <w:p>
      <w:pPr>
        <w:spacing w:before="0" w:after="0"/>
      </w:pPr>
    </w:p>
    <w:p>
      <w:pPr>
        <w:pStyle w:val="Heading3"/>
        <w:spacing w:before="180" w:after="60" w:line="360" w:lineRule="auto"/>
      </w:pPr>
      <w:r>
        <w:rPr>
          <w:b/>
          <w:bCs/>
          <w:i/>
          <w:iCs/>
        </w:rPr>
        <w:t xml:space="preserve">Predator-Prey Models (Lotka-Volterra Systems)</w:t>
      </w:r>
    </w:p>
    <w:p>
      <w:pPr>
        <w:spacing w:before="0" w:after="0"/>
      </w:pPr>
    </w:p>
    <w:p>
      <w:pPr>
        <w:jc w:val="both"/>
        <w:spacing w:before="0" w:after="120" w:line="360" w:lineRule="auto"/>
      </w:pPr>
      <w:r>
        <w:t xml:space="preserve">The classical Lotka-Volterra predator-prey model consists of two coupled ODEs: dH/dt = aH - bHP for prey (H) and dP/dt = cbHP - dP for predators (P), where a is prey birth rate, b is predation rate, c is conversion efficiency, and d is predator death rate [14, 15]. This system exhibits neutrally stable periodic orbits in which prey and predator populations oscillate out of phase—a prediction qualitatively consistent with observed cycles in lynx-hare populations and plankton communities [16, 23].</w:t>
      </w:r>
    </w:p>
    <w:p>
      <w:pPr>
        <w:spacing w:before="0" w:after="0"/>
      </w:pPr>
    </w:p>
    <w:p>
      <w:pPr>
        <w:jc w:val="both"/>
        <w:spacing w:before="0" w:after="120" w:line="360" w:lineRule="auto"/>
      </w:pPr>
      <w:r>
        <w:t xml:space="preserve">However, the structural instability of the classical Lotka-Volterra system (neutral stability is destroyed by any perturbation) motivated the development of more realistic predator-prey models [70]. The Rosenzweig-MacArthur model incorporates logistic prey growth and a saturating (Type II) functional response, producing either a stable coexistence equilibrium or a stable limit cycle depending on parameters [84]. The paradox of enrichment—the counterintuitive prediction that increasing prey carrying capacity can destabilize coexistence and drive both populations to extinction through large-amplitude oscillations—emerged from analysis of this model and stimulated decades of theoretical and experimental research [84, 85].</w:t>
      </w:r>
    </w:p>
    <w:p>
      <w:pPr>
        <w:spacing w:before="0" w:after="0"/>
      </w:pPr>
    </w:p>
    <w:p>
      <w:pPr>
        <w:pStyle w:val="Heading3"/>
        <w:spacing w:before="180" w:after="60" w:line="360" w:lineRule="auto"/>
      </w:pPr>
      <w:r>
        <w:rPr>
          <w:b/>
          <w:bCs/>
          <w:i/>
          <w:iCs/>
        </w:rPr>
        <w:t xml:space="preserve">Competition and Coexistence Models</w:t>
      </w:r>
    </w:p>
    <w:p>
      <w:pPr>
        <w:spacing w:before="0" w:after="0"/>
      </w:pPr>
    </w:p>
    <w:p>
      <w:pPr>
        <w:jc w:val="both"/>
        <w:spacing w:before="0" w:after="120" w:line="360" w:lineRule="auto"/>
      </w:pPr>
      <w:r>
        <w:t xml:space="preserve">Interspecific competition is modeled by coupled logistic equations with interaction terms: dN_1/dt = r_1 N_1(1 - (N_1 + alpha_{12} N_2)/K_1) and similarly for species 2 [22, 23]. The competition coefficients alpha_{ij} measure the per-capita effect of species j on species i relative to intraspecific competition [70]. Analysis of this system yields the competitive exclusion principle: two species competing for a single limiting resource cannot coexist indefinitely unless their niches are sufficiently differentiated [86].</w:t>
      </w:r>
    </w:p>
    <w:p>
      <w:pPr>
        <w:spacing w:before="0" w:after="0"/>
      </w:pPr>
    </w:p>
    <w:p>
      <w:pPr>
        <w:jc w:val="both"/>
        <w:spacing w:before="0" w:after="120" w:line="360" w:lineRule="auto"/>
      </w:pPr>
      <w:r>
        <w:t xml:space="preserve">The conditions for stable coexistence require that intraspecific competition exceed interspecific competition for both species (alpha_{12} &lt; K_1/K_2 and alpha_{21} &lt; K_2/K_1) [23]. When these conditions are violated, one species competitively excludes the other, with the identity of the winner determined by initial conditions in cases of bistability [86]. Modern extensions incorporate spatial heterogeneity, temporal variation, and multiple resources, revealing mechanisms of coexistence invisible to simple mean-field models [87]. The storage effect, relative nonlinearity of competition, and spatial niche partitioning all enable coexistence beyond the predictions of classical competition theory [87, 88].</w:t>
      </w:r>
    </w:p>
    <w:p>
      <w:pPr>
        <w:spacing w:before="0" w:after="0"/>
      </w:pPr>
    </w:p>
    <w:p>
      <w:pPr>
        <w:spacing w:before="0" w:after="0"/>
      </w:pPr>
    </w:p>
    <w:p>
      <w:pPr>
        <w:spacing w:before="0" w:after="0"/>
      </w:pPr>
    </w:p>
    <w:p>
      <w:pPr>
        <w:pStyle w:val="Heading2"/>
        <w:spacing w:before="240" w:after="120" w:line="360" w:lineRule="auto"/>
      </w:pPr>
      <w:r>
        <w:rPr>
          <w:b/>
          <w:bCs/>
        </w:rPr>
        <w:t xml:space="preserve">3.2 Epidemiological Modeling</w:t>
      </w:r>
    </w:p>
    <w:p>
      <w:pPr>
        <w:spacing w:before="0" w:after="0"/>
      </w:pPr>
    </w:p>
    <w:p>
      <w:pPr>
        <w:pStyle w:val="Heading3"/>
        <w:spacing w:before="180" w:after="60" w:line="360" w:lineRule="auto"/>
      </w:pPr>
      <w:r>
        <w:rPr>
          <w:b/>
          <w:bCs/>
          <w:i/>
          <w:iCs/>
        </w:rPr>
        <w:t xml:space="preserve">SIR, SEIR, and Compartmental Models</w:t>
      </w:r>
    </w:p>
    <w:p>
      <w:pPr>
        <w:spacing w:before="0" w:after="0"/>
      </w:pPr>
    </w:p>
    <w:p>
      <w:pPr>
        <w:jc w:val="both"/>
        <w:spacing w:before="0" w:after="120" w:line="360" w:lineRule="auto"/>
      </w:pPr>
      <w:r>
        <w:t xml:space="preserve">Mathematical epidemiology builds upon the compartmental modeling framework, in which a population is divided into distinct classes based on disease status [24, 25]. The foundational SIR model, developed by Kermack and McKendrick in 1927, partitions the population into Susceptible (S), Infected (I), and Recovered (R) compartments governed by the system: dS/dt = -beta SI/N, dI/dt = beta SI/N - gamma I, dR/dt = gamma I, where beta is the transmission rate, gamma is the recovery rate, and N is total population size [72].</w:t>
      </w:r>
    </w:p>
    <w:p>
      <w:pPr>
        <w:spacing w:before="0" w:after="0"/>
      </w:pPr>
    </w:p>
    <w:p>
      <w:pPr>
        <w:jc w:val="both"/>
        <w:spacing w:before="0" w:after="120" w:line="360" w:lineRule="auto"/>
      </w:pPr>
      <w:r>
        <w:t xml:space="preserve">The SIR model captures the essential dynamics of epidemic outbreaks: initial exponential growth of infections when most of the population is susceptible, followed by a peak and decline as the susceptible pool is depleted [24]. The model predicts that epidemics are self-limiting—not everyone need become infected before the epidemic wanes—a phenomenon explained by herd immunity [25, 72].</w:t>
      </w:r>
    </w:p>
    <w:p>
      <w:pPr>
        <w:spacing w:before="0" w:after="0"/>
      </w:pPr>
    </w:p>
    <w:p>
      <w:pPr>
        <w:jc w:val="both"/>
        <w:spacing w:before="0" w:after="120" w:line="360" w:lineRule="auto"/>
      </w:pPr>
      <w:r>
        <w:t xml:space="preserve">The SEIR model extends this framework by introducing an Exposed (E) compartment representing individuals who have been infected but are not yet infectious (latent period) [89]. This addition is crucial for diseases such as measles, influenza, and COVID-19, where the incubation period significantly affects transmission dynamics [90]. Further extensions include SEIRS models (with waning immunity), models with age structure, models with multiple pathogen strains, and models incorporating spatial heterogeneity through metapopulation or network structures [25, 91].</w:t>
      </w:r>
    </w:p>
    <w:p>
      <w:pPr>
        <w:spacing w:before="0" w:after="0"/>
      </w:pPr>
    </w:p>
    <w:p>
      <w:pPr>
        <w:pStyle w:val="Heading3"/>
        <w:spacing w:before="180" w:after="60" w:line="360" w:lineRule="auto"/>
      </w:pPr>
      <w:r>
        <w:rPr>
          <w:b/>
          <w:bCs/>
          <w:i/>
          <w:iCs/>
        </w:rPr>
        <w:t xml:space="preserve">Disease Transmission Dynamics</w:t>
      </w:r>
    </w:p>
    <w:p>
      <w:pPr>
        <w:spacing w:before="0" w:after="0"/>
      </w:pPr>
    </w:p>
    <w:p>
      <w:pPr>
        <w:jc w:val="both"/>
        <w:spacing w:before="0" w:after="120" w:line="360" w:lineRule="auto"/>
      </w:pPr>
      <w:r>
        <w:t xml:space="preserve">The basic reproduction number R_0, defined as the expected number of secondary infections produced by a single infected individual in a fully susceptible population, is the central quantity in mathematical epidemiology [72, 92]. For the SIR model, R_0 = beta/gamma. When R_0 &gt; 1, the disease-free equilibrium is unstable and an epidemic can occur; when R_0 &lt; 1, the disease-free state is stable and the infection dies out [24].</w:t>
      </w:r>
    </w:p>
    <w:p>
      <w:pPr>
        <w:spacing w:before="0" w:after="0"/>
      </w:pPr>
    </w:p>
    <w:p>
      <w:pPr>
        <w:jc w:val="both"/>
        <w:spacing w:before="0" w:after="120" w:line="360" w:lineRule="auto"/>
      </w:pPr>
      <w:r>
        <w:t xml:space="preserve">The effective reproduction number R_t accounts for the depletion of susceptibles over the course of an epidemic: R_t = R_0 S(t)/N [25]. The epidemic peaks when R_t = 1 (equivalently, when S = N/R_0), providing the basis for calculating final epidemic size and the herd immunity threshold [72]. The generation time distribution, serial interval, and incubation period further refine transmission dynamics and are essential for real-time epidemic forecasting [89, 92].</w:t>
      </w:r>
    </w:p>
    <w:p>
      <w:pPr>
        <w:spacing w:before="0" w:after="0"/>
      </w:pPr>
    </w:p>
    <w:p>
      <w:pPr>
        <w:jc w:val="both"/>
        <w:spacing w:before="0" w:after="120" w:line="360" w:lineRule="auto"/>
      </w:pPr>
      <w:r>
        <w:t xml:space="preserve">Force of infection—the per-capita rate at which susceptible individuals become infected—depends on the prevalence of infection, contact patterns, and transmission probability per contact [24]. Heterogeneity in contact patterns, captured through contact matrices stratified by age, occupation, or spatial location, profoundly influences epidemic dynamics and the effectiveness of targeted interventions [91, 93].</w:t>
      </w:r>
    </w:p>
    <w:p>
      <w:pPr>
        <w:spacing w:before="0" w:after="0"/>
      </w:pPr>
    </w:p>
    <w:p>
      <w:pPr>
        <w:pStyle w:val="Heading3"/>
        <w:spacing w:before="180" w:after="60" w:line="360" w:lineRule="auto"/>
      </w:pPr>
      <w:r>
        <w:rPr>
          <w:b/>
          <w:bCs/>
          <w:i/>
          <w:iCs/>
        </w:rPr>
        <w:t xml:space="preserve">Impact of Vaccination and Control Strategies</w:t>
      </w:r>
    </w:p>
    <w:p>
      <w:pPr>
        <w:spacing w:before="0" w:after="0"/>
      </w:pPr>
    </w:p>
    <w:p>
      <w:pPr>
        <w:jc w:val="both"/>
        <w:spacing w:before="0" w:after="120" w:line="360" w:lineRule="auto"/>
      </w:pPr>
      <w:r>
        <w:t xml:space="preserve">Mathematical models provide the quantitative foundation for evaluating vaccination strategies and public health interventions [25, 90]. The critical vaccination coverage required to achieve herd immunity is p_c = 1 - 1/R_0, derived directly from the stability condition of the disease-free equilibrium in models with vaccination [72]. For measles (R_0 approximately 12-18), this implies coverage exceeding 92-95% is necessary—a prediction that has been confirmed empirically [24].</w:t>
      </w:r>
    </w:p>
    <w:p>
      <w:pPr>
        <w:spacing w:before="0" w:after="0"/>
      </w:pPr>
    </w:p>
    <w:p>
      <w:pPr>
        <w:jc w:val="both"/>
        <w:spacing w:before="0" w:after="120" w:line="360" w:lineRule="auto"/>
      </w:pPr>
      <w:r>
        <w:t xml:space="preserve">Models incorporating imperfect vaccine efficacy, waning immunity, age-dependent vaccination schedules, and heterogeneous mixing provide more nuanced guidance for immunization programs [91, 93]. Optimal control theory applied to epidemic models identifies time-dependent intervention strategies (quarantine intensity, social distancing measures, vaccination rates) that minimize disease burden subject to resource constraints [89]. The COVID-19 pandemic dramatically demonstrated the practical value of mathematical epidemiology, with models informing lockdown policies, hospital capacity planning, vaccine allocation strategies, and the timing of intervention relaxation worldwide [90, 92].</w:t>
      </w:r>
    </w:p>
    <w:p>
      <w:pPr>
        <w:spacing w:before="0" w:after="0"/>
      </w:pPr>
    </w:p>
    <w:p>
      <w:pPr>
        <w:spacing w:before="0" w:after="0"/>
      </w:pPr>
    </w:p>
    <w:p>
      <w:pPr>
        <w:spacing w:before="0" w:after="0"/>
      </w:pPr>
    </w:p>
    <w:p>
      <w:pPr>
        <w:pStyle w:val="Heading2"/>
        <w:spacing w:before="240" w:after="120" w:line="360" w:lineRule="auto"/>
      </w:pPr>
      <w:r>
        <w:rPr>
          <w:b/>
          <w:bCs/>
        </w:rPr>
        <w:t xml:space="preserve">3.3 Cellular and Physiological Systems Modeling</w:t>
      </w:r>
    </w:p>
    <w:p>
      <w:pPr>
        <w:spacing w:before="0" w:after="0"/>
      </w:pPr>
    </w:p>
    <w:p>
      <w:pPr>
        <w:pStyle w:val="Heading3"/>
        <w:spacing w:before="180" w:after="60" w:line="360" w:lineRule="auto"/>
      </w:pPr>
      <w:r>
        <w:rPr>
          <w:b/>
          <w:bCs/>
          <w:i/>
          <w:iCs/>
        </w:rPr>
        <w:t xml:space="preserve">Enzyme Kinetics and Biochemical Reactions</w:t>
      </w:r>
    </w:p>
    <w:p>
      <w:pPr>
        <w:spacing w:before="0" w:after="0"/>
      </w:pPr>
    </w:p>
    <w:p>
      <w:pPr>
        <w:jc w:val="both"/>
        <w:spacing w:before="0" w:after="120" w:line="360" w:lineRule="auto"/>
      </w:pPr>
      <w:r>
        <w:t xml:space="preserve">The mathematical description of enzyme-catalyzed reactions provides the foundation for systems biology and metabolic modeling [26, 27]. The Michaelis-Menten equation, v = V_max [S]/(K_m + [S]), describes the rate of an enzymatic reaction as a saturating function of substrate concentration, where V_max is the maximum rate and K_m is the Michaelis constant [43]. This equation emerges from a quasi-steady-state approximation applied to the full system of ODEs describing enzyme-substrate binding, catalysis, and product release [49].</w:t>
      </w:r>
    </w:p>
    <w:p>
      <w:pPr>
        <w:spacing w:before="0" w:after="0"/>
      </w:pPr>
    </w:p>
    <w:p>
      <w:pPr>
        <w:jc w:val="both"/>
        <w:spacing w:before="0" w:after="120" w:line="360" w:lineRule="auto"/>
      </w:pPr>
      <w:r>
        <w:t xml:space="preserve">More complex enzymatic behaviors—cooperative binding, allosteric regulation, substrate inhibition, and multi-substrate reactions—require extended kinetic frameworks [27]. The Hill equation, v = V_max [S]^n / (K^n + [S]^n), captures cooperativity through the Hill coefficient n, with n &gt; 1 indicating positive cooperativity and ultrasensitive switching behavior [73]. Such ultrasensitive responses are critical building blocks of cellular decision-making circuits, enabling sharp threshold responses and bistable switches from graded biochemical interactions [64].</w:t>
      </w:r>
    </w:p>
    <w:p>
      <w:pPr>
        <w:spacing w:before="0" w:after="0"/>
      </w:pPr>
    </w:p>
    <w:p>
      <w:pPr>
        <w:jc w:val="both"/>
        <w:spacing w:before="0" w:after="120" w:line="360" w:lineRule="auto"/>
      </w:pPr>
      <w:r>
        <w:t xml:space="preserve">Systems of coupled ODEs describing metabolic networks—where the product of one enzyme serves as the substrate for another—give rise to metabolic flux analysis and metabolic control analysis [32]. These frameworks quantify how control over pathway flux is distributed among individual enzymes, revealing that control is typically shared rather than concentrated at a single rate-limiting step [27]. Oscillations in glycolysis, first observed experimentally in yeast cell extracts, emerge naturally from models incorporating allosteric feedback regulation of phosphofructokinase [74, 75].</w:t>
      </w:r>
    </w:p>
    <w:p>
      <w:pPr>
        <w:spacing w:before="0" w:after="0"/>
      </w:pPr>
    </w:p>
    <w:p>
      <w:pPr>
        <w:pStyle w:val="Heading3"/>
        <w:spacing w:before="180" w:after="60" w:line="360" w:lineRule="auto"/>
      </w:pPr>
      <w:r>
        <w:rPr>
          <w:b/>
          <w:bCs/>
          <w:i/>
          <w:iCs/>
        </w:rPr>
        <w:t xml:space="preserve">Neural Dynamics and Signaling Pathways</w:t>
      </w:r>
    </w:p>
    <w:p>
      <w:pPr>
        <w:spacing w:before="0" w:after="0"/>
      </w:pPr>
    </w:p>
    <w:p>
      <w:pPr>
        <w:jc w:val="both"/>
        <w:spacing w:before="0" w:after="120" w:line="360" w:lineRule="auto"/>
      </w:pPr>
      <w:r>
        <w:t xml:space="preserve">The Hodgkin-Huxley model of nerve impulse propagation stands as one of the greatest achievements of mathematical biology [18]. This system of four coupled ODEs describes the membrane potential and the gating kinetics of sodium and potassium ion channels, reproducing the action potential waveform, threshold behavior, refractory periods, and repetitive firing with remarkable quantitative accuracy [19]. The model demonstrates how excitability—a sub-threshold quiescent state that produces a large transient response to sufficiently strong perturbation—arises from the interplay of fast positive feedback (sodium channel activation) and slow negative feedback (sodium inactivation and potassium activation) [29].</w:t>
      </w:r>
    </w:p>
    <w:p>
      <w:pPr>
        <w:spacing w:before="0" w:after="0"/>
      </w:pPr>
    </w:p>
    <w:p>
      <w:pPr>
        <w:jc w:val="both"/>
        <w:spacing w:before="0" w:after="120" w:line="360" w:lineRule="auto"/>
      </w:pPr>
      <w:r>
        <w:t xml:space="preserve">Simplified neural models, including the FitzHugh-Nagumo and Morris-Lecar models, retain essential qualitative features while reducing dimensionality to enable phase-plane analysis [77]. These reduced models reveal the geometric structure underlying excitability, oscillation, and bistability in neurons [29]. At the network level, coupled neural oscillator models describe synchronization phenomena, pattern generation in central pattern generators controlling locomotion, and the emergence of collective rhythms in cortical networks [36, 62].</w:t>
      </w:r>
    </w:p>
    <w:p>
      <w:pPr>
        <w:spacing w:before="0" w:after="0"/>
      </w:pPr>
    </w:p>
    <w:p>
      <w:pPr>
        <w:jc w:val="both"/>
        <w:spacing w:before="0" w:after="120" w:line="360" w:lineRule="auto"/>
      </w:pPr>
      <w:r>
        <w:t xml:space="preserve">Intracellular signaling pathways—cascades of protein phosphorylation, second messenger systems, and gene regulatory networks—are modeled as systems of coupled ODEs incorporating Michaelis-Menten kinetics, Hill functions, and mass-action kinetics [44, 73]. Models of the MAPK cascade reveal ultrasensitive signal amplification, while models of the p53-Mdm2 feedback loop explain oscillatory dynamics in the cellular DNA damage response [45]. These models have become essential tools for understanding cellular information processing and identifying potential drug targets [6, 27].</w:t>
      </w:r>
    </w:p>
    <w:p>
      <w:pPr>
        <w:spacing w:before="0" w:after="0"/>
      </w:pPr>
    </w:p>
    <w:p>
      <w:pPr>
        <w:pStyle w:val="Heading3"/>
        <w:spacing w:before="180" w:after="60" w:line="360" w:lineRule="auto"/>
      </w:pPr>
      <w:r>
        <w:rPr>
          <w:b/>
          <w:bCs/>
          <w:i/>
          <w:iCs/>
        </w:rPr>
        <w:t xml:space="preserve">Cardiac and Physiological Rhythm Modeling</w:t>
      </w:r>
    </w:p>
    <w:p>
      <w:pPr>
        <w:spacing w:before="0" w:after="0"/>
      </w:pPr>
    </w:p>
    <w:p>
      <w:pPr>
        <w:jc w:val="both"/>
        <w:spacing w:before="0" w:after="120" w:line="360" w:lineRule="auto"/>
      </w:pPr>
      <w:r>
        <w:t xml:space="preserve">The heart is a paradigmatic example of a biological oscillator whose function depends on precise spatiotemporal coordination of electrical activity [35]. Mathematical models of cardiac cells extend the Hodgkin-Huxley framework to incorporate the numerous ion channels, pumps, and exchangers specific to cardiac myocytes [36]. The Beeler-Reuter, Luo-Rudy, and O'Hara-Rudy models represent progressively more detailed descriptions of ventricular action potential dynamics, incorporating calcium cycling, beta-adrenergic signaling, and ion channel mutations associated with inherited arrhythmias [79].</w:t>
      </w:r>
    </w:p>
    <w:p>
      <w:pPr>
        <w:spacing w:before="0" w:after="0"/>
      </w:pPr>
    </w:p>
    <w:p>
      <w:pPr>
        <w:jc w:val="both"/>
        <w:spacing w:before="0" w:after="120" w:line="360" w:lineRule="auto"/>
      </w:pPr>
      <w:r>
        <w:t xml:space="preserve">At the tissue level, cardiac electrophysiology is described by reaction-diffusion PDEs coupling local cellular dynamics to electrical propagation through gap junctions [35, 36]. These models reproduce normal wave propagation, the formation of reentrant circuits underlying tachycardias, and the fragmentation of wavefronts into fibrillation—a lethal arrhythmia [79]. Computational cardiac modeling has matured to the point where patient-specific simulations, incorporating anatomical geometry from clinical imaging, inform clinical decision-making regarding ablation therapy and device implantation [7, 57].</w:t>
      </w:r>
    </w:p>
    <w:p>
      <w:pPr>
        <w:spacing w:before="0" w:after="0"/>
      </w:pPr>
    </w:p>
    <w:p>
      <w:pPr>
        <w:jc w:val="both"/>
        <w:spacing w:before="0" w:after="120" w:line="360" w:lineRule="auto"/>
      </w:pPr>
      <w:r>
        <w:t xml:space="preserve">Beyond cardiac rhythms, mathematical models describe respiratory rhythm generation, circadian clock mechanisms, hormonal pulsatility (insulin, growth hormone), and the cell cycle oscillator [74, 75]. Each of these systems involves feedback loops operating across multiple timescales, and dynamical systems theory provides the unifying framework for understanding their oscillatory behavior, robustness to perturbation, and pathological dysfunction [5, 60].</w:t>
      </w:r>
    </w:p>
    <w:p>
      <w:pPr>
        <w:spacing w:before="0" w:after="0"/>
      </w:pPr>
    </w:p>
    <w:p>
      <w:pPr>
        <w:jc w:val="center"/>
        <w:spacing w:before="240" w:after="120" w:line="360" w:lineRule="auto"/>
      </w:pPr>
      <w:r>
        <w:rPr>
          <w:b/>
          <w:bCs/>
          <w:sz w:val="22"/>
          <w:szCs w:val="22"/>
        </w:rPr>
        <w:t xml:space="preserve">Table 3: Key Mathematical Models in Biological Applications</w:t>
      </w:r>
    </w:p>
    <w:p>
      <w:pPr>
        <w:spacing w:before="0" w:after="0"/>
      </w:pP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340"/>
        <w:gridCol w:w="2340"/>
        <w:gridCol w:w="2340"/>
      </w:tblGrid>
      <w:tr>
        <w:tc>
          <w:tcPr>
            <w:tcW w:w="2340" w:type="dxa"/>
            <w:shd w:val="clear" w:color="auto" w:fill="D9E2F3"/>
          </w:tcPr>
          <w:p>
            <w:pPr>
              <w:spacing w:before="40" w:after="40" w:line="240" w:lineRule="auto"/>
            </w:pPr>
            <w:r>
              <w:rPr>
                <w:sz w:val="18"/>
                <w:szCs w:val="18"/>
                <w:b/>
                <w:bCs/>
              </w:rPr>
              <w:t xml:space="preserve">Model</w:t>
            </w:r>
          </w:p>
        </w:tc>
        <w:tc>
          <w:tcPr>
            <w:tcW w:w="2340" w:type="dxa"/>
            <w:shd w:val="clear" w:color="auto" w:fill="D9E2F3"/>
          </w:tcPr>
          <w:p>
            <w:pPr>
              <w:spacing w:before="40" w:after="40" w:line="240" w:lineRule="auto"/>
            </w:pPr>
            <w:r>
              <w:rPr>
                <w:sz w:val="18"/>
                <w:szCs w:val="18"/>
                <w:b/>
                <w:bCs/>
              </w:rPr>
              <w:t xml:space="preserve">Governing Equations</w:t>
            </w:r>
          </w:p>
        </w:tc>
        <w:tc>
          <w:tcPr>
            <w:tcW w:w="2340" w:type="dxa"/>
            <w:shd w:val="clear" w:color="auto" w:fill="D9E2F3"/>
          </w:tcPr>
          <w:p>
            <w:pPr>
              <w:spacing w:before="40" w:after="40" w:line="240" w:lineRule="auto"/>
            </w:pPr>
            <w:r>
              <w:rPr>
                <w:sz w:val="18"/>
                <w:szCs w:val="18"/>
                <w:b/>
                <w:bCs/>
              </w:rPr>
              <w:t xml:space="preserve">Key Parameters</w:t>
            </w:r>
          </w:p>
        </w:tc>
        <w:tc>
          <w:tcPr>
            <w:tcW w:w="2340" w:type="dxa"/>
            <w:shd w:val="clear" w:color="auto" w:fill="D9E2F3"/>
          </w:tcPr>
          <w:p>
            <w:pPr>
              <w:spacing w:before="40" w:after="40" w:line="240" w:lineRule="auto"/>
            </w:pPr>
            <w:r>
              <w:rPr>
                <w:sz w:val="18"/>
                <w:szCs w:val="18"/>
                <w:b/>
                <w:bCs/>
              </w:rPr>
              <w:t xml:space="preserve">Primary Predictions</w:t>
            </w:r>
          </w:p>
        </w:tc>
      </w:tr>
      <w:tr>
        <w:tc>
          <w:tcPr>
            <w:tcW w:w="2340" w:type="dxa"/>
          </w:tcPr>
          <w:p>
            <w:pPr>
              <w:spacing w:before="40" w:after="40" w:line="240" w:lineRule="auto"/>
            </w:pPr>
            <w:r>
              <w:rPr>
                <w:sz w:val="18"/>
                <w:szCs w:val="18"/>
              </w:rPr>
              <w:t xml:space="preserve">Lotka-Volterra Predator-Prey</w:t>
            </w:r>
          </w:p>
        </w:tc>
        <w:tc>
          <w:tcPr>
            <w:tcW w:w="2340" w:type="dxa"/>
          </w:tcPr>
          <w:p>
            <w:pPr>
              <w:spacing w:before="40" w:after="40" w:line="240" w:lineRule="auto"/>
            </w:pPr>
            <w:r>
              <w:rPr>
                <w:sz w:val="18"/>
                <w:szCs w:val="18"/>
              </w:rPr>
              <w:t xml:space="preserve">dH/dt = aH - bHP; dP/dt = cbHP - dP</w:t>
            </w:r>
          </w:p>
        </w:tc>
        <w:tc>
          <w:tcPr>
            <w:tcW w:w="2340" w:type="dxa"/>
          </w:tcPr>
          <w:p>
            <w:pPr>
              <w:spacing w:before="40" w:after="40" w:line="240" w:lineRule="auto"/>
            </w:pPr>
            <w:r>
              <w:rPr>
                <w:sz w:val="18"/>
                <w:szCs w:val="18"/>
              </w:rPr>
              <w:t xml:space="preserve">a (prey growth), b (predation), c (efficiency), d (predator death)</w:t>
            </w:r>
          </w:p>
        </w:tc>
        <w:tc>
          <w:tcPr>
            <w:tcW w:w="2340" w:type="dxa"/>
          </w:tcPr>
          <w:p>
            <w:pPr>
              <w:spacing w:before="40" w:after="40" w:line="240" w:lineRule="auto"/>
            </w:pPr>
            <w:r>
              <w:rPr>
                <w:sz w:val="18"/>
                <w:szCs w:val="18"/>
              </w:rPr>
              <w:t xml:space="preserve">Neutrally stable oscillations, phase-lagged cycles</w:t>
            </w:r>
          </w:p>
        </w:tc>
      </w:tr>
      <w:tr>
        <w:tc>
          <w:tcPr>
            <w:tcW w:w="2340" w:type="dxa"/>
          </w:tcPr>
          <w:p>
            <w:pPr>
              <w:spacing w:before="40" w:after="40" w:line="240" w:lineRule="auto"/>
            </w:pPr>
            <w:r>
              <w:rPr>
                <w:sz w:val="18"/>
                <w:szCs w:val="18"/>
              </w:rPr>
              <w:t xml:space="preserve">Logistic Competition</w:t>
            </w:r>
          </w:p>
        </w:tc>
        <w:tc>
          <w:tcPr>
            <w:tcW w:w="2340" w:type="dxa"/>
          </w:tcPr>
          <w:p>
            <w:pPr>
              <w:spacing w:before="40" w:after="40" w:line="240" w:lineRule="auto"/>
            </w:pPr>
            <w:r>
              <w:rPr>
                <w:sz w:val="18"/>
                <w:szCs w:val="18"/>
              </w:rPr>
              <w:t xml:space="preserve">dN₁/dt = r₁N₁(1 - (N₁ + α₁₂N₂)/K₁)</w:t>
            </w:r>
          </w:p>
        </w:tc>
        <w:tc>
          <w:tcPr>
            <w:tcW w:w="2340" w:type="dxa"/>
          </w:tcPr>
          <w:p>
            <w:pPr>
              <w:spacing w:before="40" w:after="40" w:line="240" w:lineRule="auto"/>
            </w:pPr>
            <w:r>
              <w:rPr>
                <w:sz w:val="18"/>
                <w:szCs w:val="18"/>
              </w:rPr>
              <w:t xml:space="preserve">α₁₂, α₂₁ (competition coefficients)</w:t>
            </w:r>
          </w:p>
        </w:tc>
        <w:tc>
          <w:tcPr>
            <w:tcW w:w="2340" w:type="dxa"/>
          </w:tcPr>
          <w:p>
            <w:pPr>
              <w:spacing w:before="40" w:after="40" w:line="240" w:lineRule="auto"/>
            </w:pPr>
            <w:r>
              <w:rPr>
                <w:sz w:val="18"/>
                <w:szCs w:val="18"/>
              </w:rPr>
              <w:t xml:space="preserve">Competitive exclusion or stable coexistence</w:t>
            </w:r>
          </w:p>
        </w:tc>
      </w:tr>
      <w:tr>
        <w:tc>
          <w:tcPr>
            <w:tcW w:w="2340" w:type="dxa"/>
          </w:tcPr>
          <w:p>
            <w:pPr>
              <w:spacing w:before="40" w:after="40" w:line="240" w:lineRule="auto"/>
            </w:pPr>
            <w:r>
              <w:rPr>
                <w:sz w:val="18"/>
                <w:szCs w:val="18"/>
              </w:rPr>
              <w:t xml:space="preserve">SIR Epidemic</w:t>
            </w:r>
          </w:p>
        </w:tc>
        <w:tc>
          <w:tcPr>
            <w:tcW w:w="2340" w:type="dxa"/>
          </w:tcPr>
          <w:p>
            <w:pPr>
              <w:spacing w:before="40" w:after="40" w:line="240" w:lineRule="auto"/>
            </w:pPr>
            <w:r>
              <w:rPr>
                <w:sz w:val="18"/>
                <w:szCs w:val="18"/>
              </w:rPr>
              <w:t xml:space="preserve">dS/dt = -βSI/N; dI/dt = βSI/N - γI</w:t>
            </w:r>
          </w:p>
        </w:tc>
        <w:tc>
          <w:tcPr>
            <w:tcW w:w="2340" w:type="dxa"/>
          </w:tcPr>
          <w:p>
            <w:pPr>
              <w:spacing w:before="40" w:after="40" w:line="240" w:lineRule="auto"/>
            </w:pPr>
            <w:r>
              <w:rPr>
                <w:sz w:val="18"/>
                <w:szCs w:val="18"/>
              </w:rPr>
              <w:t xml:space="preserve">β (transmission), γ (recovery), R₀ = β/γ</w:t>
            </w:r>
          </w:p>
        </w:tc>
        <w:tc>
          <w:tcPr>
            <w:tcW w:w="2340" w:type="dxa"/>
          </w:tcPr>
          <w:p>
            <w:pPr>
              <w:spacing w:before="40" w:after="40" w:line="240" w:lineRule="auto"/>
            </w:pPr>
            <w:r>
              <w:rPr>
                <w:sz w:val="18"/>
                <w:szCs w:val="18"/>
              </w:rPr>
              <w:t xml:space="preserve">Epidemic threshold, herd immunity at 1 - 1/R₀</w:t>
            </w:r>
          </w:p>
        </w:tc>
      </w:tr>
      <w:tr>
        <w:tc>
          <w:tcPr>
            <w:tcW w:w="2340" w:type="dxa"/>
          </w:tcPr>
          <w:p>
            <w:pPr>
              <w:spacing w:before="40" w:after="40" w:line="240" w:lineRule="auto"/>
            </w:pPr>
            <w:r>
              <w:rPr>
                <w:sz w:val="18"/>
                <w:szCs w:val="18"/>
              </w:rPr>
              <w:t xml:space="preserve">Michaelis-Menten Kinetics</w:t>
            </w:r>
          </w:p>
        </w:tc>
        <w:tc>
          <w:tcPr>
            <w:tcW w:w="2340" w:type="dxa"/>
          </w:tcPr>
          <w:p>
            <w:pPr>
              <w:spacing w:before="40" w:after="40" w:line="240" w:lineRule="auto"/>
            </w:pPr>
            <w:r>
              <w:rPr>
                <w:sz w:val="18"/>
                <w:szCs w:val="18"/>
              </w:rPr>
              <w:t xml:space="preserve">v = V_max[S]/(K_m + [S])</w:t>
            </w:r>
          </w:p>
        </w:tc>
        <w:tc>
          <w:tcPr>
            <w:tcW w:w="2340" w:type="dxa"/>
          </w:tcPr>
          <w:p>
            <w:pPr>
              <w:spacing w:before="40" w:after="40" w:line="240" w:lineRule="auto"/>
            </w:pPr>
            <w:r>
              <w:rPr>
                <w:sz w:val="18"/>
                <w:szCs w:val="18"/>
              </w:rPr>
              <w:t xml:space="preserve">V_max, K_m</w:t>
            </w:r>
          </w:p>
        </w:tc>
        <w:tc>
          <w:tcPr>
            <w:tcW w:w="2340" w:type="dxa"/>
          </w:tcPr>
          <w:p>
            <w:pPr>
              <w:spacing w:before="40" w:after="40" w:line="240" w:lineRule="auto"/>
            </w:pPr>
            <w:r>
              <w:rPr>
                <w:sz w:val="18"/>
                <w:szCs w:val="18"/>
              </w:rPr>
              <w:t xml:space="preserve">Saturating enzyme response</w:t>
            </w:r>
          </w:p>
        </w:tc>
      </w:tr>
      <w:tr>
        <w:tc>
          <w:tcPr>
            <w:tcW w:w="2340" w:type="dxa"/>
          </w:tcPr>
          <w:p>
            <w:pPr>
              <w:spacing w:before="40" w:after="40" w:line="240" w:lineRule="auto"/>
            </w:pPr>
            <w:r>
              <w:rPr>
                <w:sz w:val="18"/>
                <w:szCs w:val="18"/>
              </w:rPr>
              <w:t xml:space="preserve">Hodgkin-Huxley Neuron</w:t>
            </w:r>
          </w:p>
        </w:tc>
        <w:tc>
          <w:tcPr>
            <w:tcW w:w="2340" w:type="dxa"/>
          </w:tcPr>
          <w:p>
            <w:pPr>
              <w:spacing w:before="40" w:after="40" w:line="240" w:lineRule="auto"/>
            </w:pPr>
            <w:r>
              <w:rPr>
                <w:sz w:val="18"/>
                <w:szCs w:val="18"/>
              </w:rPr>
              <w:t xml:space="preserve">C dV/dt = -I_ion + I_ext (4 ODEs)</w:t>
            </w:r>
          </w:p>
        </w:tc>
        <w:tc>
          <w:tcPr>
            <w:tcW w:w="2340" w:type="dxa"/>
          </w:tcPr>
          <w:p>
            <w:pPr>
              <w:spacing w:before="40" w:after="40" w:line="240" w:lineRule="auto"/>
            </w:pPr>
            <w:r>
              <w:rPr>
                <w:sz w:val="18"/>
                <w:szCs w:val="18"/>
              </w:rPr>
              <w:t xml:space="preserve">g_Na, g_K, channel gating rates</w:t>
            </w:r>
          </w:p>
        </w:tc>
        <w:tc>
          <w:tcPr>
            <w:tcW w:w="2340" w:type="dxa"/>
          </w:tcPr>
          <w:p>
            <w:pPr>
              <w:spacing w:before="40" w:after="40" w:line="240" w:lineRule="auto"/>
            </w:pPr>
            <w:r>
              <w:rPr>
                <w:sz w:val="18"/>
                <w:szCs w:val="18"/>
              </w:rPr>
              <w:t xml:space="preserve">Action potentials, threshold, refractory period</w:t>
            </w:r>
          </w:p>
        </w:tc>
      </w:tr>
      <w:tr>
        <w:tc>
          <w:tcPr>
            <w:tcW w:w="2340" w:type="dxa"/>
          </w:tcPr>
          <w:p>
            <w:pPr>
              <w:spacing w:before="40" w:after="40" w:line="240" w:lineRule="auto"/>
            </w:pPr>
            <w:r>
              <w:rPr>
                <w:sz w:val="18"/>
                <w:szCs w:val="18"/>
              </w:rPr>
              <w:t xml:space="preserve">Hill Function</w:t>
            </w:r>
          </w:p>
        </w:tc>
        <w:tc>
          <w:tcPr>
            <w:tcW w:w="2340" w:type="dxa"/>
          </w:tcPr>
          <w:p>
            <w:pPr>
              <w:spacing w:before="40" w:after="40" w:line="240" w:lineRule="auto"/>
            </w:pPr>
            <w:r>
              <w:rPr>
                <w:sz w:val="18"/>
                <w:szCs w:val="18"/>
              </w:rPr>
              <w:t xml:space="preserve">v = V_max[S]ⁿ/(Kⁿ + [S]ⁿ)</w:t>
            </w:r>
          </w:p>
        </w:tc>
        <w:tc>
          <w:tcPr>
            <w:tcW w:w="2340" w:type="dxa"/>
          </w:tcPr>
          <w:p>
            <w:pPr>
              <w:spacing w:before="40" w:after="40" w:line="240" w:lineRule="auto"/>
            </w:pPr>
            <w:r>
              <w:rPr>
                <w:sz w:val="18"/>
                <w:szCs w:val="18"/>
              </w:rPr>
              <w:t xml:space="preserve">n (Hill coefficient), K (half-max)</w:t>
            </w:r>
          </w:p>
        </w:tc>
        <w:tc>
          <w:tcPr>
            <w:tcW w:w="2340" w:type="dxa"/>
          </w:tcPr>
          <w:p>
            <w:pPr>
              <w:spacing w:before="40" w:after="40" w:line="240" w:lineRule="auto"/>
            </w:pPr>
            <w:r>
              <w:rPr>
                <w:sz w:val="18"/>
                <w:szCs w:val="18"/>
              </w:rPr>
              <w:t xml:space="preserve">Ultrasensitivity, cooperative switching</w:t>
            </w:r>
          </w:p>
        </w:tc>
      </w:tr>
      <w:tr>
        <w:tc>
          <w:tcPr>
            <w:tcW w:w="2340" w:type="dxa"/>
          </w:tcPr>
          <w:p>
            <w:pPr>
              <w:spacing w:before="40" w:after="40" w:line="240" w:lineRule="auto"/>
            </w:pPr>
            <w:r>
              <w:rPr>
                <w:sz w:val="18"/>
                <w:szCs w:val="18"/>
              </w:rPr>
              <w:t xml:space="preserve">Rosenzweig-MacArthur</w:t>
            </w:r>
          </w:p>
        </w:tc>
        <w:tc>
          <w:tcPr>
            <w:tcW w:w="2340" w:type="dxa"/>
          </w:tcPr>
          <w:p>
            <w:pPr>
              <w:spacing w:before="40" w:after="40" w:line="240" w:lineRule="auto"/>
            </w:pPr>
            <w:r>
              <w:rPr>
                <w:sz w:val="18"/>
                <w:szCs w:val="18"/>
              </w:rPr>
              <w:t xml:space="preserve">Logistic prey + Type II functional response</w:t>
            </w:r>
          </w:p>
        </w:tc>
        <w:tc>
          <w:tcPr>
            <w:tcW w:w="2340" w:type="dxa"/>
          </w:tcPr>
          <w:p>
            <w:pPr>
              <w:spacing w:before="40" w:after="40" w:line="240" w:lineRule="auto"/>
            </w:pPr>
            <w:r>
              <w:rPr>
                <w:sz w:val="18"/>
                <w:szCs w:val="18"/>
              </w:rPr>
              <w:t xml:space="preserve">K (carrying capacity), handling time</w:t>
            </w:r>
          </w:p>
        </w:tc>
        <w:tc>
          <w:tcPr>
            <w:tcW w:w="2340" w:type="dxa"/>
          </w:tcPr>
          <w:p>
            <w:pPr>
              <w:spacing w:before="40" w:after="40" w:line="240" w:lineRule="auto"/>
            </w:pPr>
            <w:r>
              <w:rPr>
                <w:sz w:val="18"/>
                <w:szCs w:val="18"/>
              </w:rPr>
              <w:t xml:space="preserve">Paradox of enrichment, limit cycles</w:t>
            </w:r>
          </w:p>
        </w:tc>
      </w:tr>
      <w:tr>
        <w:tc>
          <w:tcPr>
            <w:tcW w:w="2340" w:type="dxa"/>
          </w:tcPr>
          <w:p>
            <w:pPr>
              <w:spacing w:before="40" w:after="40" w:line="240" w:lineRule="auto"/>
            </w:pPr>
            <w:r>
              <w:rPr>
                <w:sz w:val="18"/>
                <w:szCs w:val="18"/>
              </w:rPr>
              <w:t xml:space="preserve">Beeler-Reuter / Luo-Rudy Cardiac</w:t>
            </w:r>
          </w:p>
        </w:tc>
        <w:tc>
          <w:tcPr>
            <w:tcW w:w="2340" w:type="dxa"/>
          </w:tcPr>
          <w:p>
            <w:pPr>
              <w:spacing w:before="40" w:after="40" w:line="240" w:lineRule="auto"/>
            </w:pPr>
            <w:r>
              <w:rPr>
                <w:sz w:val="18"/>
                <w:szCs w:val="18"/>
              </w:rPr>
              <w:t xml:space="preserve">Multi-channel reaction-diffusion PDE</w:t>
            </w:r>
          </w:p>
        </w:tc>
        <w:tc>
          <w:tcPr>
            <w:tcW w:w="2340" w:type="dxa"/>
          </w:tcPr>
          <w:p>
            <w:pPr>
              <w:spacing w:before="40" w:after="40" w:line="240" w:lineRule="auto"/>
            </w:pPr>
            <w:r>
              <w:rPr>
                <w:sz w:val="18"/>
                <w:szCs w:val="18"/>
              </w:rPr>
              <w:t xml:space="preserve">Ion channel conductances, D (diffusion)</w:t>
            </w:r>
          </w:p>
        </w:tc>
        <w:tc>
          <w:tcPr>
            <w:tcW w:w="2340" w:type="dxa"/>
          </w:tcPr>
          <w:p>
            <w:pPr>
              <w:spacing w:before="40" w:after="40" w:line="240" w:lineRule="auto"/>
            </w:pPr>
            <w:r>
              <w:rPr>
                <w:sz w:val="18"/>
                <w:szCs w:val="18"/>
              </w:rPr>
              <w:t xml:space="preserve">Action potential, reentry, fibrillation</w:t>
            </w:r>
          </w:p>
        </w:tc>
      </w:tr>
    </w:tbl>
    <w:p>
      <w:pPr>
        <w:spacing w:before="120" w:after="120"/>
      </w:pPr>
    </w:p>
    <w:p>
      <w:pPr>
        <w:spacing w:before="0" w:after="0"/>
      </w:pPr>
    </w:p>
    <w:p>
      <w:pPr>
        <w:pBdr>
          <w:bottom w:val="single" w:sz="12" w:space="1" w:color="auto"/>
        </w:pBdr>
        <w:spacing w:before="240" w:after="240"/>
      </w:pPr>
    </w:p>
    <w:p>
      <w:pPr>
        <w:spacing w:before="0" w:after="0"/>
      </w:pPr>
    </w:p>
    <w:p>
      <w:pPr>
        <w:spacing w:before="0" w:after="0"/>
      </w:pPr>
    </w:p>
    <w:p>
      <w:pPr>
        <w:spacing w:before="0" w:after="0"/>
      </w:pPr>
    </w:p>
    <w:p>
      <w:pPr>
        <w:pStyle w:val="Heading1"/>
        <w:spacing w:before="360" w:after="120" w:line="360" w:lineRule="auto"/>
      </w:pPr>
      <w:r>
        <w:rPr>
          <w:b/>
          <w:bCs/>
          <w:sz w:val="28"/>
          <w:szCs w:val="28"/>
        </w:rPr>
        <w:t xml:space="preserve">Section 4: Advanced Topics and Future Perspectives</w:t>
      </w:r>
    </w:p>
    <w:p>
      <w:pPr>
        <w:spacing w:before="0" w:after="0"/>
      </w:pPr>
    </w:p>
    <w:p>
      <w:pPr>
        <w:pStyle w:val="Heading2"/>
        <w:spacing w:before="240" w:after="120" w:line="360" w:lineRule="auto"/>
      </w:pPr>
      <w:r>
        <w:rPr>
          <w:b/>
          <w:bCs/>
        </w:rPr>
        <w:t xml:space="preserve">4.1 Spatial Models and Reaction-Diffusion Systems</w:t>
      </w:r>
    </w:p>
    <w:p>
      <w:pPr>
        <w:spacing w:before="0" w:after="0"/>
      </w:pPr>
    </w:p>
    <w:p>
      <w:pPr>
        <w:pStyle w:val="Heading3"/>
        <w:spacing w:before="180" w:after="60" w:line="360" w:lineRule="auto"/>
      </w:pPr>
      <w:r>
        <w:rPr>
          <w:b/>
          <w:bCs/>
          <w:i/>
          <w:iCs/>
        </w:rPr>
        <w:t xml:space="preserve">Pattern Formation in Biology</w:t>
      </w:r>
    </w:p>
    <w:p>
      <w:pPr>
        <w:spacing w:before="0" w:after="0"/>
      </w:pPr>
    </w:p>
    <w:p>
      <w:pPr>
        <w:jc w:val="both"/>
        <w:spacing w:before="0" w:after="120" w:line="360" w:lineRule="auto"/>
      </w:pPr>
      <w:r>
        <w:t xml:space="preserve">One of the most profound applications of differential equations in biology concerns the spontaneous emergence of spatial patterns from initially homogeneous conditions [17, 28]. The question of how organisms develop complex spatial structures—stripes, spots, branching patterns, segmented body plans—from undifferentiated cellular masses has fascinated biologists and mathematicians alike [2]. Reaction-diffusion equations provide a powerful theoretical framework for understanding such self-organization, demonstrating that the interplay between local chemical reactions and spatial diffusion can generate stable, reproducible patterns without requiring a pre-existing template [34].</w:t>
      </w:r>
    </w:p>
    <w:p>
      <w:pPr>
        <w:spacing w:before="0" w:after="0"/>
      </w:pPr>
    </w:p>
    <w:p>
      <w:pPr>
        <w:jc w:val="both"/>
        <w:spacing w:before="0" w:after="120" w:line="360" w:lineRule="auto"/>
      </w:pPr>
      <w:r>
        <w:t xml:space="preserve">Spatial models in biology take several forms depending on the level of description [33]. Continuum models describe concentrations of morphogens or cell densities as continuous fields governed by PDEs [2]. Discrete models track individual cells or molecules on lattices or networks [46]. Hybrid models combine continuum descriptions of diffusible signals with discrete representations of cellular behavior [8]. Each approach offers distinct advantages: continuum models permit analytical treatment and connection to physical principles, while discrete models capture stochastic effects and individual-level heterogeneity important at small scales [44].</w:t>
      </w:r>
    </w:p>
    <w:p>
      <w:pPr>
        <w:spacing w:before="0" w:after="0"/>
      </w:pPr>
    </w:p>
    <w:p>
      <w:pPr>
        <w:pStyle w:val="Heading3"/>
        <w:spacing w:before="180" w:after="60" w:line="360" w:lineRule="auto"/>
      </w:pPr>
      <w:r>
        <w:rPr>
          <w:b/>
          <w:bCs/>
          <w:i/>
          <w:iCs/>
        </w:rPr>
        <w:t xml:space="preserve">Morphogenesis and Turing Patterns</w:t>
      </w:r>
    </w:p>
    <w:p>
      <w:pPr>
        <w:spacing w:before="0" w:after="0"/>
      </w:pPr>
    </w:p>
    <w:p>
      <w:pPr>
        <w:jc w:val="both"/>
        <w:spacing w:before="0" w:after="120" w:line="360" w:lineRule="auto"/>
      </w:pPr>
      <w:r>
        <w:t xml:space="preserve">Alan Turing's seminal 1952 paper demonstrated that a system of two interacting chemicals diffusing at different rates could spontaneously generate stable spatial patterns from a homogeneous steady state through a mechanism now called diffusion-driven instability [17]. The Turing mechanism requires a short-range activator that promotes its own production and a long-range inhibitor that suppresses activator production [28]. When the inhibitor diffuses sufficiently faster than the activator, the homogeneous steady state becomes unstable to spatially periodic perturbations, and the system evolves toward a patterned state [34].</w:t>
      </w:r>
    </w:p>
    <w:p>
      <w:pPr>
        <w:spacing w:before="0" w:after="0"/>
      </w:pPr>
    </w:p>
    <w:p>
      <w:pPr>
        <w:jc w:val="both"/>
        <w:spacing w:before="0" w:after="120" w:line="360" w:lineRule="auto"/>
      </w:pPr>
      <w:r>
        <w:t xml:space="preserve">The mathematical conditions for Turing instability can be derived through linear stability analysis of the reaction-diffusion system [17, 2]. For a two-component system with concentrations u and v: du/dt = D_u nabla^2 u + f(u,v) and dv/dt = D_v nabla^2 v + g(u,v), the homogeneous steady state must be stable in the absence of diffusion but become unstable when diffusion is included [34]. This requires specific relationships between the kinetic parameters and a sufficiently large ratio of diffusion coefficients D_v/D_u [28].</w:t>
      </w:r>
    </w:p>
    <w:p>
      <w:pPr>
        <w:spacing w:before="0" w:after="0"/>
      </w:pPr>
    </w:p>
    <w:p>
      <w:pPr>
        <w:jc w:val="both"/>
        <w:spacing w:before="0" w:after="120" w:line="360" w:lineRule="auto"/>
      </w:pPr>
      <w:r>
        <w:t xml:space="preserve">Turing patterns have been identified in numerous biological systems [10]. The pigmentation patterns of zebrafish skin arise from interactions between melanophores and xanthophores that satisfy Turing-type conditions [48]. Digit formation in vertebrate limbs involves Turing-like interactions between morphogens including WNT, BMP, and SOX9 [28]. The regular spacing of hair follicles, feather buds, and tooth primordia all exhibit pattern-forming dynamics consistent with reaction-diffusion mechanisms [2]. Recent experimental advances in synthetic biology have enabled the engineering of artificial Turing patterns in bacterial colonies, confirming the sufficiency of the mathematical mechanism [10].</w:t>
      </w:r>
    </w:p>
    <w:p>
      <w:pPr>
        <w:spacing w:before="0" w:after="0"/>
      </w:pPr>
    </w:p>
    <w:p>
      <w:pPr>
        <w:pStyle w:val="Heading3"/>
        <w:spacing w:before="180" w:after="60" w:line="360" w:lineRule="auto"/>
      </w:pPr>
      <w:r>
        <w:rPr>
          <w:b/>
          <w:bCs/>
          <w:i/>
          <w:iCs/>
        </w:rPr>
        <w:t xml:space="preserve">Applications in Developmental Biology</w:t>
      </w:r>
    </w:p>
    <w:p>
      <w:pPr>
        <w:spacing w:before="0" w:after="0"/>
      </w:pPr>
    </w:p>
    <w:p>
      <w:pPr>
        <w:jc w:val="both"/>
        <w:spacing w:before="0" w:after="120" w:line="360" w:lineRule="auto"/>
      </w:pPr>
      <w:r>
        <w:t xml:space="preserve">Beyond classical Turing patterns, reaction-diffusion models and their extensions describe diverse developmental phenomena [33, 48]. Morphogen gradient formation—the establishment of concentration profiles that provide positional information to cells—is modeled by production-diffusion-degradation equations [28]. The French Flag model, in which cells adopt different fates depending on local morphogen concentration relative to thresholds, connects gradient dynamics to cell fate specification [61].</w:t>
      </w:r>
    </w:p>
    <w:p>
      <w:pPr>
        <w:spacing w:before="0" w:after="0"/>
      </w:pPr>
    </w:p>
    <w:p>
      <w:pPr>
        <w:jc w:val="both"/>
        <w:spacing w:before="0" w:after="120" w:line="360" w:lineRule="auto"/>
      </w:pPr>
      <w:r>
        <w:t xml:space="preserve">Traveling waves in developmental biology describe the sequential activation of gene expression along spatial axes [34]. The clock-and-wavefront model of somitogenesis combines oscillatory gene expression (the segmentation clock) with a traveling maturation front to explain the periodic formation of vertebral precursors during embryonic development [75]. Mathematical analysis reveals how oscillation frequency and wavefront velocity jointly determine segment size, providing quantitative predictions testable through genetic perturbation experiments [2].</w:t>
      </w:r>
    </w:p>
    <w:p>
      <w:pPr>
        <w:spacing w:before="0" w:after="0"/>
      </w:pPr>
    </w:p>
    <w:p>
      <w:pPr>
        <w:jc w:val="both"/>
        <w:spacing w:before="0" w:after="120" w:line="360" w:lineRule="auto"/>
      </w:pPr>
      <w:r>
        <w:t xml:space="preserve">Chemotaxis—directed cell migration along chemical gradients—is modeled through Keller-Segel equations coupling cell density to chemoattractant concentration [33]. These models exhibit blow-up solutions corresponding to cell aggregation, relevant to phenomena ranging from bacterial colony formation to immune cell recruitment during inflammation [34]. Extensions incorporating volume-filling effects, multiple cell types, and mechanical interactions describe tissue morphogenesis and wound healing [8, 48].</w:t>
      </w:r>
    </w:p>
    <w:p>
      <w:pPr>
        <w:spacing w:before="0" w:after="0"/>
      </w:pPr>
    </w:p>
    <w:p>
      <w:pPr>
        <w:spacing w:before="0" w:after="0"/>
      </w:pPr>
    </w:p>
    <w:p>
      <w:pPr>
        <w:spacing w:before="0" w:after="0"/>
      </w:pPr>
    </w:p>
    <w:p>
      <w:pPr>
        <w:pStyle w:val="Heading2"/>
        <w:spacing w:before="240" w:after="120" w:line="360" w:lineRule="auto"/>
      </w:pPr>
      <w:r>
        <w:rPr>
          <w:b/>
          <w:bCs/>
        </w:rPr>
        <w:t xml:space="preserve">4.2 Computational Tools and Simulation Techniques</w:t>
      </w:r>
    </w:p>
    <w:p>
      <w:pPr>
        <w:spacing w:before="0" w:after="0"/>
      </w:pPr>
    </w:p>
    <w:p>
      <w:pPr>
        <w:pStyle w:val="Heading3"/>
        <w:spacing w:before="180" w:after="60" w:line="360" w:lineRule="auto"/>
      </w:pPr>
      <w:r>
        <w:rPr>
          <w:b/>
          <w:bCs/>
          <w:i/>
          <w:iCs/>
        </w:rPr>
        <w:t xml:space="preserve">Numerical Solvers and Software (MATLAB, Python, etc.)</w:t>
      </w:r>
    </w:p>
    <w:p>
      <w:pPr>
        <w:spacing w:before="0" w:after="0"/>
      </w:pPr>
    </w:p>
    <w:p>
      <w:pPr>
        <w:jc w:val="both"/>
        <w:spacing w:before="0" w:after="120" w:line="360" w:lineRule="auto"/>
      </w:pPr>
      <w:r>
        <w:t xml:space="preserve">The practical application of differential equations to biological problems relies heavily on computational tools for numerical solution, visualization, and analysis [38, 39]. MATLAB has long been a standard platform in mathematical biology, offering built-in ODE solvers (ode45, ode15s, ode23s) with adaptive step-size control, PDE solvers (pdepe), and extensive visualization capabilities [40]. Its interactive environment facilitates rapid prototyping and exploration of model behavior across parameter ranges [41].</w:t>
      </w:r>
    </w:p>
    <w:p>
      <w:pPr>
        <w:spacing w:before="0" w:after="0"/>
      </w:pPr>
    </w:p>
    <w:p>
      <w:pPr>
        <w:jc w:val="both"/>
        <w:spacing w:before="0" w:after="120" w:line="360" w:lineRule="auto"/>
      </w:pPr>
      <w:r>
        <w:t xml:space="preserve">Python has emerged as an increasingly popular alternative, offering the SciPy library's integrate module for ODE solution, FEniCS and FiPy for finite-element PDE solution, and the rich ecosystem of scientific computing libraries (NumPy, Matplotlib, SymPy) for analysis and visualization [39]. Python's open-source nature, extensive community support, and seamless integration with machine learning frameworks (TensorFlow, PyTorch) make it particularly attractive for modern data-driven approaches to biological modeling [6, 21].</w:t>
      </w:r>
    </w:p>
    <w:p>
      <w:pPr>
        <w:spacing w:before="0" w:after="0"/>
      </w:pPr>
    </w:p>
    <w:p>
      <w:pPr>
        <w:jc w:val="both"/>
        <w:spacing w:before="0" w:after="120" w:line="360" w:lineRule="auto"/>
      </w:pPr>
      <w:r>
        <w:t xml:space="preserve">Specialized software packages address specific biological modeling needs [40]. COPASI and BioNetGen provide frameworks for biochemical network modeling with automatic generation of ODEs from reaction network specifications [32]. NEURON and GENESIS are dedicated to computational neuroscience, offering efficient solvers for cable equations and compartmental neural models [29]. Virtual Cell and CellBlender provide spatially resolved simulation environments for cell biological modeling [41]. XPP-AUTO combines numerical simulation with bifurcation analysis capabilities essential for dynamical systems investigations [38, 69].</w:t>
      </w:r>
    </w:p>
    <w:p>
      <w:pPr>
        <w:spacing w:before="0" w:after="0"/>
      </w:pPr>
    </w:p>
    <w:p>
      <w:pPr>
        <w:pStyle w:val="Heading3"/>
        <w:spacing w:before="180" w:after="60" w:line="360" w:lineRule="auto"/>
      </w:pPr>
      <w:r>
        <w:rPr>
          <w:b/>
          <w:bCs/>
          <w:i/>
          <w:iCs/>
        </w:rPr>
        <w:t xml:space="preserve">Data-Driven Modeling and Machine Learning Integration</w:t>
      </w:r>
    </w:p>
    <w:p>
      <w:pPr>
        <w:spacing w:before="0" w:after="0"/>
      </w:pPr>
    </w:p>
    <w:p>
      <w:pPr>
        <w:jc w:val="both"/>
        <w:spacing w:before="0" w:after="120" w:line="360" w:lineRule="auto"/>
      </w:pPr>
      <w:r>
        <w:t xml:space="preserve">The explosion of biological data generated by high-throughput technologies—genomics, proteomics, single-cell sequencing, live imaging—has catalyzed the development of data-driven approaches that complement traditional mechanistic modeling [6, 21]. Machine learning methods, particularly deep learning, offer powerful tools for pattern recognition, prediction, and dimensionality reduction in complex biological datasets [56].</w:t>
      </w:r>
    </w:p>
    <w:p>
      <w:pPr>
        <w:spacing w:before="0" w:after="0"/>
      </w:pPr>
    </w:p>
    <w:p>
      <w:pPr>
        <w:jc w:val="both"/>
        <w:spacing w:before="0" w:after="120" w:line="360" w:lineRule="auto"/>
      </w:pPr>
      <w:r>
        <w:t xml:space="preserve">The integration of mechanistic models with machine learning represents a particularly promising frontier [7]. Physics-informed neural networks (PINNs) incorporate differential equation constraints into neural network training, enabling the solution of PDEs in complex geometries and the inference of model parameters from sparse, noisy data [42]. Neural ordinary differential equations (Neural ODEs) parameterize the vector field of a dynamical system using neural networks, learning dynamics directly from time-series data without specifying a mechanistic model a priori [51].</w:t>
      </w:r>
    </w:p>
    <w:p>
      <w:pPr>
        <w:spacing w:before="0" w:after="0"/>
      </w:pPr>
    </w:p>
    <w:p>
      <w:pPr>
        <w:jc w:val="both"/>
        <w:spacing w:before="0" w:after="120" w:line="360" w:lineRule="auto"/>
      </w:pPr>
      <w:r>
        <w:t xml:space="preserve">Symbolic regression and sparse identification of nonlinear dynamics (SINDy) algorithms discover governing equations directly from data, identifying parsimonious mathematical models consistent with observed dynamics [80]. These approaches bridge the gap between purely data-driven prediction and mechanistic understanding, offering the interpretability of differential equation models with the flexibility of machine learning [56]. Applications include discovering gene regulatory network dynamics, identifying reduced-order models of complex biochemical systems, and inferring spatial dynamics from imaging data [7, 80].</w:t>
      </w:r>
    </w:p>
    <w:p>
      <w:pPr>
        <w:spacing w:before="0" w:after="0"/>
      </w:pPr>
    </w:p>
    <w:p>
      <w:pPr>
        <w:pStyle w:val="Heading3"/>
        <w:spacing w:before="180" w:after="60" w:line="360" w:lineRule="auto"/>
      </w:pPr>
      <w:r>
        <w:rPr>
          <w:b/>
          <w:bCs/>
          <w:i/>
          <w:iCs/>
        </w:rPr>
        <w:t xml:space="preserve">Sensitivity Analysis and Optimization</w:t>
      </w:r>
    </w:p>
    <w:p>
      <w:pPr>
        <w:spacing w:before="0" w:after="0"/>
      </w:pPr>
    </w:p>
    <w:p>
      <w:pPr>
        <w:jc w:val="both"/>
        <w:spacing w:before="0" w:after="120" w:line="360" w:lineRule="auto"/>
      </w:pPr>
      <w:r>
        <w:t xml:space="preserve">Sensitivity analysis quantifies how model outputs depend on parameter values, identifying which parameters most strongly influence predictions and which are practically unidentifiable from available data [50, 54]. Local sensitivity analysis computes partial derivatives of model outputs with respect to parameters, while global sensitivity methods (Sobol indices, Morris screening, Latin hypercube sampling) explore the full parameter space and account for interactions between parameters [52].</w:t>
      </w:r>
    </w:p>
    <w:p>
      <w:pPr>
        <w:spacing w:before="0" w:after="0"/>
      </w:pPr>
    </w:p>
    <w:p>
      <w:pPr>
        <w:jc w:val="both"/>
        <w:spacing w:before="0" w:after="120" w:line="360" w:lineRule="auto"/>
      </w:pPr>
      <w:r>
        <w:t xml:space="preserve">In biological modeling, sensitivity analysis serves multiple purposes: it identifies key experimental targets (parameters whose precise measurement would most reduce prediction uncertainty), guides model reduction (insensitive parameters can be fixed without significant loss of accuracy), and assesses model robustness (stable biological systems should be relatively insensitive to parameter perturbations, reflecting evolutionary selection for robustness) [53, 54].</w:t>
      </w:r>
    </w:p>
    <w:p>
      <w:pPr>
        <w:spacing w:before="0" w:after="0"/>
      </w:pPr>
    </w:p>
    <w:p>
      <w:pPr>
        <w:jc w:val="both"/>
        <w:spacing w:before="0" w:after="120" w:line="360" w:lineRule="auto"/>
      </w:pPr>
      <w:r>
        <w:t xml:space="preserve">Optimization methods—gradient-based algorithms, evolutionary strategies, Bayesian optimization—enable systematic parameter estimation, optimal experimental design, and the identification of intervention strategies that optimize biological outcomes [50, 52]. Multi-objective optimization addresses the common biological scenario where multiple competing objectives (efficacy vs. toxicity, speed vs. accuracy, growth vs. defense) must be balanced simultaneously [55, 57].</w:t>
      </w:r>
    </w:p>
    <w:p>
      <w:pPr>
        <w:spacing w:before="0" w:after="0"/>
      </w:pPr>
    </w:p>
    <w:p>
      <w:pPr>
        <w:jc w:val="center"/>
        <w:spacing w:before="240" w:after="120" w:line="360" w:lineRule="auto"/>
      </w:pPr>
      <w:r>
        <w:rPr>
          <w:b/>
          <w:bCs/>
          <w:sz w:val="22"/>
          <w:szCs w:val="22"/>
        </w:rPr>
        <w:t xml:space="preserve">Table 4: Computational Tools, Advanced Methods, and Future Directions in Mathematical Biology</w:t>
      </w:r>
    </w:p>
    <w:p>
      <w:pPr>
        <w:spacing w:before="0" w:after="0"/>
      </w:pP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340"/>
        <w:gridCol w:w="2340"/>
        <w:gridCol w:w="2340"/>
      </w:tblGrid>
      <w:tr>
        <w:tc>
          <w:tcPr>
            <w:tcW w:w="2340" w:type="dxa"/>
            <w:shd w:val="clear" w:color="auto" w:fill="D9E2F3"/>
          </w:tcPr>
          <w:p>
            <w:pPr>
              <w:spacing w:before="40" w:after="40" w:line="240" w:lineRule="auto"/>
            </w:pPr>
            <w:r>
              <w:rPr>
                <w:sz w:val="18"/>
                <w:szCs w:val="18"/>
                <w:b/>
                <w:bCs/>
              </w:rPr>
              <w:t xml:space="preserve">Category</w:t>
            </w:r>
          </w:p>
        </w:tc>
        <w:tc>
          <w:tcPr>
            <w:tcW w:w="2340" w:type="dxa"/>
            <w:shd w:val="clear" w:color="auto" w:fill="D9E2F3"/>
          </w:tcPr>
          <w:p>
            <w:pPr>
              <w:spacing w:before="40" w:after="40" w:line="240" w:lineRule="auto"/>
            </w:pPr>
            <w:r>
              <w:rPr>
                <w:sz w:val="18"/>
                <w:szCs w:val="18"/>
                <w:b/>
                <w:bCs/>
              </w:rPr>
              <w:t xml:space="preserve">Tool/Method</w:t>
            </w:r>
          </w:p>
        </w:tc>
        <w:tc>
          <w:tcPr>
            <w:tcW w:w="2340" w:type="dxa"/>
            <w:shd w:val="clear" w:color="auto" w:fill="D9E2F3"/>
          </w:tcPr>
          <w:p>
            <w:pPr>
              <w:spacing w:before="40" w:after="40" w:line="240" w:lineRule="auto"/>
            </w:pPr>
            <w:r>
              <w:rPr>
                <w:sz w:val="18"/>
                <w:szCs w:val="18"/>
                <w:b/>
                <w:bCs/>
              </w:rPr>
              <w:t xml:space="preserve">Application Domain</w:t>
            </w:r>
          </w:p>
        </w:tc>
        <w:tc>
          <w:tcPr>
            <w:tcW w:w="2340" w:type="dxa"/>
            <w:shd w:val="clear" w:color="auto" w:fill="D9E2F3"/>
          </w:tcPr>
          <w:p>
            <w:pPr>
              <w:spacing w:before="40" w:after="40" w:line="240" w:lineRule="auto"/>
            </w:pPr>
            <w:r>
              <w:rPr>
                <w:sz w:val="18"/>
                <w:szCs w:val="18"/>
                <w:b/>
                <w:bCs/>
              </w:rPr>
              <w:t xml:space="preserve">Key Capabilities</w:t>
            </w:r>
          </w:p>
        </w:tc>
      </w:tr>
      <w:tr>
        <w:tc>
          <w:tcPr>
            <w:tcW w:w="2340" w:type="dxa"/>
          </w:tcPr>
          <w:p>
            <w:pPr>
              <w:spacing w:before="40" w:after="40" w:line="240" w:lineRule="auto"/>
            </w:pPr>
            <w:r>
              <w:rPr>
                <w:sz w:val="18"/>
                <w:szCs w:val="18"/>
              </w:rPr>
              <w:t xml:space="preserve">General-Purpose Software</w:t>
            </w:r>
          </w:p>
        </w:tc>
        <w:tc>
          <w:tcPr>
            <w:tcW w:w="2340" w:type="dxa"/>
          </w:tcPr>
          <w:p>
            <w:pPr>
              <w:spacing w:before="40" w:after="40" w:line="240" w:lineRule="auto"/>
            </w:pPr>
            <w:r>
              <w:rPr>
                <w:sz w:val="18"/>
                <w:szCs w:val="18"/>
              </w:rPr>
              <w:t xml:space="preserve">MATLAB (ode45, ode15s)</w:t>
            </w:r>
          </w:p>
        </w:tc>
        <w:tc>
          <w:tcPr>
            <w:tcW w:w="2340" w:type="dxa"/>
          </w:tcPr>
          <w:p>
            <w:pPr>
              <w:spacing w:before="40" w:after="40" w:line="240" w:lineRule="auto"/>
            </w:pPr>
            <w:r>
              <w:rPr>
                <w:sz w:val="18"/>
                <w:szCs w:val="18"/>
              </w:rPr>
              <w:t xml:space="preserve">ODE/PDE numerical solution</w:t>
            </w:r>
          </w:p>
        </w:tc>
        <w:tc>
          <w:tcPr>
            <w:tcW w:w="2340" w:type="dxa"/>
          </w:tcPr>
          <w:p>
            <w:pPr>
              <w:spacing w:before="40" w:after="40" w:line="240" w:lineRule="auto"/>
            </w:pPr>
            <w:r>
              <w:rPr>
                <w:sz w:val="18"/>
                <w:szCs w:val="18"/>
              </w:rPr>
              <w:t xml:space="preserve">Adaptive step-size, stiff solvers, visualization</w:t>
            </w:r>
          </w:p>
        </w:tc>
      </w:tr>
      <w:tr>
        <w:tc>
          <w:tcPr>
            <w:tcW w:w="2340" w:type="dxa"/>
          </w:tcPr>
          <w:p>
            <w:pPr>
              <w:spacing w:before="40" w:after="40" w:line="240" w:lineRule="auto"/>
            </w:pPr>
            <w:r>
              <w:rPr>
                <w:sz w:val="18"/>
                <w:szCs w:val="18"/>
              </w:rPr>
              <w:t xml:space="preserve">Open-Source Platform</w:t>
            </w:r>
          </w:p>
        </w:tc>
        <w:tc>
          <w:tcPr>
            <w:tcW w:w="2340" w:type="dxa"/>
          </w:tcPr>
          <w:p>
            <w:pPr>
              <w:spacing w:before="40" w:after="40" w:line="240" w:lineRule="auto"/>
            </w:pPr>
            <w:r>
              <w:rPr>
                <w:sz w:val="18"/>
                <w:szCs w:val="18"/>
              </w:rPr>
              <w:t xml:space="preserve">Python (SciPy, FEniCS)</w:t>
            </w:r>
          </w:p>
        </w:tc>
        <w:tc>
          <w:tcPr>
            <w:tcW w:w="2340" w:type="dxa"/>
          </w:tcPr>
          <w:p>
            <w:pPr>
              <w:spacing w:before="40" w:after="40" w:line="240" w:lineRule="auto"/>
            </w:pPr>
            <w:r>
              <w:rPr>
                <w:sz w:val="18"/>
                <w:szCs w:val="18"/>
              </w:rPr>
              <w:t xml:space="preserve">Scientific computing, ML integration</w:t>
            </w:r>
          </w:p>
        </w:tc>
        <w:tc>
          <w:tcPr>
            <w:tcW w:w="2340" w:type="dxa"/>
          </w:tcPr>
          <w:p>
            <w:pPr>
              <w:spacing w:before="40" w:after="40" w:line="240" w:lineRule="auto"/>
            </w:pPr>
            <w:r>
              <w:rPr>
                <w:sz w:val="18"/>
                <w:szCs w:val="18"/>
              </w:rPr>
              <w:t xml:space="preserve">Community support, TensorFlow/PyTorch compatibility</w:t>
            </w:r>
          </w:p>
        </w:tc>
      </w:tr>
      <w:tr>
        <w:tc>
          <w:tcPr>
            <w:tcW w:w="2340" w:type="dxa"/>
          </w:tcPr>
          <w:p>
            <w:pPr>
              <w:spacing w:before="40" w:after="40" w:line="240" w:lineRule="auto"/>
            </w:pPr>
            <w:r>
              <w:rPr>
                <w:sz w:val="18"/>
                <w:szCs w:val="18"/>
              </w:rPr>
              <w:t xml:space="preserve">Biochemical Modeling</w:t>
            </w:r>
          </w:p>
        </w:tc>
        <w:tc>
          <w:tcPr>
            <w:tcW w:w="2340" w:type="dxa"/>
          </w:tcPr>
          <w:p>
            <w:pPr>
              <w:spacing w:before="40" w:after="40" w:line="240" w:lineRule="auto"/>
            </w:pPr>
            <w:r>
              <w:rPr>
                <w:sz w:val="18"/>
                <w:szCs w:val="18"/>
              </w:rPr>
              <w:t xml:space="preserve">COPASI, BioNetGen</w:t>
            </w:r>
          </w:p>
        </w:tc>
        <w:tc>
          <w:tcPr>
            <w:tcW w:w="2340" w:type="dxa"/>
          </w:tcPr>
          <w:p>
            <w:pPr>
              <w:spacing w:before="40" w:after="40" w:line="240" w:lineRule="auto"/>
            </w:pPr>
            <w:r>
              <w:rPr>
                <w:sz w:val="18"/>
                <w:szCs w:val="18"/>
              </w:rPr>
              <w:t xml:space="preserve">Metabolic/signaling networks</w:t>
            </w:r>
          </w:p>
        </w:tc>
        <w:tc>
          <w:tcPr>
            <w:tcW w:w="2340" w:type="dxa"/>
          </w:tcPr>
          <w:p>
            <w:pPr>
              <w:spacing w:before="40" w:after="40" w:line="240" w:lineRule="auto"/>
            </w:pPr>
            <w:r>
              <w:rPr>
                <w:sz w:val="18"/>
                <w:szCs w:val="18"/>
              </w:rPr>
              <w:t xml:space="preserve">Automatic ODE generation from reactions</w:t>
            </w:r>
          </w:p>
        </w:tc>
      </w:tr>
      <w:tr>
        <w:tc>
          <w:tcPr>
            <w:tcW w:w="2340" w:type="dxa"/>
          </w:tcPr>
          <w:p>
            <w:pPr>
              <w:spacing w:before="40" w:after="40" w:line="240" w:lineRule="auto"/>
            </w:pPr>
            <w:r>
              <w:rPr>
                <w:sz w:val="18"/>
                <w:szCs w:val="18"/>
              </w:rPr>
              <w:t xml:space="preserve">Neuroscience</w:t>
            </w:r>
          </w:p>
        </w:tc>
        <w:tc>
          <w:tcPr>
            <w:tcW w:w="2340" w:type="dxa"/>
          </w:tcPr>
          <w:p>
            <w:pPr>
              <w:spacing w:before="40" w:after="40" w:line="240" w:lineRule="auto"/>
            </w:pPr>
            <w:r>
              <w:rPr>
                <w:sz w:val="18"/>
                <w:szCs w:val="18"/>
              </w:rPr>
              <w:t xml:space="preserve">NEURON, GENESIS</w:t>
            </w:r>
          </w:p>
        </w:tc>
        <w:tc>
          <w:tcPr>
            <w:tcW w:w="2340" w:type="dxa"/>
          </w:tcPr>
          <w:p>
            <w:pPr>
              <w:spacing w:before="40" w:after="40" w:line="240" w:lineRule="auto"/>
            </w:pPr>
            <w:r>
              <w:rPr>
                <w:sz w:val="18"/>
                <w:szCs w:val="18"/>
              </w:rPr>
              <w:t xml:space="preserve">Neural circuit simulation</w:t>
            </w:r>
          </w:p>
        </w:tc>
        <w:tc>
          <w:tcPr>
            <w:tcW w:w="2340" w:type="dxa"/>
          </w:tcPr>
          <w:p>
            <w:pPr>
              <w:spacing w:before="40" w:after="40" w:line="240" w:lineRule="auto"/>
            </w:pPr>
            <w:r>
              <w:rPr>
                <w:sz w:val="18"/>
                <w:szCs w:val="18"/>
              </w:rPr>
              <w:t xml:space="preserve">Cable equation solvers, compartmental models</w:t>
            </w:r>
          </w:p>
        </w:tc>
      </w:tr>
      <w:tr>
        <w:tc>
          <w:tcPr>
            <w:tcW w:w="2340" w:type="dxa"/>
          </w:tcPr>
          <w:p>
            <w:pPr>
              <w:spacing w:before="40" w:after="40" w:line="240" w:lineRule="auto"/>
            </w:pPr>
            <w:r>
              <w:rPr>
                <w:sz w:val="18"/>
                <w:szCs w:val="18"/>
              </w:rPr>
              <w:t xml:space="preserve">Machine Learning</w:t>
            </w:r>
          </w:p>
        </w:tc>
        <w:tc>
          <w:tcPr>
            <w:tcW w:w="2340" w:type="dxa"/>
          </w:tcPr>
          <w:p>
            <w:pPr>
              <w:spacing w:before="40" w:after="40" w:line="240" w:lineRule="auto"/>
            </w:pPr>
            <w:r>
              <w:rPr>
                <w:sz w:val="18"/>
                <w:szCs w:val="18"/>
              </w:rPr>
              <w:t xml:space="preserve">PINNs, Neural ODEs</w:t>
            </w:r>
          </w:p>
        </w:tc>
        <w:tc>
          <w:tcPr>
            <w:tcW w:w="2340" w:type="dxa"/>
          </w:tcPr>
          <w:p>
            <w:pPr>
              <w:spacing w:before="40" w:after="40" w:line="240" w:lineRule="auto"/>
            </w:pPr>
            <w:r>
              <w:rPr>
                <w:sz w:val="18"/>
                <w:szCs w:val="18"/>
              </w:rPr>
              <w:t xml:space="preserve">Data-driven dynamics discovery</w:t>
            </w:r>
          </w:p>
        </w:tc>
        <w:tc>
          <w:tcPr>
            <w:tcW w:w="2340" w:type="dxa"/>
          </w:tcPr>
          <w:p>
            <w:pPr>
              <w:spacing w:before="40" w:after="40" w:line="240" w:lineRule="auto"/>
            </w:pPr>
            <w:r>
              <w:rPr>
                <w:sz w:val="18"/>
                <w:szCs w:val="18"/>
              </w:rPr>
              <w:t xml:space="preserve">PDE solution in complex geometries, parameter inference</w:t>
            </w:r>
          </w:p>
        </w:tc>
      </w:tr>
      <w:tr>
        <w:tc>
          <w:tcPr>
            <w:tcW w:w="2340" w:type="dxa"/>
          </w:tcPr>
          <w:p>
            <w:pPr>
              <w:spacing w:before="40" w:after="40" w:line="240" w:lineRule="auto"/>
            </w:pPr>
            <w:r>
              <w:rPr>
                <w:sz w:val="18"/>
                <w:szCs w:val="18"/>
              </w:rPr>
              <w:t xml:space="preserve">Equation Discovery</w:t>
            </w:r>
          </w:p>
        </w:tc>
        <w:tc>
          <w:tcPr>
            <w:tcW w:w="2340" w:type="dxa"/>
          </w:tcPr>
          <w:p>
            <w:pPr>
              <w:spacing w:before="40" w:after="40" w:line="240" w:lineRule="auto"/>
            </w:pPr>
            <w:r>
              <w:rPr>
                <w:sz w:val="18"/>
                <w:szCs w:val="18"/>
              </w:rPr>
              <w:t xml:space="preserve">SINDy, Symbolic Regression</w:t>
            </w:r>
          </w:p>
        </w:tc>
        <w:tc>
          <w:tcPr>
            <w:tcW w:w="2340" w:type="dxa"/>
          </w:tcPr>
          <w:p>
            <w:pPr>
              <w:spacing w:before="40" w:after="40" w:line="240" w:lineRule="auto"/>
            </w:pPr>
            <w:r>
              <w:rPr>
                <w:sz w:val="18"/>
                <w:szCs w:val="18"/>
              </w:rPr>
              <w:t xml:space="preserve">Governing equation identification</w:t>
            </w:r>
          </w:p>
        </w:tc>
        <w:tc>
          <w:tcPr>
            <w:tcW w:w="2340" w:type="dxa"/>
          </w:tcPr>
          <w:p>
            <w:pPr>
              <w:spacing w:before="40" w:after="40" w:line="240" w:lineRule="auto"/>
            </w:pPr>
            <w:r>
              <w:rPr>
                <w:sz w:val="18"/>
                <w:szCs w:val="18"/>
              </w:rPr>
              <w:t xml:space="preserve">Parsimonious model discovery from time-series</w:t>
            </w:r>
          </w:p>
        </w:tc>
      </w:tr>
      <w:tr>
        <w:tc>
          <w:tcPr>
            <w:tcW w:w="2340" w:type="dxa"/>
          </w:tcPr>
          <w:p>
            <w:pPr>
              <w:spacing w:before="40" w:after="40" w:line="240" w:lineRule="auto"/>
            </w:pPr>
            <w:r>
              <w:rPr>
                <w:sz w:val="18"/>
                <w:szCs w:val="18"/>
              </w:rPr>
              <w:t xml:space="preserve">Sensitivity Analysis</w:t>
            </w:r>
          </w:p>
        </w:tc>
        <w:tc>
          <w:tcPr>
            <w:tcW w:w="2340" w:type="dxa"/>
          </w:tcPr>
          <w:p>
            <w:pPr>
              <w:spacing w:before="40" w:after="40" w:line="240" w:lineRule="auto"/>
            </w:pPr>
            <w:r>
              <w:rPr>
                <w:sz w:val="18"/>
                <w:szCs w:val="18"/>
              </w:rPr>
              <w:t xml:space="preserve">Sobol indices, Morris screening</w:t>
            </w:r>
          </w:p>
        </w:tc>
        <w:tc>
          <w:tcPr>
            <w:tcW w:w="2340" w:type="dxa"/>
          </w:tcPr>
          <w:p>
            <w:pPr>
              <w:spacing w:before="40" w:after="40" w:line="240" w:lineRule="auto"/>
            </w:pPr>
            <w:r>
              <w:rPr>
                <w:sz w:val="18"/>
                <w:szCs w:val="18"/>
              </w:rPr>
              <w:t xml:space="preserve">Parameter importance ranking</w:t>
            </w:r>
          </w:p>
        </w:tc>
        <w:tc>
          <w:tcPr>
            <w:tcW w:w="2340" w:type="dxa"/>
          </w:tcPr>
          <w:p>
            <w:pPr>
              <w:spacing w:before="40" w:after="40" w:line="240" w:lineRule="auto"/>
            </w:pPr>
            <w:r>
              <w:rPr>
                <w:sz w:val="18"/>
                <w:szCs w:val="18"/>
              </w:rPr>
              <w:t xml:space="preserve">Global exploration, interaction detection</w:t>
            </w:r>
          </w:p>
        </w:tc>
      </w:tr>
      <w:tr>
        <w:tc>
          <w:tcPr>
            <w:tcW w:w="2340" w:type="dxa"/>
          </w:tcPr>
          <w:p>
            <w:pPr>
              <w:spacing w:before="40" w:after="40" w:line="240" w:lineRule="auto"/>
            </w:pPr>
            <w:r>
              <w:rPr>
                <w:sz w:val="18"/>
                <w:szCs w:val="18"/>
              </w:rPr>
              <w:t xml:space="preserve">Multiscale Modeling</w:t>
            </w:r>
          </w:p>
        </w:tc>
        <w:tc>
          <w:tcPr>
            <w:tcW w:w="2340" w:type="dxa"/>
          </w:tcPr>
          <w:p>
            <w:pPr>
              <w:spacing w:before="40" w:after="40" w:line="240" w:lineRule="auto"/>
            </w:pPr>
            <w:r>
              <w:rPr>
                <w:sz w:val="18"/>
                <w:szCs w:val="18"/>
              </w:rPr>
              <w:t xml:space="preserve">Agent-based models, homogenization</w:t>
            </w:r>
          </w:p>
        </w:tc>
        <w:tc>
          <w:tcPr>
            <w:tcW w:w="2340" w:type="dxa"/>
          </w:tcPr>
          <w:p>
            <w:pPr>
              <w:spacing w:before="40" w:after="40" w:line="240" w:lineRule="auto"/>
            </w:pPr>
            <w:r>
              <w:rPr>
                <w:sz w:val="18"/>
                <w:szCs w:val="18"/>
              </w:rPr>
              <w:t xml:space="preserve">Tissue-level simulation</w:t>
            </w:r>
          </w:p>
        </w:tc>
        <w:tc>
          <w:tcPr>
            <w:tcW w:w="2340" w:type="dxa"/>
          </w:tcPr>
          <w:p>
            <w:pPr>
              <w:spacing w:before="40" w:after="40" w:line="240" w:lineRule="auto"/>
            </w:pPr>
            <w:r>
              <w:rPr>
                <w:sz w:val="18"/>
                <w:szCs w:val="18"/>
              </w:rPr>
              <w:t xml:space="preserve">Cell-level to continuum bridging</w:t>
            </w:r>
          </w:p>
        </w:tc>
      </w:tr>
      <w:tr>
        <w:tc>
          <w:tcPr>
            <w:tcW w:w="2340" w:type="dxa"/>
          </w:tcPr>
          <w:p>
            <w:pPr>
              <w:spacing w:before="40" w:after="40" w:line="240" w:lineRule="auto"/>
            </w:pPr>
            <w:r>
              <w:rPr>
                <w:sz w:val="18"/>
                <w:szCs w:val="18"/>
              </w:rPr>
              <w:t xml:space="preserve">Personalized Medicine</w:t>
            </w:r>
          </w:p>
        </w:tc>
        <w:tc>
          <w:tcPr>
            <w:tcW w:w="2340" w:type="dxa"/>
          </w:tcPr>
          <w:p>
            <w:pPr>
              <w:spacing w:before="40" w:after="40" w:line="240" w:lineRule="auto"/>
            </w:pPr>
            <w:r>
              <w:rPr>
                <w:sz w:val="18"/>
                <w:szCs w:val="18"/>
              </w:rPr>
              <w:t xml:space="preserve">Digital twins</w:t>
            </w:r>
          </w:p>
        </w:tc>
        <w:tc>
          <w:tcPr>
            <w:tcW w:w="2340" w:type="dxa"/>
          </w:tcPr>
          <w:p>
            <w:pPr>
              <w:spacing w:before="40" w:after="40" w:line="240" w:lineRule="auto"/>
            </w:pPr>
            <w:r>
              <w:rPr>
                <w:sz w:val="18"/>
                <w:szCs w:val="18"/>
              </w:rPr>
              <w:t xml:space="preserve">Patient-specific prediction</w:t>
            </w:r>
          </w:p>
        </w:tc>
        <w:tc>
          <w:tcPr>
            <w:tcW w:w="2340" w:type="dxa"/>
          </w:tcPr>
          <w:p>
            <w:pPr>
              <w:spacing w:before="40" w:after="40" w:line="240" w:lineRule="auto"/>
            </w:pPr>
            <w:r>
              <w:rPr>
                <w:sz w:val="18"/>
                <w:szCs w:val="18"/>
              </w:rPr>
              <w:t xml:space="preserve">Cardiac ablation planning, oncology dosing</w:t>
            </w:r>
          </w:p>
        </w:tc>
      </w:tr>
      <w:tr>
        <w:tc>
          <w:tcPr>
            <w:tcW w:w="2340" w:type="dxa"/>
          </w:tcPr>
          <w:p>
            <w:pPr>
              <w:spacing w:before="40" w:after="40" w:line="240" w:lineRule="auto"/>
            </w:pPr>
            <w:r>
              <w:rPr>
                <w:sz w:val="18"/>
                <w:szCs w:val="18"/>
              </w:rPr>
              <w:t xml:space="preserve">Pattern Formation</w:t>
            </w:r>
          </w:p>
        </w:tc>
        <w:tc>
          <w:tcPr>
            <w:tcW w:w="2340" w:type="dxa"/>
          </w:tcPr>
          <w:p>
            <w:pPr>
              <w:spacing w:before="40" w:after="40" w:line="240" w:lineRule="auto"/>
            </w:pPr>
            <w:r>
              <w:rPr>
                <w:sz w:val="18"/>
                <w:szCs w:val="18"/>
              </w:rPr>
              <w:t xml:space="preserve">Turing instability analysis</w:t>
            </w:r>
          </w:p>
        </w:tc>
        <w:tc>
          <w:tcPr>
            <w:tcW w:w="2340" w:type="dxa"/>
          </w:tcPr>
          <w:p>
            <w:pPr>
              <w:spacing w:before="40" w:after="40" w:line="240" w:lineRule="auto"/>
            </w:pPr>
            <w:r>
              <w:rPr>
                <w:sz w:val="18"/>
                <w:szCs w:val="18"/>
              </w:rPr>
              <w:t xml:space="preserve">Developmental biology</w:t>
            </w:r>
          </w:p>
        </w:tc>
        <w:tc>
          <w:tcPr>
            <w:tcW w:w="2340" w:type="dxa"/>
          </w:tcPr>
          <w:p>
            <w:pPr>
              <w:spacing w:before="40" w:after="40" w:line="240" w:lineRule="auto"/>
            </w:pPr>
            <w:r>
              <w:rPr>
                <w:sz w:val="18"/>
                <w:szCs w:val="18"/>
              </w:rPr>
              <w:t xml:space="preserve">Stripe/spot prediction, morphogenesis</w:t>
            </w:r>
          </w:p>
        </w:tc>
      </w:tr>
    </w:tbl>
    <w:p>
      <w:pPr>
        <w:spacing w:before="120" w:after="120"/>
      </w:pPr>
    </w:p>
    <w:p>
      <w:pPr>
        <w:spacing w:before="0" w:after="0"/>
      </w:pPr>
    </w:p>
    <w:p>
      <w:pPr>
        <w:spacing w:before="0" w:after="0"/>
      </w:pPr>
    </w:p>
    <w:p>
      <w:pPr>
        <w:spacing w:before="0" w:after="0"/>
      </w:pPr>
    </w:p>
    <w:p>
      <w:pPr>
        <w:pStyle w:val="Heading2"/>
        <w:spacing w:before="240" w:after="120" w:line="360" w:lineRule="auto"/>
      </w:pPr>
      <w:r>
        <w:rPr>
          <w:b/>
          <w:bCs/>
        </w:rPr>
        <w:t xml:space="preserve">4.3 Challenges, Limitations, and Future Directions</w:t>
      </w:r>
    </w:p>
    <w:p>
      <w:pPr>
        <w:spacing w:before="0" w:after="0"/>
      </w:pPr>
    </w:p>
    <w:p>
      <w:pPr>
        <w:pStyle w:val="Heading3"/>
        <w:spacing w:before="180" w:after="60" w:line="360" w:lineRule="auto"/>
      </w:pPr>
      <w:r>
        <w:rPr>
          <w:b/>
          <w:bCs/>
          <w:i/>
          <w:iCs/>
        </w:rPr>
        <w:t xml:space="preserve">Data Limitations and Model Uncertainty</w:t>
      </w:r>
    </w:p>
    <w:p>
      <w:pPr>
        <w:spacing w:before="0" w:after="0"/>
      </w:pPr>
    </w:p>
    <w:p>
      <w:pPr>
        <w:jc w:val="both"/>
        <w:spacing w:before="0" w:after="120" w:line="360" w:lineRule="auto"/>
      </w:pPr>
      <w:r>
        <w:t xml:space="preserve">Despite remarkable advances, mathematical biology faces persistent challenges related to data availability and quality [50, 51]. Biological measurements are inherently noisy, often indirect, and typically sparse relative to the complexity of underlying processes [54]. Many model parameters cannot be measured directly and must be inferred from incomplete observations, leading to parameter uncertainty that propagates through model predictions [52]. Structural uncertainty—whether the model correctly represents the relevant biological mechanisms—is even more difficult to assess and quantify [55].</w:t>
      </w:r>
    </w:p>
    <w:p>
      <w:pPr>
        <w:spacing w:before="0" w:after="0"/>
      </w:pPr>
    </w:p>
    <w:p>
      <w:pPr>
        <w:jc w:val="both"/>
        <w:spacing w:before="0" w:after="120" w:line="360" w:lineRule="auto"/>
      </w:pPr>
      <w:r>
        <w:t xml:space="preserve">Bayesian approaches to model inference provide a principled framework for quantifying and propagating uncertainty through biological models [53]. Prior distributions encode existing knowledge about parameters, likelihood functions connect model predictions to observations, and posterior distributions represent updated beliefs after incorporating data [52]. Model comparison techniques (Bayes factors, information criteria) enable systematic assessment of whether increased model complexity is justified by improved data fit, guarding against overfitting while permitting the discovery of genuine biological mechanisms [50, 56].</w:t>
      </w:r>
    </w:p>
    <w:p>
      <w:pPr>
        <w:spacing w:before="0" w:after="0"/>
      </w:pPr>
    </w:p>
    <w:p>
      <w:pPr>
        <w:jc w:val="both"/>
        <w:spacing w:before="0" w:after="120" w:line="360" w:lineRule="auto"/>
      </w:pPr>
      <w:r>
        <w:t xml:space="preserve">Identifiability analysis—determining whether model parameters can be uniquely determined from available data—is essential for interpreting inference results [54]. Structural identifiability addresses whether parameters are theoretically determinable from perfect data, while practical identifiability considers the additional constraints imposed by finite, noisy measurements [51]. Unidentifiable parameters indicate either model overparameterization or the need for additional experimental measurements targeting specific model components [55].</w:t>
      </w:r>
    </w:p>
    <w:p>
      <w:pPr>
        <w:spacing w:before="0" w:after="0"/>
      </w:pPr>
    </w:p>
    <w:p>
      <w:pPr>
        <w:pStyle w:val="Heading3"/>
        <w:spacing w:before="180" w:after="60" w:line="360" w:lineRule="auto"/>
      </w:pPr>
      <w:r>
        <w:rPr>
          <w:b/>
          <w:bCs/>
          <w:i/>
          <w:iCs/>
        </w:rPr>
        <w:t xml:space="preserve">Multiscale Modeling Challenges</w:t>
      </w:r>
    </w:p>
    <w:p>
      <w:pPr>
        <w:spacing w:before="0" w:after="0"/>
      </w:pPr>
    </w:p>
    <w:p>
      <w:pPr>
        <w:jc w:val="both"/>
        <w:spacing w:before="0" w:after="120" w:line="360" w:lineRule="auto"/>
      </w:pPr>
      <w:r>
        <w:t xml:space="preserve">Biological systems are inherently multiscale, with processes spanning molecular (nanometer, microsecond) to organismal (meter, year) scales [8, 20]. Multiscale modeling seeks to connect these levels, capturing how molecular events influence cellular behavior, how cellular dynamics give rise to tissue-level phenomena, and how organism-level processes emerge from tissue interactions [6]. This endeavor faces fundamental challenges related to scale separation, computational tractability, and the coupling of models operating at different resolutions [7].</w:t>
      </w:r>
    </w:p>
    <w:p>
      <w:pPr>
        <w:spacing w:before="0" w:after="0"/>
      </w:pPr>
    </w:p>
    <w:p>
      <w:pPr>
        <w:jc w:val="both"/>
        <w:spacing w:before="0" w:after="120" w:line="360" w:lineRule="auto"/>
      </w:pPr>
      <w:r>
        <w:t xml:space="preserve">Approaches to multiscale modeling include hierarchical methods (where coarse-grained models are parameterized by fine-scale simulations), concurrent methods (where models at different scales are solved simultaneously with information exchanged at interfaces), and hybrid methods (combining continuous and discrete descriptions within a single framework) [8, 46]. Agent-based models, which track individual cells as autonomous decision-making entities governed by internal ODE models and interacting through mechanical forces and chemical signals, represent a particularly successful hybrid approach for tissue-level modeling [44].</w:t>
      </w:r>
    </w:p>
    <w:p>
      <w:pPr>
        <w:spacing w:before="0" w:after="0"/>
      </w:pPr>
    </w:p>
    <w:p>
      <w:pPr>
        <w:jc w:val="both"/>
        <w:spacing w:before="0" w:after="120" w:line="360" w:lineRule="auto"/>
      </w:pPr>
      <w:r>
        <w:t xml:space="preserve">The challenge of bridging molecular and cellular scales has motivated the development of coarse-grained models that capture essential features of molecular dynamics without tracking every atom [20]. Similarly, connecting cellular models to tissue-level continuum descriptions requires homogenization techniques and effective medium theories that translate discrete cell-level behavior into continuous field equations [33]. Each scale transition involves approximations whose validity must be carefully assessed [8].</w:t>
      </w:r>
    </w:p>
    <w:p>
      <w:pPr>
        <w:spacing w:before="0" w:after="0"/>
      </w:pPr>
    </w:p>
    <w:p>
      <w:pPr>
        <w:pStyle w:val="Heading3"/>
        <w:spacing w:before="180" w:after="60" w:line="360" w:lineRule="auto"/>
      </w:pPr>
      <w:r>
        <w:rPr>
          <w:b/>
          <w:bCs/>
          <w:i/>
          <w:iCs/>
        </w:rPr>
        <w:t xml:space="preserve">Emerging Trends in Systems Biology and Personalized Medicine</w:t>
      </w:r>
    </w:p>
    <w:p>
      <w:pPr>
        <w:spacing w:before="0" w:after="0"/>
      </w:pPr>
    </w:p>
    <w:p>
      <w:pPr>
        <w:jc w:val="both"/>
        <w:spacing w:before="0" w:after="120" w:line="360" w:lineRule="auto"/>
      </w:pPr>
      <w:r>
        <w:t xml:space="preserve">The convergence of mathematical modeling, high-throughput biology, and clinical medicine is giving rise to personalized or precision medicine—the vision of tailoring medical interventions to individual patients based on their unique biological characteristics [6, 7]. Mathematical models serve as the computational engine translating patient-specific data (genomic profiles, imaging data, biomarker measurements) into individualized predictions and treatment recommendations [57].</w:t>
      </w:r>
    </w:p>
    <w:p>
      <w:pPr>
        <w:spacing w:before="0" w:after="0"/>
      </w:pPr>
    </w:p>
    <w:p>
      <w:pPr>
        <w:jc w:val="both"/>
        <w:spacing w:before="0" w:after="120" w:line="360" w:lineRule="auto"/>
      </w:pPr>
      <w:r>
        <w:t xml:space="preserve">Digital twins—computational replicas of individual patients calibrated with personal data—represent the frontier of personalized mathematical medicine [7]. Cardiac digital twins incorporating patient-specific anatomy, electrophysiology, and mechanics guide decisions regarding ablation therapy and device implantation [35, 36]. Oncological digital twins simulate tumor growth and treatment response, informing chemotherapy dosing and radiation planning [57]. While still in early development, these applications demonstrate the translational potential of the mathematical frameworks described throughout this chapter [6].</w:t>
      </w:r>
    </w:p>
    <w:p>
      <w:pPr>
        <w:spacing w:before="0" w:after="0"/>
      </w:pPr>
    </w:p>
    <w:p>
      <w:pPr>
        <w:jc w:val="both"/>
        <w:spacing w:before="0" w:after="120" w:line="360" w:lineRule="auto"/>
      </w:pPr>
      <w:r>
        <w:t xml:space="preserve">Systems biology, which aims to understand biological function as an emergent property of complex networks of interacting components, relies fundamentally on dynamical systems theory and differential equations [20, 21]. Genome-scale metabolic models, comprising thousands of reactions and metabolites, enable prediction of cellular phenotype from genotype [32]. Whole-cell models, integrating gene expression, metabolism, cell division, and signaling within a unified computational framework, represent the ultimate synthesis of mathematical and biological knowledge at the cellular level [44, 46].</w:t>
      </w:r>
    </w:p>
    <w:p>
      <w:pPr>
        <w:spacing w:before="0" w:after="0"/>
      </w:pPr>
    </w:p>
    <w:p>
      <w:pPr>
        <w:jc w:val="both"/>
        <w:spacing w:before="0" w:after="120" w:line="360" w:lineRule="auto"/>
      </w:pPr>
      <w:r>
        <w:t xml:space="preserve">The future of mathematical biology lies at the intersection of mechanistic modeling, data science, and experimental biology [6, 7]. Advances in single-cell technologies, spatial transcriptomics, and live imaging are generating unprecedented datasets that simultaneously demand and enable more sophisticated mathematical models [21]. The integration of machine learning with mechanistic frameworks promises models that are both predictive and interpretable—capturing biological mechanism while scaling to the complexity of real systems [56, 80]. As computational power continues to grow and experimental technologies generate ever-richer data, the marriage of differential equations, dynamical systems theory, and biology will continue to deepen our understanding of life's fundamental principles and improve our ability to intervene when those principles go awry [1, 5].</w:t>
      </w:r>
    </w:p>
    <w:p>
      <w:pPr>
        <w:spacing w:before="0" w:after="0"/>
      </w:pPr>
    </w:p>
    <w:p>
      <w:pPr>
        <w:pBdr>
          <w:bottom w:val="single" w:sz="12" w:space="1" w:color="auto"/>
        </w:pBdr>
        <w:spacing w:before="240" w:after="240"/>
      </w:pPr>
    </w:p>
    <w:p>
      <w:pPr>
        <w:spacing w:before="0" w:after="0"/>
      </w:pPr>
    </w:p>
    <w:p>
      <w:pPr>
        <w:pStyle w:val="Heading1"/>
        <w:spacing w:before="360" w:after="120" w:line="360" w:lineRule="auto"/>
      </w:pPr>
      <w:r>
        <w:rPr>
          <w:b/>
          <w:bCs/>
          <w:sz w:val="28"/>
          <w:szCs w:val="28"/>
        </w:rPr>
        <w:t xml:space="preserve">Conclusion</w:t>
      </w:r>
    </w:p>
    <w:p>
      <w:pPr>
        <w:spacing w:before="0" w:after="0"/>
      </w:pPr>
    </w:p>
    <w:p>
      <w:pPr>
        <w:jc w:val="both"/>
        <w:spacing w:before="0" w:after="120" w:line="360" w:lineRule="auto"/>
      </w:pPr>
      <w:r>
        <w:t xml:space="preserve">The application of differential equations and dynamical systems theory to biology has evolved from isolated mathematical exercises into a comprehensive framework that permeates virtually every subdiscipline of the life sciences [1, 2, 3]. From the elegant simplicity of exponential growth to the computational complexity of patient-specific digital twins, mathematical models provide the quantitative backbone for understanding biological dynamics across all scales of organization [5, 6].</w:t>
      </w:r>
    </w:p>
    <w:p>
      <w:pPr>
        <w:spacing w:before="0" w:after="0"/>
      </w:pPr>
    </w:p>
    <w:p>
      <w:pPr>
        <w:jc w:val="both"/>
        <w:spacing w:before="0" w:after="120" w:line="360" w:lineRule="auto"/>
      </w:pPr>
      <w:r>
        <w:t xml:space="preserve">This chapter has traced the arc from foundational principles—the formulation of ODEs and PDEs, the specification of initial and boundary conditions, the distinction between deterministic and stochastic approaches [11, 42]—through the powerful analytical tools of dynamical systems theory—stability analysis, bifurcation theory, and the geometric understanding of phase space [4, 58, 69]—to diverse applications in ecology, epidemiology, cell biology, and physiology [22, 24, 26, 18]. Advanced topics including spatial pattern formation, computational simulation, and data-driven modeling point toward the future directions that will define the field in coming decades [17, 39, 80].</w:t>
      </w:r>
    </w:p>
    <w:p>
      <w:pPr>
        <w:spacing w:before="0" w:after="0"/>
      </w:pPr>
    </w:p>
    <w:p>
      <w:pPr>
        <w:jc w:val="both"/>
        <w:spacing w:before="0" w:after="120" w:line="360" w:lineRule="auto"/>
      </w:pPr>
      <w:r>
        <w:t xml:space="preserve">The challenges ahead are substantial: bridging scales, integrating heterogeneous data types, quantifying uncertainty, and translating mathematical insights into clinical practice all require continued innovation at the interface of mathematics, biology, and computation [7, 8, 20]. Yet the trajectory of the field gives cause for optimism. As mathematical biology matures from a specialized niche into an essential component of biological research and medical practice, the differential equations and dynamical systems at its core will continue to illuminate the deep mathematical structures that underlie the complexity of living systems [1, 5, 6].</w:t>
      </w:r>
    </w:p>
    <w:p>
      <w:pPr>
        <w:spacing w:before="0" w:after="0"/>
      </w:pPr>
    </w:p>
    <w:p>
      <w:pPr>
        <w:pBdr>
          <w:bottom w:val="single" w:sz="12" w:space="1" w:color="auto"/>
        </w:pBdr>
        <w:spacing w:before="240" w:after="240"/>
      </w:pPr>
    </w:p>
    <w:p>
      <w:pPr>
        <w:spacing w:before="0" w:after="0"/>
      </w:pPr>
    </w:p>
    <w:p>
      <w:pPr>
        <w:spacing w:before="0" w:after="0"/>
      </w:pPr>
    </w:p>
    <w:p>
      <w:pPr>
        <w:pStyle w:val="Heading1"/>
        <w:spacing w:before="360" w:after="120" w:line="360" w:lineRule="auto"/>
      </w:pPr>
      <w:r>
        <w:rPr>
          <w:b/>
          <w:bCs/>
          <w:sz w:val="28"/>
          <w:szCs w:val="28"/>
        </w:rPr>
        <w:t xml:space="preserve">References</w:t>
      </w:r>
    </w:p>
    <w:p>
      <w:pPr>
        <w:spacing w:before="0" w:after="0"/>
      </w:pPr>
    </w:p>
    <w:p>
      <w:pPr>
        <w:spacing w:before="0" w:after="60" w:line="360" w:lineRule="auto"/>
      </w:pPr>
      <w:r>
        <w:rPr>
          <w:sz w:val="20"/>
          <w:szCs w:val="20"/>
        </w:rPr>
        <w:t xml:space="preserve">[1] Murray, J.D. (2002). Mathematical Biology I: An Introduction. 3rd ed. Springer-Verlag, New York.</w:t>
      </w:r>
    </w:p>
    <w:p>
      <w:pPr>
        <w:spacing w:before="0" w:after="0"/>
      </w:pPr>
    </w:p>
    <w:p>
      <w:pPr>
        <w:spacing w:before="0" w:after="60" w:line="360" w:lineRule="auto"/>
      </w:pPr>
      <w:r>
        <w:rPr>
          <w:sz w:val="20"/>
          <w:szCs w:val="20"/>
        </w:rPr>
        <w:t xml:space="preserve">[2] Murray, J.D. (2003). Mathematical Biology II: Spatial Models and Biomedical Applications. 3rd ed. Springer-Verlag, New York.</w:t>
      </w:r>
    </w:p>
    <w:p>
      <w:pPr>
        <w:spacing w:before="0" w:after="0"/>
      </w:pPr>
    </w:p>
    <w:p>
      <w:pPr>
        <w:spacing w:before="0" w:after="60" w:line="360" w:lineRule="auto"/>
      </w:pPr>
      <w:r>
        <w:rPr>
          <w:sz w:val="20"/>
          <w:szCs w:val="20"/>
        </w:rPr>
        <w:t xml:space="preserve">[3] Edelstein-Keshet, L. (2005). Mathematical Models in Biology. SIAM, Philadelphia.</w:t>
      </w:r>
    </w:p>
    <w:p>
      <w:pPr>
        <w:spacing w:before="0" w:after="0"/>
      </w:pPr>
    </w:p>
    <w:p>
      <w:pPr>
        <w:spacing w:before="0" w:after="60" w:line="360" w:lineRule="auto"/>
      </w:pPr>
      <w:r>
        <w:rPr>
          <w:sz w:val="20"/>
          <w:szCs w:val="20"/>
        </w:rPr>
        <w:t xml:space="preserve">[4] Strogatz, S.H. (2015). Nonlinear Dynamics and Chaos: With Applications to Physics, Biology, Chemistry, and Engineering. 2nd ed. Westview Press, Boulder.</w:t>
      </w:r>
    </w:p>
    <w:p>
      <w:pPr>
        <w:spacing w:before="0" w:after="0"/>
      </w:pPr>
    </w:p>
    <w:p>
      <w:pPr>
        <w:spacing w:before="0" w:after="60" w:line="360" w:lineRule="auto"/>
      </w:pPr>
      <w:r>
        <w:rPr>
          <w:sz w:val="20"/>
          <w:szCs w:val="20"/>
        </w:rPr>
        <w:t xml:space="preserve">[5] Keener, J. and Sneyd, J. (2009). Mathematical Physiology I: Cellular Physiology. 2nd ed. Springer, New York.</w:t>
      </w:r>
    </w:p>
    <w:p>
      <w:pPr>
        <w:spacing w:before="0" w:after="0"/>
      </w:pPr>
    </w:p>
    <w:p>
      <w:pPr>
        <w:spacing w:before="0" w:after="60" w:line="360" w:lineRule="auto"/>
      </w:pPr>
      <w:r>
        <w:rPr>
          <w:sz w:val="20"/>
          <w:szCs w:val="20"/>
        </w:rPr>
        <w:t xml:space="preserve">[6] Kitano, H. (2002). Systems biology: A brief overview. Science, 295(5560), 1662-1664.</w:t>
      </w:r>
    </w:p>
    <w:p>
      <w:pPr>
        <w:spacing w:before="0" w:after="0"/>
      </w:pPr>
    </w:p>
    <w:p>
      <w:pPr>
        <w:spacing w:before="0" w:after="60" w:line="360" w:lineRule="auto"/>
      </w:pPr>
      <w:r>
        <w:rPr>
          <w:sz w:val="20"/>
          <w:szCs w:val="20"/>
        </w:rPr>
        <w:t xml:space="preserve">[7] Niederer, S.A., Lumens, J., and Trayanova, N.A. (2019). Computational models in cardiology. Nature Reviews Cardiology, 16(2), 100-111.</w:t>
      </w:r>
    </w:p>
    <w:p>
      <w:pPr>
        <w:spacing w:before="0" w:after="0"/>
      </w:pPr>
    </w:p>
    <w:p>
      <w:pPr>
        <w:spacing w:before="0" w:after="60" w:line="360" w:lineRule="auto"/>
      </w:pPr>
      <w:r>
        <w:rPr>
          <w:sz w:val="20"/>
          <w:szCs w:val="20"/>
        </w:rPr>
        <w:t xml:space="preserve">[8] Southern, J. et al. (2008). Multi-scale computational modelling in biology and physiology. Progress in Biophysics and Molecular Biology, 96(1-3), 60-89.</w:t>
      </w:r>
    </w:p>
    <w:p>
      <w:pPr>
        <w:spacing w:before="0" w:after="0"/>
      </w:pPr>
    </w:p>
    <w:p>
      <w:pPr>
        <w:spacing w:before="0" w:after="60" w:line="360" w:lineRule="auto"/>
      </w:pPr>
      <w:r>
        <w:rPr>
          <w:sz w:val="20"/>
          <w:szCs w:val="20"/>
        </w:rPr>
        <w:t xml:space="preserve">[9] Anderson, R.M. and May, R.M. (1991). Infectious Diseases of Humans: Dynamics and Control. Oxford University Press, Oxford.</w:t>
      </w:r>
    </w:p>
    <w:p>
      <w:pPr>
        <w:spacing w:before="0" w:after="0"/>
      </w:pPr>
    </w:p>
    <w:p>
      <w:pPr>
        <w:spacing w:before="0" w:after="60" w:line="360" w:lineRule="auto"/>
      </w:pPr>
      <w:r>
        <w:rPr>
          <w:sz w:val="20"/>
          <w:szCs w:val="20"/>
        </w:rPr>
        <w:t xml:space="preserve">[10] Kondo, S. and Miura, T. (2010). Reaction-diffusion model as a framework for understanding biological pattern formation. Science, 329(5999), 1616-1620.</w:t>
      </w:r>
    </w:p>
    <w:p>
      <w:pPr>
        <w:spacing w:before="0" w:after="0"/>
      </w:pPr>
    </w:p>
    <w:p>
      <w:pPr>
        <w:spacing w:before="0" w:after="60" w:line="360" w:lineRule="auto"/>
      </w:pPr>
      <w:r>
        <w:rPr>
          <w:sz w:val="20"/>
          <w:szCs w:val="20"/>
        </w:rPr>
        <w:t xml:space="preserve">[11] Boyce, W.E. and DiPrima, R.C. (2012). Elementary Differential Equations and Boundary Value Problems. 10th ed. John Wiley &amp; Sons, New York.</w:t>
      </w:r>
    </w:p>
    <w:p>
      <w:pPr>
        <w:spacing w:before="0" w:after="0"/>
      </w:pPr>
    </w:p>
    <w:p>
      <w:pPr>
        <w:spacing w:before="0" w:after="60" w:line="360" w:lineRule="auto"/>
      </w:pPr>
      <w:r>
        <w:rPr>
          <w:sz w:val="20"/>
          <w:szCs w:val="20"/>
        </w:rPr>
        <w:t xml:space="preserve">[12] Fall, C.P. et al. (2002). Computational Cell Biology. Springer-Verlag, New York.</w:t>
      </w:r>
    </w:p>
    <w:p>
      <w:pPr>
        <w:spacing w:before="0" w:after="0"/>
      </w:pPr>
    </w:p>
    <w:p>
      <w:pPr>
        <w:spacing w:before="0" w:after="60" w:line="360" w:lineRule="auto"/>
      </w:pPr>
      <w:r>
        <w:rPr>
          <w:sz w:val="20"/>
          <w:szCs w:val="20"/>
        </w:rPr>
        <w:t xml:space="preserve">[13] Bernoulli, D. (1760). Essai d'une nouvelle analyse de la mortalité causée par la petite vérole. Mémoires de Mathématiques et de Physique, Académie Royale des Sciences, Paris.</w:t>
      </w:r>
    </w:p>
    <w:p>
      <w:pPr>
        <w:spacing w:before="0" w:after="0"/>
      </w:pPr>
    </w:p>
    <w:p>
      <w:pPr>
        <w:spacing w:before="0" w:after="60" w:line="360" w:lineRule="auto"/>
      </w:pPr>
      <w:r>
        <w:rPr>
          <w:sz w:val="20"/>
          <w:szCs w:val="20"/>
        </w:rPr>
        <w:t xml:space="preserve">[14] Lotka, A.J. (1925). Elements of Physical Biology. Williams and Wilkins, Baltimore.</w:t>
      </w:r>
    </w:p>
    <w:p>
      <w:pPr>
        <w:spacing w:before="0" w:after="0"/>
      </w:pPr>
    </w:p>
    <w:p>
      <w:pPr>
        <w:spacing w:before="0" w:after="60" w:line="360" w:lineRule="auto"/>
      </w:pPr>
      <w:r>
        <w:rPr>
          <w:sz w:val="20"/>
          <w:szCs w:val="20"/>
        </w:rPr>
        <w:t xml:space="preserve">[15] Volterra, V. (1926). Fluctuations in the abundance of a species considered mathematically. Nature, 118, 558-560.</w:t>
      </w:r>
    </w:p>
    <w:p>
      <w:pPr>
        <w:spacing w:before="0" w:after="0"/>
      </w:pPr>
    </w:p>
    <w:p>
      <w:pPr>
        <w:spacing w:before="0" w:after="60" w:line="360" w:lineRule="auto"/>
      </w:pPr>
      <w:r>
        <w:rPr>
          <w:sz w:val="20"/>
          <w:szCs w:val="20"/>
        </w:rPr>
        <w:t xml:space="preserve">[16] Kot, M. (2001). Elements of Mathematical Ecology. Cambridge University Press, Cambridge.</w:t>
      </w:r>
    </w:p>
    <w:p>
      <w:pPr>
        <w:spacing w:before="0" w:after="0"/>
      </w:pPr>
    </w:p>
    <w:p>
      <w:pPr>
        <w:spacing w:before="0" w:after="60" w:line="360" w:lineRule="auto"/>
      </w:pPr>
      <w:r>
        <w:rPr>
          <w:sz w:val="20"/>
          <w:szCs w:val="20"/>
        </w:rPr>
        <w:t xml:space="preserve">[17] Turing, A.M. (1952). The chemical basis of morphogenesis. Philosophical Transactions of the Royal Society B, 237(641), 37-72.</w:t>
      </w:r>
    </w:p>
    <w:p>
      <w:pPr>
        <w:spacing w:before="0" w:after="0"/>
      </w:pPr>
    </w:p>
    <w:p>
      <w:pPr>
        <w:spacing w:before="0" w:after="60" w:line="360" w:lineRule="auto"/>
      </w:pPr>
      <w:r>
        <w:rPr>
          <w:sz w:val="20"/>
          <w:szCs w:val="20"/>
        </w:rPr>
        <w:t xml:space="preserve">[18] Hodgkin, A.L. and Huxley, A.F. (1952). A quantitative description of membrane current and its application to conduction and excitation in nerve. Journal of Physiology, 117(4), 500-544.</w:t>
      </w:r>
    </w:p>
    <w:p>
      <w:pPr>
        <w:spacing w:before="0" w:after="0"/>
      </w:pPr>
    </w:p>
    <w:p>
      <w:pPr>
        <w:spacing w:before="0" w:after="60" w:line="360" w:lineRule="auto"/>
      </w:pPr>
      <w:r>
        <w:rPr>
          <w:sz w:val="20"/>
          <w:szCs w:val="20"/>
        </w:rPr>
        <w:t xml:space="preserve">[19] Koch, C. (1999). Biophysics of Computation: Information Processing in Single Neurons. Oxford University Press, New York.</w:t>
      </w:r>
    </w:p>
    <w:p>
      <w:pPr>
        <w:spacing w:before="0" w:after="0"/>
      </w:pPr>
    </w:p>
    <w:p>
      <w:pPr>
        <w:spacing w:before="0" w:after="60" w:line="360" w:lineRule="auto"/>
      </w:pPr>
      <w:r>
        <w:rPr>
          <w:sz w:val="20"/>
          <w:szCs w:val="20"/>
        </w:rPr>
        <w:t xml:space="preserve">[20] Ideker, T., Galitski, T., and Hood, L. (2001). A new approach to decoding life: Systems biology. Annual Review of Genomics and Human Genetics, 2, 343-372.</w:t>
      </w:r>
    </w:p>
    <w:p>
      <w:pPr>
        <w:spacing w:before="0" w:after="0"/>
      </w:pPr>
    </w:p>
    <w:p>
      <w:pPr>
        <w:spacing w:before="0" w:after="60" w:line="360" w:lineRule="auto"/>
      </w:pPr>
      <w:r>
        <w:rPr>
          <w:sz w:val="20"/>
          <w:szCs w:val="20"/>
        </w:rPr>
        <w:t xml:space="preserve">[21] Topol, E.J. (2019). High-performance medicine: The convergence of human and artificial intelligence. Nature Medicine, 25(1), 44-56.</w:t>
      </w:r>
    </w:p>
    <w:p>
      <w:pPr>
        <w:spacing w:before="0" w:after="0"/>
      </w:pPr>
    </w:p>
    <w:p>
      <w:pPr>
        <w:spacing w:before="0" w:after="60" w:line="360" w:lineRule="auto"/>
      </w:pPr>
      <w:r>
        <w:rPr>
          <w:sz w:val="20"/>
          <w:szCs w:val="20"/>
        </w:rPr>
        <w:t xml:space="preserve">[22] Gotelli, N.J. (2008). A Primer of Ecology. 4th ed. Sinauer Associates, Sunderland.</w:t>
      </w:r>
    </w:p>
    <w:p>
      <w:pPr>
        <w:spacing w:before="0" w:after="0"/>
      </w:pPr>
    </w:p>
    <w:p>
      <w:pPr>
        <w:spacing w:before="0" w:after="60" w:line="360" w:lineRule="auto"/>
      </w:pPr>
      <w:r>
        <w:rPr>
          <w:sz w:val="20"/>
          <w:szCs w:val="20"/>
        </w:rPr>
        <w:t xml:space="preserve">[23] Hastings, A. (1997). Population Biology: Concepts and Models. Springer-Verlag, New York.</w:t>
      </w:r>
    </w:p>
    <w:p>
      <w:pPr>
        <w:spacing w:before="0" w:after="0"/>
      </w:pPr>
    </w:p>
    <w:p>
      <w:pPr>
        <w:spacing w:before="0" w:after="60" w:line="360" w:lineRule="auto"/>
      </w:pPr>
      <w:r>
        <w:rPr>
          <w:sz w:val="20"/>
          <w:szCs w:val="20"/>
        </w:rPr>
        <w:t xml:space="preserve">[24] Hethcote, H.W. (2000). The mathematics of infectious diseases. SIAM Review, 42(4), 599-653.</w:t>
      </w:r>
    </w:p>
    <w:p>
      <w:pPr>
        <w:spacing w:before="0" w:after="0"/>
      </w:pPr>
    </w:p>
    <w:p>
      <w:pPr>
        <w:spacing w:before="0" w:after="60" w:line="360" w:lineRule="auto"/>
      </w:pPr>
      <w:r>
        <w:rPr>
          <w:sz w:val="20"/>
          <w:szCs w:val="20"/>
        </w:rPr>
        <w:t xml:space="preserve">[25] Diekmann, O. and Heesterbeek, J.A.P. (2000). Mathematical Epidemiology of Infectious Diseases: Model Building, Analysis and Interpretation. John Wiley &amp; Sons, Chichester.</w:t>
      </w:r>
    </w:p>
    <w:p>
      <w:pPr>
        <w:spacing w:before="0" w:after="0"/>
      </w:pPr>
    </w:p>
    <w:p>
      <w:pPr>
        <w:spacing w:before="0" w:after="60" w:line="360" w:lineRule="auto"/>
      </w:pPr>
      <w:r>
        <w:rPr>
          <w:sz w:val="20"/>
          <w:szCs w:val="20"/>
        </w:rPr>
        <w:t xml:space="preserve">[26] Cornish-Bowden, A. (2012). Fundamentals of Enzyme Kinetics. 4th ed. Wiley-Blackwell, Weinheim.</w:t>
      </w:r>
    </w:p>
    <w:p>
      <w:pPr>
        <w:spacing w:before="0" w:after="0"/>
      </w:pPr>
    </w:p>
    <w:p>
      <w:pPr>
        <w:spacing w:before="0" w:after="60" w:line="360" w:lineRule="auto"/>
      </w:pPr>
      <w:r>
        <w:rPr>
          <w:sz w:val="20"/>
          <w:szCs w:val="20"/>
        </w:rPr>
        <w:t xml:space="preserve">[27] Alon, U. (2019). An Introduction to Systems Biology: Design Principles of Biological Circuits. 2nd ed. CRC Press, Boca Raton.</w:t>
      </w:r>
    </w:p>
    <w:p>
      <w:pPr>
        <w:spacing w:before="0" w:after="0"/>
      </w:pPr>
    </w:p>
    <w:p>
      <w:pPr>
        <w:spacing w:before="0" w:after="60" w:line="360" w:lineRule="auto"/>
      </w:pPr>
      <w:r>
        <w:rPr>
          <w:sz w:val="20"/>
          <w:szCs w:val="20"/>
        </w:rPr>
        <w:t xml:space="preserve">[28] Maini, P.K., Baker, R.E., and Chuong, C.M. (2006). The Turing model comes of molecular age. Science, 314(5804), 1397-1398.</w:t>
      </w:r>
    </w:p>
    <w:p>
      <w:pPr>
        <w:spacing w:before="0" w:after="0"/>
      </w:pPr>
    </w:p>
    <w:p>
      <w:pPr>
        <w:spacing w:before="0" w:after="60" w:line="360" w:lineRule="auto"/>
      </w:pPr>
      <w:r>
        <w:rPr>
          <w:sz w:val="20"/>
          <w:szCs w:val="20"/>
        </w:rPr>
        <w:t xml:space="preserve">[29] Izhikevich, E.M. (2007). Dynamical Systems in Neuroscience: The Geometry of Excitability and Bursting. MIT Press, Cambridge.</w:t>
      </w:r>
    </w:p>
    <w:p>
      <w:pPr>
        <w:spacing w:before="0" w:after="0"/>
      </w:pPr>
    </w:p>
    <w:p>
      <w:pPr>
        <w:spacing w:before="0" w:after="60" w:line="360" w:lineRule="auto"/>
      </w:pPr>
      <w:r>
        <w:rPr>
          <w:sz w:val="20"/>
          <w:szCs w:val="20"/>
        </w:rPr>
        <w:t xml:space="preserve">[30] Hirsch, M.W., Smale, S., and Devaney, R.L. (2013). Differential Equations, Dynamical Systems, and an Introduction to Chaos. 3rd ed. Academic Press, San Diego.</w:t>
      </w:r>
    </w:p>
    <w:p>
      <w:pPr>
        <w:spacing w:before="0" w:after="0"/>
      </w:pPr>
    </w:p>
    <w:p>
      <w:pPr>
        <w:spacing w:before="0" w:after="60" w:line="360" w:lineRule="auto"/>
      </w:pPr>
      <w:r>
        <w:rPr>
          <w:sz w:val="20"/>
          <w:szCs w:val="20"/>
        </w:rPr>
        <w:t xml:space="preserve">[31] Britton, N.F. (2003). Essential Mathematical Biology. Springer-Verlag, London.</w:t>
      </w:r>
    </w:p>
    <w:p>
      <w:pPr>
        <w:spacing w:before="0" w:after="0"/>
      </w:pPr>
    </w:p>
    <w:p>
      <w:pPr>
        <w:spacing w:before="0" w:after="60" w:line="360" w:lineRule="auto"/>
      </w:pPr>
      <w:r>
        <w:rPr>
          <w:sz w:val="20"/>
          <w:szCs w:val="20"/>
        </w:rPr>
        <w:t xml:space="preserve">[32] Palsson, B.O. (2015). Systems Biology: Constraint-Based Reconstruction and Analysis. 2nd ed. Cambridge University Press, Cambridge.</w:t>
      </w:r>
    </w:p>
    <w:p>
      <w:pPr>
        <w:spacing w:before="0" w:after="0"/>
      </w:pPr>
    </w:p>
    <w:p>
      <w:pPr>
        <w:spacing w:before="0" w:after="60" w:line="360" w:lineRule="auto"/>
      </w:pPr>
      <w:r>
        <w:rPr>
          <w:sz w:val="20"/>
          <w:szCs w:val="20"/>
        </w:rPr>
        <w:t xml:space="preserve">[33] Okubo, A. and Levin, S.A. (2001). Diffusion and Ecological Problems: Modern Perspectives. 2nd ed. Springer-Verlag, New York.</w:t>
      </w:r>
    </w:p>
    <w:p>
      <w:pPr>
        <w:spacing w:before="0" w:after="0"/>
      </w:pPr>
    </w:p>
    <w:p>
      <w:pPr>
        <w:spacing w:before="0" w:after="60" w:line="360" w:lineRule="auto"/>
      </w:pPr>
      <w:r>
        <w:rPr>
          <w:sz w:val="20"/>
          <w:szCs w:val="20"/>
        </w:rPr>
        <w:t xml:space="preserve">[34] Grindrod, P. (1996). The Theory and Applications of Reaction-Diffusion Equations: Patterns and Waves. 2nd ed. Clarendon Press, Oxford.</w:t>
      </w:r>
    </w:p>
    <w:p>
      <w:pPr>
        <w:spacing w:before="0" w:after="0"/>
      </w:pPr>
    </w:p>
    <w:p>
      <w:pPr>
        <w:spacing w:before="0" w:after="60" w:line="360" w:lineRule="auto"/>
      </w:pPr>
      <w:r>
        <w:rPr>
          <w:sz w:val="20"/>
          <w:szCs w:val="20"/>
        </w:rPr>
        <w:t xml:space="preserve">[35] Pullan, A.J., Buist, M.L., and Cheng, L.K. (2005). Mathematically Modelling the Electrical Activity of the Heart. World Scientific, Singapore.</w:t>
      </w:r>
    </w:p>
    <w:p>
      <w:pPr>
        <w:spacing w:before="0" w:after="0"/>
      </w:pPr>
    </w:p>
    <w:p>
      <w:pPr>
        <w:spacing w:before="0" w:after="60" w:line="360" w:lineRule="auto"/>
      </w:pPr>
      <w:r>
        <w:rPr>
          <w:sz w:val="20"/>
          <w:szCs w:val="20"/>
        </w:rPr>
        <w:t xml:space="preserve">[36] Keener, J. and Sneyd, J. (2009). Mathematical Physiology II: Systems Physiology. 2nd ed. Springer, New York.</w:t>
      </w:r>
    </w:p>
    <w:p>
      <w:pPr>
        <w:spacing w:before="0" w:after="0"/>
      </w:pPr>
    </w:p>
    <w:p>
      <w:pPr>
        <w:spacing w:before="0" w:after="60" w:line="360" w:lineRule="auto"/>
      </w:pPr>
      <w:r>
        <w:rPr>
          <w:sz w:val="20"/>
          <w:szCs w:val="20"/>
        </w:rPr>
        <w:t xml:space="preserve">[37] Verhulst, P.F. (1838). Notice sur la loi que la population suit dans son accroissement. Correspondance Mathématique et Physique, 10, 113-121.</w:t>
      </w:r>
    </w:p>
    <w:p>
      <w:pPr>
        <w:spacing w:before="0" w:after="0"/>
      </w:pPr>
    </w:p>
    <w:p>
      <w:pPr>
        <w:spacing w:before="0" w:after="60" w:line="360" w:lineRule="auto"/>
      </w:pPr>
      <w:r>
        <w:rPr>
          <w:sz w:val="20"/>
          <w:szCs w:val="20"/>
        </w:rPr>
        <w:t xml:space="preserve">[38] Ermentrout, B. (2002). Simulating, Analyzing, and Animating Dynamical Systems: A Guide to XPPAUT. SIAM, Philadelphia.</w:t>
      </w:r>
    </w:p>
    <w:p>
      <w:pPr>
        <w:spacing w:before="0" w:after="0"/>
      </w:pPr>
    </w:p>
    <w:p>
      <w:pPr>
        <w:spacing w:before="0" w:after="60" w:line="360" w:lineRule="auto"/>
      </w:pPr>
      <w:r>
        <w:rPr>
          <w:sz w:val="20"/>
          <w:szCs w:val="20"/>
        </w:rPr>
        <w:t xml:space="preserve">[39] Langtangen, H.P. and Pedersen, G.K. (2016). Scaling of Differential Equations. Springer Open, Cham.</w:t>
      </w:r>
    </w:p>
    <w:p>
      <w:pPr>
        <w:spacing w:before="0" w:after="0"/>
      </w:pPr>
    </w:p>
    <w:p>
      <w:pPr>
        <w:spacing w:before="0" w:after="60" w:line="360" w:lineRule="auto"/>
      </w:pPr>
      <w:r>
        <w:rPr>
          <w:sz w:val="20"/>
          <w:szCs w:val="20"/>
        </w:rPr>
        <w:t xml:space="preserve">[40] Shampine, L.F. and Reichelt, M.W. (1997). The MATLAB ODE suite. SIAM Journal on Scientific Computing, 18(1), 1-22.</w:t>
      </w:r>
    </w:p>
    <w:p>
      <w:pPr>
        <w:spacing w:before="0" w:after="0"/>
      </w:pPr>
    </w:p>
    <w:p>
      <w:pPr>
        <w:spacing w:before="0" w:after="60" w:line="360" w:lineRule="auto"/>
      </w:pPr>
      <w:r>
        <w:rPr>
          <w:sz w:val="20"/>
          <w:szCs w:val="20"/>
        </w:rPr>
        <w:t xml:space="preserve">[41] Loew, L.M. and Schaff, J.C. (2001). The Virtual Cell: A software environment for computational cell biology. Trends in Biotechnology, 19(10), 401-406.</w:t>
      </w:r>
    </w:p>
    <w:p>
      <w:pPr>
        <w:spacing w:before="0" w:after="0"/>
      </w:pPr>
    </w:p>
    <w:p>
      <w:pPr>
        <w:spacing w:before="0" w:after="60" w:line="360" w:lineRule="auto"/>
      </w:pPr>
      <w:r>
        <w:rPr>
          <w:sz w:val="20"/>
          <w:szCs w:val="20"/>
        </w:rPr>
        <w:t xml:space="preserve">[42] Raissi, M., Perdikaris, P., and Karniadakis, G.E. (2019). Physics-informed neural networks: A deep learning framework for solving forward and inverse problems involving nonlinear partial differential equations. Journal of Computational Physics, 378, 686-707.</w:t>
      </w:r>
    </w:p>
    <w:p>
      <w:pPr>
        <w:spacing w:before="0" w:after="0"/>
      </w:pPr>
    </w:p>
    <w:p>
      <w:pPr>
        <w:spacing w:before="0" w:after="60" w:line="360" w:lineRule="auto"/>
      </w:pPr>
      <w:r>
        <w:rPr>
          <w:sz w:val="20"/>
          <w:szCs w:val="20"/>
        </w:rPr>
        <w:t xml:space="preserve">[43] Michaelis, L. and Menten, M.L. (1913). Die Kinetik der Invertinwirkung. Biochemische Zeitschrift, 49, 333-369.</w:t>
      </w:r>
    </w:p>
    <w:p>
      <w:pPr>
        <w:spacing w:before="0" w:after="0"/>
      </w:pPr>
    </w:p>
    <w:p>
      <w:pPr>
        <w:spacing w:before="0" w:after="60" w:line="360" w:lineRule="auto"/>
      </w:pPr>
      <w:r>
        <w:rPr>
          <w:sz w:val="20"/>
          <w:szCs w:val="20"/>
        </w:rPr>
        <w:t xml:space="preserve">[44] Karr, J.R. et al. (2012). A whole-cell computational model predicts phenotype from genotype. Cell, 150(2), 389-401.</w:t>
      </w:r>
    </w:p>
    <w:p>
      <w:pPr>
        <w:spacing w:before="0" w:after="0"/>
      </w:pPr>
    </w:p>
    <w:p>
      <w:pPr>
        <w:spacing w:before="0" w:after="60" w:line="360" w:lineRule="auto"/>
      </w:pPr>
      <w:r>
        <w:rPr>
          <w:sz w:val="20"/>
          <w:szCs w:val="20"/>
        </w:rPr>
        <w:t xml:space="preserve">[45] Elowitz, M.B. and Leibler, S. (2000). A synthetic oscillatory network of transcriptional regulators. Nature, 403(6767), 335-338.</w:t>
      </w:r>
    </w:p>
    <w:p>
      <w:pPr>
        <w:spacing w:before="0" w:after="0"/>
      </w:pPr>
    </w:p>
    <w:p>
      <w:pPr>
        <w:spacing w:before="0" w:after="60" w:line="360" w:lineRule="auto"/>
      </w:pPr>
      <w:r>
        <w:rPr>
          <w:sz w:val="20"/>
          <w:szCs w:val="20"/>
        </w:rPr>
        <w:t xml:space="preserve">[46] Gillespie, D.T. (1977). Exact stochastic simulation of coupled chemical reactions. Journal of Physical Chemistry, 81(25), 2340-2361.</w:t>
      </w:r>
    </w:p>
    <w:p>
      <w:pPr>
        <w:spacing w:before="0" w:after="0"/>
      </w:pPr>
    </w:p>
    <w:p>
      <w:pPr>
        <w:spacing w:before="0" w:after="60" w:line="360" w:lineRule="auto"/>
      </w:pPr>
      <w:r>
        <w:rPr>
          <w:sz w:val="20"/>
          <w:szCs w:val="20"/>
        </w:rPr>
        <w:t xml:space="preserve">[47] Gillespie, D.T. (2007). Stochastic simulation of chemical kinetics. Annual Review of Physical Chemistry, 58, 35-55.</w:t>
      </w:r>
    </w:p>
    <w:p>
      <w:pPr>
        <w:spacing w:before="0" w:after="0"/>
      </w:pPr>
    </w:p>
    <w:p>
      <w:pPr>
        <w:spacing w:before="0" w:after="60" w:line="360" w:lineRule="auto"/>
      </w:pPr>
      <w:r>
        <w:rPr>
          <w:sz w:val="20"/>
          <w:szCs w:val="20"/>
        </w:rPr>
        <w:t xml:space="preserve">[48] Green, J.B.A. and Sharpe, J. (2015). Positional information and reaction-diffusion: Two big ideas in developmental biology combine. Development, 142(7), 1203-1211.</w:t>
      </w:r>
    </w:p>
    <w:p>
      <w:pPr>
        <w:spacing w:before="0" w:after="0"/>
      </w:pPr>
    </w:p>
    <w:p>
      <w:pPr>
        <w:spacing w:before="0" w:after="60" w:line="360" w:lineRule="auto"/>
      </w:pPr>
      <w:r>
        <w:rPr>
          <w:sz w:val="20"/>
          <w:szCs w:val="20"/>
        </w:rPr>
        <w:t xml:space="preserve">[49] Segel, L.A. and Slemrod, M. (1989). The quasi-steady-state assumption: A case study in perturbation. SIAM Review, 31(3), 446-477.</w:t>
      </w:r>
    </w:p>
    <w:p>
      <w:pPr>
        <w:spacing w:before="0" w:after="0"/>
      </w:pPr>
    </w:p>
    <w:p>
      <w:pPr>
        <w:spacing w:before="0" w:after="60" w:line="360" w:lineRule="auto"/>
      </w:pPr>
      <w:r>
        <w:rPr>
          <w:sz w:val="20"/>
          <w:szCs w:val="20"/>
        </w:rPr>
        <w:t xml:space="preserve">[50] Ashyraliyev, M. et al. (2009). Systems biology: Parameter estimation for biochemical models. FEBS Journal, 276(4), 886-902.</w:t>
      </w:r>
    </w:p>
    <w:p>
      <w:pPr>
        <w:spacing w:before="0" w:after="0"/>
      </w:pPr>
    </w:p>
    <w:p>
      <w:pPr>
        <w:spacing w:before="0" w:after="60" w:line="360" w:lineRule="auto"/>
      </w:pPr>
      <w:r>
        <w:rPr>
          <w:sz w:val="20"/>
          <w:szCs w:val="20"/>
        </w:rPr>
        <w:t xml:space="preserve">[51] Chen, R.T.Q. et al. (2018). Neural ordinary differential equations. Advances in Neural Information Processing Systems, 31, 6571-6583.</w:t>
      </w:r>
    </w:p>
    <w:p>
      <w:pPr>
        <w:spacing w:before="0" w:after="0"/>
      </w:pPr>
    </w:p>
    <w:p>
      <w:pPr>
        <w:spacing w:before="0" w:after="60" w:line="360" w:lineRule="auto"/>
      </w:pPr>
      <w:r>
        <w:rPr>
          <w:sz w:val="20"/>
          <w:szCs w:val="20"/>
        </w:rPr>
        <w:t xml:space="preserve">[52] Saltelli, A. et al. (2008). Global Sensitivity Analysis: The Primer. John Wiley &amp; Sons, Chichester.</w:t>
      </w:r>
    </w:p>
    <w:p>
      <w:pPr>
        <w:spacing w:before="0" w:after="0"/>
      </w:pPr>
    </w:p>
    <w:p>
      <w:pPr>
        <w:spacing w:before="0" w:after="60" w:line="360" w:lineRule="auto"/>
      </w:pPr>
      <w:r>
        <w:rPr>
          <w:sz w:val="20"/>
          <w:szCs w:val="20"/>
        </w:rPr>
        <w:t xml:space="preserve">[53] Gelman, A. et al. (2013). Bayesian Data Analysis. 3rd ed. CRC Press, Boca Raton.</w:t>
      </w:r>
    </w:p>
    <w:p>
      <w:pPr>
        <w:spacing w:before="0" w:after="0"/>
      </w:pPr>
    </w:p>
    <w:p>
      <w:pPr>
        <w:spacing w:before="0" w:after="60" w:line="360" w:lineRule="auto"/>
      </w:pPr>
      <w:r>
        <w:rPr>
          <w:sz w:val="20"/>
          <w:szCs w:val="20"/>
        </w:rPr>
        <w:t xml:space="preserve">[54] Raue, A. et al. (2009). Structural and practical identifiability analysis of partially observed dynamical models by exploiting the profile likelihood. Bioinformatics, 25(15), 1923-1929.</w:t>
      </w:r>
    </w:p>
    <w:p>
      <w:pPr>
        <w:spacing w:before="0" w:after="0"/>
      </w:pPr>
    </w:p>
    <w:p>
      <w:pPr>
        <w:spacing w:before="0" w:after="60" w:line="360" w:lineRule="auto"/>
      </w:pPr>
      <w:r>
        <w:rPr>
          <w:sz w:val="20"/>
          <w:szCs w:val="20"/>
        </w:rPr>
        <w:t xml:space="preserve">[55] Kirk, P. et al. (2013). Model selection in systems and synthetic biology. Current Opinion in Biotechnology, 24(4), 767-774.</w:t>
      </w:r>
    </w:p>
    <w:p>
      <w:pPr>
        <w:spacing w:before="0" w:after="0"/>
      </w:pPr>
    </w:p>
    <w:p>
      <w:pPr>
        <w:spacing w:before="0" w:after="60" w:line="360" w:lineRule="auto"/>
      </w:pPr>
      <w:r>
        <w:rPr>
          <w:sz w:val="20"/>
          <w:szCs w:val="20"/>
        </w:rPr>
        <w:t xml:space="preserve">[56] Baker, R.E. et al. (2018). Mechanistic models versus machine learning, a fight worth fighting for the biological community? Biology Letters, 14(5), 20170660.</w:t>
      </w:r>
    </w:p>
    <w:p>
      <w:pPr>
        <w:spacing w:before="0" w:after="0"/>
      </w:pPr>
    </w:p>
    <w:p>
      <w:pPr>
        <w:spacing w:before="0" w:after="60" w:line="360" w:lineRule="auto"/>
      </w:pPr>
      <w:r>
        <w:rPr>
          <w:sz w:val="20"/>
          <w:szCs w:val="20"/>
        </w:rPr>
        <w:t xml:space="preserve">[57] Corral-Acero, J. et al. (2020). The 'Digital Twin' to enable the vision of precision cardiology. European Heart Journal, 41(48), 4556-4564.</w:t>
      </w:r>
    </w:p>
    <w:p>
      <w:pPr>
        <w:spacing w:before="0" w:after="0"/>
      </w:pPr>
    </w:p>
    <w:p>
      <w:pPr>
        <w:spacing w:before="0" w:after="60" w:line="360" w:lineRule="auto"/>
      </w:pPr>
      <w:r>
        <w:rPr>
          <w:sz w:val="20"/>
          <w:szCs w:val="20"/>
        </w:rPr>
        <w:t xml:space="preserve">[58] Perko, L. (2001). Differential Equations and Dynamical Systems. 3rd ed. Springer-Verlag, New York.</w:t>
      </w:r>
    </w:p>
    <w:p>
      <w:pPr>
        <w:spacing w:before="0" w:after="0"/>
      </w:pPr>
    </w:p>
    <w:p>
      <w:pPr>
        <w:spacing w:before="0" w:after="60" w:line="360" w:lineRule="auto"/>
      </w:pPr>
      <w:r>
        <w:rPr>
          <w:sz w:val="20"/>
          <w:szCs w:val="20"/>
        </w:rPr>
        <w:t xml:space="preserve">[59] Guckenheimer, J. and Holmes, P. (1983). Nonlinear Oscillations, Dynamical Systems, and Bifurcations of Vector Fields. Springer-Verlag, New York.</w:t>
      </w:r>
    </w:p>
    <w:p>
      <w:pPr>
        <w:spacing w:before="0" w:after="0"/>
      </w:pPr>
    </w:p>
    <w:p>
      <w:pPr>
        <w:spacing w:before="0" w:after="60" w:line="360" w:lineRule="auto"/>
      </w:pPr>
      <w:r>
        <w:rPr>
          <w:sz w:val="20"/>
          <w:szCs w:val="20"/>
        </w:rPr>
        <w:t xml:space="preserve">[60] Kaplan, D. and Glass, L. (1995). Understanding Nonlinear Dynamics. Springer-Verlag, New York.</w:t>
      </w:r>
    </w:p>
    <w:p>
      <w:pPr>
        <w:spacing w:before="0" w:after="0"/>
      </w:pPr>
    </w:p>
    <w:p>
      <w:pPr>
        <w:spacing w:before="0" w:after="60" w:line="360" w:lineRule="auto"/>
      </w:pPr>
      <w:r>
        <w:rPr>
          <w:sz w:val="20"/>
          <w:szCs w:val="20"/>
        </w:rPr>
        <w:t xml:space="preserve">[61] Wolpert, L. (1969). Positional information and the spatial pattern of cellular differentiation. Journal of Theoretical Biology, 25(1), 1-47.</w:t>
      </w:r>
    </w:p>
    <w:p>
      <w:pPr>
        <w:spacing w:before="0" w:after="0"/>
      </w:pPr>
    </w:p>
    <w:p>
      <w:pPr>
        <w:spacing w:before="0" w:after="60" w:line="360" w:lineRule="auto"/>
      </w:pPr>
      <w:r>
        <w:rPr>
          <w:sz w:val="20"/>
          <w:szCs w:val="20"/>
        </w:rPr>
        <w:t xml:space="preserve">[62] Pikovsky, A., Rosenblum, M., and Kurths, J. (2001). Synchronization: A Universal Concept in Nonlinear Sciences. Cambridge University Press, Cambridge.</w:t>
      </w:r>
    </w:p>
    <w:p>
      <w:pPr>
        <w:spacing w:before="0" w:after="0"/>
      </w:pPr>
    </w:p>
    <w:p>
      <w:pPr>
        <w:spacing w:before="0" w:after="60" w:line="360" w:lineRule="auto"/>
      </w:pPr>
      <w:r>
        <w:rPr>
          <w:sz w:val="20"/>
          <w:szCs w:val="20"/>
        </w:rPr>
        <w:t xml:space="preserve">[63] Scheffer, M. et al. (2001). Catastrophic shifts in ecosystems. Nature, 413(6856), 591-596.</w:t>
      </w:r>
    </w:p>
    <w:p>
      <w:pPr>
        <w:spacing w:before="0" w:after="0"/>
      </w:pPr>
    </w:p>
    <w:p>
      <w:pPr>
        <w:spacing w:before="0" w:after="60" w:line="360" w:lineRule="auto"/>
      </w:pPr>
      <w:r>
        <w:rPr>
          <w:sz w:val="20"/>
          <w:szCs w:val="20"/>
        </w:rPr>
        <w:t xml:space="preserve">[64] Ferrell, J.E. and Xiong, W. (2001). Bistability in cell signaling: How to make continuous processes discontinuous, and reversible processes irreversible. Chaos, 11(1), 227-236.</w:t>
      </w:r>
    </w:p>
    <w:p>
      <w:pPr>
        <w:spacing w:before="0" w:after="0"/>
      </w:pPr>
    </w:p>
    <w:p>
      <w:pPr>
        <w:spacing w:before="0" w:after="60" w:line="360" w:lineRule="auto"/>
      </w:pPr>
      <w:r>
        <w:rPr>
          <w:sz w:val="20"/>
          <w:szCs w:val="20"/>
        </w:rPr>
        <w:t xml:space="preserve">[65] Elaydi, S.N. (2005). An Introduction to Difference Equations. 3rd ed. Springer-Verlag, New York.</w:t>
      </w:r>
    </w:p>
    <w:p>
      <w:pPr>
        <w:spacing w:before="0" w:after="0"/>
      </w:pPr>
    </w:p>
    <w:p>
      <w:pPr>
        <w:spacing w:before="0" w:after="60" w:line="360" w:lineRule="auto"/>
      </w:pPr>
      <w:r>
        <w:rPr>
          <w:sz w:val="20"/>
          <w:szCs w:val="20"/>
        </w:rPr>
        <w:t xml:space="preserve">[66] May, R.M. (1976). Simple mathematical models with very complicated dynamics. Nature, 261(5560), 459-467.</w:t>
      </w:r>
    </w:p>
    <w:p>
      <w:pPr>
        <w:spacing w:before="0" w:after="0"/>
      </w:pPr>
    </w:p>
    <w:p>
      <w:pPr>
        <w:spacing w:before="0" w:after="60" w:line="360" w:lineRule="auto"/>
      </w:pPr>
      <w:r>
        <w:rPr>
          <w:sz w:val="20"/>
          <w:szCs w:val="20"/>
        </w:rPr>
        <w:t xml:space="preserve">[67] Cannon, W.B. (1932). The Wisdom of the Body. W.W. Norton, New York.</w:t>
      </w:r>
    </w:p>
    <w:p>
      <w:pPr>
        <w:spacing w:before="0" w:after="0"/>
      </w:pPr>
    </w:p>
    <w:p>
      <w:pPr>
        <w:spacing w:before="0" w:after="60" w:line="360" w:lineRule="auto"/>
      </w:pPr>
      <w:r>
        <w:rPr>
          <w:sz w:val="20"/>
          <w:szCs w:val="20"/>
        </w:rPr>
        <w:t xml:space="preserve">[68] Scheffer, M. (2009). Critical Transitions in Nature and Society. Princeton University Press, Princeton.</w:t>
      </w:r>
    </w:p>
    <w:p>
      <w:pPr>
        <w:spacing w:before="0" w:after="0"/>
      </w:pPr>
    </w:p>
    <w:p>
      <w:pPr>
        <w:spacing w:before="0" w:after="60" w:line="360" w:lineRule="auto"/>
      </w:pPr>
      <w:r>
        <w:rPr>
          <w:sz w:val="20"/>
          <w:szCs w:val="20"/>
        </w:rPr>
        <w:t xml:space="preserve">[69] Kuznetsov, Y.A. (2004). Elements of Applied Bifurcation Theory. 3rd ed. Springer-Verlag, New York.</w:t>
      </w:r>
    </w:p>
    <w:p>
      <w:pPr>
        <w:spacing w:before="0" w:after="0"/>
      </w:pPr>
    </w:p>
    <w:p>
      <w:pPr>
        <w:spacing w:before="0" w:after="60" w:line="360" w:lineRule="auto"/>
      </w:pPr>
      <w:r>
        <w:rPr>
          <w:sz w:val="20"/>
          <w:szCs w:val="20"/>
        </w:rPr>
        <w:t xml:space="preserve">[70] May, R.M. (1973). Stability and Complexity in Model Ecosystems. Princeton University Press, Princeton.</w:t>
      </w:r>
    </w:p>
    <w:p>
      <w:pPr>
        <w:spacing w:before="0" w:after="0"/>
      </w:pPr>
    </w:p>
    <w:p>
      <w:pPr>
        <w:spacing w:before="0" w:after="60" w:line="360" w:lineRule="auto"/>
      </w:pPr>
      <w:r>
        <w:rPr>
          <w:sz w:val="20"/>
          <w:szCs w:val="20"/>
        </w:rPr>
        <w:t xml:space="preserve">[71] Wiggins, S. (2003). Introduction to Applied Nonlinear Dynamical Systems and Chaos. 2nd ed. Springer-Verlag, New York.</w:t>
      </w:r>
    </w:p>
    <w:p>
      <w:pPr>
        <w:spacing w:before="0" w:after="0"/>
      </w:pPr>
    </w:p>
    <w:p>
      <w:pPr>
        <w:spacing w:before="0" w:after="60" w:line="360" w:lineRule="auto"/>
      </w:pPr>
      <w:r>
        <w:rPr>
          <w:sz w:val="20"/>
          <w:szCs w:val="20"/>
        </w:rPr>
        <w:t xml:space="preserve">[72] Kermack, W.O. and McKendrick, A.G. (1927). A contribution to the mathematical theory of epidemics. Proceedings of the Royal Society A, 115(772), 700-721.</w:t>
      </w:r>
    </w:p>
    <w:p>
      <w:pPr>
        <w:spacing w:before="0" w:after="0"/>
      </w:pPr>
    </w:p>
    <w:p>
      <w:pPr>
        <w:spacing w:before="0" w:after="60" w:line="360" w:lineRule="auto"/>
      </w:pPr>
      <w:r>
        <w:rPr>
          <w:sz w:val="20"/>
          <w:szCs w:val="20"/>
        </w:rPr>
        <w:t xml:space="preserve">[73] Goldbeter, A. and Koshland, D.E. (1981). An amplified sensitivity arising from covalent modification in biological systems. Proceedings of the National Academy of Sciences, 78(11), 6840-6844.</w:t>
      </w:r>
    </w:p>
    <w:p>
      <w:pPr>
        <w:spacing w:before="0" w:after="0"/>
      </w:pPr>
    </w:p>
    <w:p>
      <w:pPr>
        <w:spacing w:before="0" w:after="60" w:line="360" w:lineRule="auto"/>
      </w:pPr>
      <w:r>
        <w:rPr>
          <w:sz w:val="20"/>
          <w:szCs w:val="20"/>
        </w:rPr>
        <w:t xml:space="preserve">[74] Goldbeter, A. (1996). Biochemical Oscillations and Cellular Rhythms. Cambridge University Press, Cambridge.</w:t>
      </w:r>
    </w:p>
    <w:p>
      <w:pPr>
        <w:spacing w:before="0" w:after="0"/>
      </w:pPr>
    </w:p>
    <w:p>
      <w:pPr>
        <w:spacing w:before="0" w:after="60" w:line="360" w:lineRule="auto"/>
      </w:pPr>
      <w:r>
        <w:rPr>
          <w:sz w:val="20"/>
          <w:szCs w:val="20"/>
        </w:rPr>
        <w:t xml:space="preserve">[75] Pourquié, O. (2003). The segmentation clock: Converting embryonic time into spatial pattern. Science, 301(5631), 328-330.</w:t>
      </w:r>
    </w:p>
    <w:p>
      <w:pPr>
        <w:spacing w:before="0" w:after="0"/>
      </w:pPr>
    </w:p>
    <w:p>
      <w:pPr>
        <w:spacing w:before="0" w:after="60" w:line="360" w:lineRule="auto"/>
      </w:pPr>
      <w:r>
        <w:rPr>
          <w:sz w:val="20"/>
          <w:szCs w:val="20"/>
        </w:rPr>
        <w:t xml:space="preserve">[76] Crawford, J.D. (1991). Introduction to bifurcation theory. Reviews of Modern Physics, 63(4), 991-1037.</w:t>
      </w:r>
    </w:p>
    <w:p>
      <w:pPr>
        <w:spacing w:before="0" w:after="0"/>
      </w:pPr>
    </w:p>
    <w:p>
      <w:pPr>
        <w:spacing w:before="0" w:after="60" w:line="360" w:lineRule="auto"/>
      </w:pPr>
      <w:r>
        <w:rPr>
          <w:sz w:val="20"/>
          <w:szCs w:val="20"/>
        </w:rPr>
        <w:t xml:space="preserve">[77] FitzHugh, R. (1961). Impulses and physiological states in theoretical models of nerve membrane. Biophysical Journal, 1(6), 445-466.</w:t>
      </w:r>
    </w:p>
    <w:p>
      <w:pPr>
        <w:spacing w:before="0" w:after="0"/>
      </w:pPr>
    </w:p>
    <w:p>
      <w:pPr>
        <w:spacing w:before="0" w:after="60" w:line="360" w:lineRule="auto"/>
      </w:pPr>
      <w:r>
        <w:rPr>
          <w:sz w:val="20"/>
          <w:szCs w:val="20"/>
        </w:rPr>
        <w:t xml:space="preserve">[78] Gleick, J. (1987). Chaos: Making a New Science. Viking Penguin, New York.</w:t>
      </w:r>
    </w:p>
    <w:p>
      <w:pPr>
        <w:spacing w:before="0" w:after="0"/>
      </w:pPr>
    </w:p>
    <w:p>
      <w:pPr>
        <w:spacing w:before="0" w:after="60" w:line="360" w:lineRule="auto"/>
      </w:pPr>
      <w:r>
        <w:rPr>
          <w:sz w:val="20"/>
          <w:szCs w:val="20"/>
        </w:rPr>
        <w:t xml:space="preserve">[79] Glass, L. (2001). Synchronization and rhythmic processes in physiology. Nature, 410(6825), 277-284.</w:t>
      </w:r>
    </w:p>
    <w:p>
      <w:pPr>
        <w:spacing w:before="0" w:after="0"/>
      </w:pPr>
    </w:p>
    <w:p>
      <w:pPr>
        <w:spacing w:before="0" w:after="60" w:line="360" w:lineRule="auto"/>
      </w:pPr>
      <w:r>
        <w:rPr>
          <w:sz w:val="20"/>
          <w:szCs w:val="20"/>
        </w:rPr>
        <w:t xml:space="preserve">[80] Brunton, S.L., Proctor, J.L., and Kutz, J.N. (2016). Discovering governing equations from data by sparse identification of nonlinear dynamical systems. Proceedings of the National Academy of Sciences, 113(15), 3932-3937.</w:t>
      </w:r>
    </w:p>
    <w:p>
      <w:pPr>
        <w:spacing w:before="0" w:after="0"/>
      </w:pPr>
    </w:p>
    <w:p>
      <w:pPr>
        <w:spacing w:before="0" w:after="60" w:line="360" w:lineRule="auto"/>
      </w:pPr>
      <w:r>
        <w:rPr>
          <w:sz w:val="20"/>
          <w:szCs w:val="20"/>
        </w:rPr>
        <w:t xml:space="preserve">[81] Staal, A. et al. (2020). Resilience of tropical tree cover: The roles of climate, fire, and herbivory. Global Change Biology, 26(5), 2952-2965.</w:t>
      </w:r>
    </w:p>
    <w:p>
      <w:pPr>
        <w:spacing w:before="0" w:after="0"/>
      </w:pPr>
    </w:p>
    <w:p>
      <w:pPr>
        <w:spacing w:before="0" w:after="60" w:line="360" w:lineRule="auto"/>
      </w:pPr>
      <w:r>
        <w:rPr>
          <w:sz w:val="20"/>
          <w:szCs w:val="20"/>
        </w:rPr>
        <w:t xml:space="preserve">[82] Kuang, Y. (1993). Delay Differential Equations with Applications in Population Dynamics. Academic Press, Boston.</w:t>
      </w:r>
    </w:p>
    <w:p>
      <w:pPr>
        <w:spacing w:before="0" w:after="0"/>
      </w:pPr>
    </w:p>
    <w:p>
      <w:pPr>
        <w:spacing w:before="0" w:after="60" w:line="360" w:lineRule="auto"/>
      </w:pPr>
      <w:r>
        <w:rPr>
          <w:sz w:val="20"/>
          <w:szCs w:val="20"/>
        </w:rPr>
        <w:t xml:space="preserve">[83] Courchamp, F., Berec, L., and Gascoigne, J. (2008). Allee Effects in Ecology and Conservation. Oxford University Press, Oxford.</w:t>
      </w:r>
    </w:p>
    <w:p>
      <w:pPr>
        <w:spacing w:before="0" w:after="0"/>
      </w:pPr>
    </w:p>
    <w:p>
      <w:pPr>
        <w:spacing w:before="0" w:after="60" w:line="360" w:lineRule="auto"/>
      </w:pPr>
      <w:r>
        <w:rPr>
          <w:sz w:val="20"/>
          <w:szCs w:val="20"/>
        </w:rPr>
        <w:t xml:space="preserve">[84] Rosenzweig, M.L. and MacArthur, R.H. (1963). Graphical representation and stability conditions of predator-prey interactions. American Naturalist, 97(895), 209-223.</w:t>
      </w:r>
    </w:p>
    <w:p>
      <w:pPr>
        <w:spacing w:before="0" w:after="0"/>
      </w:pPr>
    </w:p>
    <w:p>
      <w:pPr>
        <w:spacing w:before="0" w:after="60" w:line="360" w:lineRule="auto"/>
      </w:pPr>
      <w:r>
        <w:rPr>
          <w:sz w:val="20"/>
          <w:szCs w:val="20"/>
        </w:rPr>
        <w:t xml:space="preserve">[85] Rosenzweig, M.L. (1971). Paradox of enrichment: Destabilization of exploitation ecosystems in ecological time. Science, 171(3969), 385-387.</w:t>
      </w:r>
    </w:p>
    <w:p>
      <w:pPr>
        <w:spacing w:before="0" w:after="0"/>
      </w:pPr>
    </w:p>
    <w:p>
      <w:pPr>
        <w:spacing w:before="0" w:after="60" w:line="360" w:lineRule="auto"/>
      </w:pPr>
      <w:r>
        <w:rPr>
          <w:sz w:val="20"/>
          <w:szCs w:val="20"/>
        </w:rPr>
        <w:t xml:space="preserve">[86] Hardin, G. (1960). The competitive exclusion principle. Science, 131(3409), 1292-1297.</w:t>
      </w:r>
    </w:p>
    <w:p>
      <w:pPr>
        <w:spacing w:before="0" w:after="0"/>
      </w:pPr>
    </w:p>
    <w:p>
      <w:pPr>
        <w:spacing w:before="0" w:after="60" w:line="360" w:lineRule="auto"/>
      </w:pPr>
      <w:r>
        <w:rPr>
          <w:sz w:val="20"/>
          <w:szCs w:val="20"/>
        </w:rPr>
        <w:t xml:space="preserve">[87] Chesson, P. (2000). Mechanisms of maintenance of species diversity. Annual Review of Ecology and Systematics, 31, 343-366.</w:t>
      </w:r>
    </w:p>
    <w:p>
      <w:pPr>
        <w:spacing w:before="0" w:after="0"/>
      </w:pPr>
    </w:p>
    <w:p>
      <w:pPr>
        <w:spacing w:before="0" w:after="60" w:line="360" w:lineRule="auto"/>
      </w:pPr>
      <w:r>
        <w:rPr>
          <w:sz w:val="20"/>
          <w:szCs w:val="20"/>
        </w:rPr>
        <w:t xml:space="preserve">[88] Tilman, D. (1982). Resource Competition and Community Structure. Princeton University Press, Princeton.</w:t>
      </w:r>
    </w:p>
    <w:p>
      <w:pPr>
        <w:spacing w:before="0" w:after="0"/>
      </w:pPr>
    </w:p>
    <w:p>
      <w:pPr>
        <w:spacing w:before="0" w:after="60" w:line="360" w:lineRule="auto"/>
      </w:pPr>
      <w:r>
        <w:rPr>
          <w:sz w:val="20"/>
          <w:szCs w:val="20"/>
        </w:rPr>
        <w:t xml:space="preserve">[89] Li, M.Y. and Muldowney, J.S. (1995). Global stability for the SEIR model in epidemiology. Mathematical Biosciences, 125(2), 155-164.</w:t>
      </w:r>
    </w:p>
    <w:p>
      <w:pPr>
        <w:spacing w:before="0" w:after="0"/>
      </w:pPr>
    </w:p>
    <w:p>
      <w:pPr>
        <w:spacing w:before="0" w:after="60" w:line="360" w:lineRule="auto"/>
      </w:pPr>
      <w:r>
        <w:rPr>
          <w:sz w:val="20"/>
          <w:szCs w:val="20"/>
        </w:rPr>
        <w:t xml:space="preserve">[90] Adam, D. (2020). Special report: The simulations driving the world's response to COVID-19. Nature, 580(7803), 316-318.</w:t>
      </w:r>
    </w:p>
    <w:p>
      <w:pPr>
        <w:spacing w:before="0" w:after="0"/>
      </w:pPr>
    </w:p>
    <w:p>
      <w:pPr>
        <w:spacing w:before="0" w:after="60" w:line="360" w:lineRule="auto"/>
      </w:pPr>
      <w:r>
        <w:rPr>
          <w:sz w:val="20"/>
          <w:szCs w:val="20"/>
        </w:rPr>
        <w:t xml:space="preserve">[91] Keeling, M.J. and Rohani, P. (2008). Modeling Infectious Diseases in Humans and Animals. Princeton University Press, Princeton.</w:t>
      </w:r>
    </w:p>
    <w:p>
      <w:pPr>
        <w:spacing w:before="0" w:after="0"/>
      </w:pPr>
    </w:p>
    <w:p>
      <w:pPr>
        <w:spacing w:before="0" w:after="60" w:line="360" w:lineRule="auto"/>
      </w:pPr>
      <w:r>
        <w:rPr>
          <w:sz w:val="20"/>
          <w:szCs w:val="20"/>
        </w:rPr>
        <w:t xml:space="preserve">[92] Diekmann, O., Heesterbeek, J.A.P., and Metz, J.A.J. (1990). On the definition and the computation of the basic reproduction ratio R₀ in models for infectious diseases in heterogeneous populations. Journal of Mathematical Biology, 28(4), 365-382.</w:t>
      </w:r>
    </w:p>
    <w:p>
      <w:pPr>
        <w:spacing w:before="0" w:after="0"/>
      </w:pPr>
    </w:p>
    <w:p>
      <w:pPr>
        <w:spacing w:before="0" w:after="60" w:line="360" w:lineRule="auto"/>
      </w:pPr>
      <w:r>
        <w:rPr>
          <w:sz w:val="20"/>
          <w:szCs w:val="20"/>
        </w:rPr>
        <w:t xml:space="preserve">[93] Mossong, J. et al. (2008). Social contacts and mixing patterns relevant to the spread of infectious diseases. PLoS Medicine, 5(3), e74.</w:t>
      </w:r>
    </w:p>
    <w:p>
      <w:pPr>
        <w:spacing w:before="0" w:after="0"/>
      </w:pPr>
    </w:p>
    <w:sectPr>
      <w:pgSz w:w="12240" w:h="15840"/>
      <w:pgMar w:top="1440" w:right="1440" w:bottom="1440" w:left="1440" w:header="720" w:footer="720"/>
      <w:cols w:space="720"/>
    </w:sectPr>
  </w:body>
</w:document>
</file>

<file path=word/numbering.xml><?xml version="1.0" encoding="utf-8"?>
<w:numbering xmlns:w="http://schemas.openxmlformats.org/wordprocessingml/2006/main">
</w:numbering>
</file>

<file path=word/styles.xml><?xml version="1.0" encoding="utf-8"?>
<w:styles xmlns:w="http://schemas.openxmlformats.org/wordprocessingml/2006/main">
  <w:docDefaults>
    <w:rPrDefault>
      <w:rPr>
        <w:rFonts w:ascii="Times New Roman" w:hAnsi="Times New Roman" w:cs="Times New Roman"/>
        <w:sz w:val="24"/>
        <w:szCs w:val="24"/>
      </w:rPr>
    </w:rPrDefault>
  </w:docDefaults>
  <w:style w:type="paragraph" w:default="1" w:styleId="Normal">
    <w:name w:val="Normal"/>
    <w:pPr>
      <w:spacing w:after="120" w:line="360" w:lineRule="auto"/>
      <w:jc w:val="both"/>
    </w:pPr>
    <w:rPr>
      <w:sz w:val="24"/>
      <w:szCs w:val="24"/>
      <w:rFonts w:ascii="Times New Roman" w:hAnsi="Times New Roman" w:cs="Times New Roman"/>
    </w:rPr>
  </w:style>
  <w:style w:type="paragraph" w:styleId="Title">
    <w:name w:val="Title"/>
    <w:basedOn w:val="Normal"/>
    <w:pPr>
      <w:spacing w:before="240" w:after="240"/>
      <w:jc w:val="center"/>
    </w:pPr>
    <w:rPr>
      <w:b/>
      <w:bCs/>
      <w:sz w:val="32"/>
      <w:szCs w:val="32"/>
      <w:rFonts w:ascii="Times New Roman" w:hAnsi="Times New Roman"/>
    </w:rPr>
  </w:style>
  <w:style w:type="paragraph" w:styleId="Heading1">
    <w:name w:val="heading 1"/>
    <w:basedOn w:val="Normal"/>
    <w:pPr>
      <w:spacing w:before="360" w:after="120"/>
      <w:keepNext/>
    </w:pPr>
    <w:rPr>
      <w:b/>
      <w:bCs/>
      <w:sz w:val="28"/>
      <w:szCs w:val="28"/>
      <w:rFonts w:ascii="Times New Roman" w:hAnsi="Times New Roman"/>
    </w:rPr>
  </w:style>
  <w:style w:type="paragraph" w:styleId="Heading2">
    <w:name w:val="heading 2"/>
    <w:basedOn w:val="Normal"/>
    <w:pPr>
      <w:spacing w:before="240" w:after="120"/>
      <w:keepNext/>
    </w:pPr>
    <w:rPr>
      <w:b/>
      <w:bCs/>
      <w:sz w:val="24"/>
      <w:szCs w:val="24"/>
      <w:rFonts w:ascii="Times New Roman" w:hAnsi="Times New Roman"/>
    </w:rPr>
  </w:style>
  <w:style w:type="paragraph" w:styleId="Heading3">
    <w:name w:val="heading 3"/>
    <w:basedOn w:val="Normal"/>
    <w:pPr>
      <w:spacing w:before="180" w:after="60"/>
      <w:keepNext/>
    </w:pPr>
    <w:rPr>
      <w:b/>
      <w:bCs/>
      <w:i/>
      <w:iCs/>
      <w:sz w:val="24"/>
      <w:szCs w:val="24"/>
      <w:rFonts w:ascii="Times New Roman" w:hAnsi="Times New Roman"/>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