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16. Wearable, Implantable, and Intelligent Therapeutic Systems</w:t>
      </w:r>
    </w:p>
    <w:p>
      <w:pPr>
        <w:pStyle w:val="Heading1"/>
      </w:pPr>
      <w:r>
        <w:t xml:space="preserve">Abstract</w:t>
      </w:r>
    </w:p>
    <w:p>
      <w:pPr>
        <w:pStyle w:val="Abstract"/>
      </w:pPr>
      <w:r>
        <w:t xml:space="preserve">The convergence of miniaturized electronics, flexible materials, low-power wireless communication, and artificial intelligence has transformed the way physiological information is captured, interpreted, and acted upon. Wearable sensors now permit unobtrusive, continuous acquisition of vital signs and biochemical markers outside the clinic, while implantable microsystems extend sensing and therapeutic capabilities into deep tissue where non-invasive access is impossible. When these sensing platforms are coupled with adaptive algorithms and controllable actuators such as micropumps, electrical stimulators, and responsive drug reservoirs, they form closed-loop therapeutic systems capable of autonomously titrating treatment in response to a patient's changing state. This chapter surveys the scientific and engineering foundations of these three interlocking domains. It begins with wearable sensors and continuous health monitoring, examining transduction principles, flexible and stretchable materials, power and communication constraints, and the machine-learning pipelines that convert noisy streams into clinically meaningful inference. It then considers implantable sensors and smart drug-delivery devices, addressing biocompatibility, chronic stability, wireless powering, and micro- and nano-scale actuation strategies. Finally, it develops the concept of closed-loop, artificial-intelligence-based therapeutic systems, drawing on landmark examples such as the artificial pancreas and responsive neurostimulation, and analyzing control architectures, safety assurance, and regulatory considerations. Throughout, the chapter emphasizes the interplay between hardware constraints and algorithmic design, the importance of robustness and interpretability in safety-critical settings, and the emerging role of edge intelligence in bringing decision-making close to the body. The chapter closes with a discussion of open challenges spanning energy autonomy, data governance, personalization, and equitable access, and it outlines a research agenda for the next generation of intelligent therapeutic systems.</w:t>
      </w:r>
    </w:p>
    <w:p>
      <w:pPr>
        <w:pStyle w:val="Heading1"/>
      </w:pPr>
      <w:r>
        <w:t xml:space="preserve">16.1 Wearable Sensors and Continuous Health Monitoring</w:t>
      </w:r>
    </w:p>
    <w:p>
      <w:pPr>
        <w:pStyle w:val="Heading2"/>
      </w:pPr>
      <w:r>
        <w:t xml:space="preserve">16.1.1 From Episodic Measurement to Continuous Monitoring</w:t>
      </w:r>
    </w:p>
    <w:p>
      <w:pPr>
        <w:pStyle w:val="Normal"/>
      </w:pPr>
      <w:r>
        <w:t xml:space="preserve">Conventional clinical assessment has historically relied on episodic, snapshot measurements taken during scheduled encounters. Such measurements capture only isolated moments and frequently miss the transient events, circadian variation, and gradual trends that carry substantial diagnostic and prognostic value [1]. Continuous health monitoring reframes measurement as an ongoing process, generating dense time-series that reveal dynamics invisible to spot checks. The clinical motivation is compelling: many adverse events, including arrhythmias, hypoglycemic episodes, and respiratory deterioration, are preceded by measurable physiological changes that unfold over minutes to hours [2]. By observing these signals continuously, wearable systems create the opportunity for early warning and pre-emptive intervention rather than reactive treatment.</w:t>
      </w:r>
    </w:p>
    <w:p>
      <w:pPr>
        <w:pStyle w:val="Normal"/>
      </w:pPr>
      <w:r>
        <w:t xml:space="preserve">The economic and demographic pressures on modern healthcare reinforce this technical opportunity. Aging populations, the rising prevalence of chronic disease, and constrained clinical workforces are straining systems built around infrequent, facility-based encounters. Continuous remote monitoring offers a means to extend clinical reach beyond hospital walls, enabling care to shift from expensive acute settings into the home and to be delivered proactively rather than in response to crisis. In this vision, the wearable becomes the sensory front end of a distributed care system, continuously observing the patient while clinical attention is reserved for those who most need it. Realizing that vision, however, depends not only on accurate sensors but on the analytics that transform raw signals into trustworthy, actionable insight, which is why data processing and machine learning occupy so central a place in the discussion that follows [1].</w:t>
      </w:r>
    </w:p>
    <w:p>
      <w:pPr>
        <w:pStyle w:val="Normal"/>
      </w:pPr>
      <w:r>
        <w:t xml:space="preserve">The shift toward continuous monitoring has been enabled by simultaneous advances in microelectromechanical systems, low-power microcontrollers, energy-dense batteries, and ubiquitous wireless connectivity [3]. A modern wrist-worn device integrates accelerometers, optical photoplethysmography, temperature sensors, and sometimes electrodermal or electrocardiographic sensing within a package weighing only tens of grams. These devices operate for days on a single charge and stream data to a smartphone that acts as a gateway to cloud analytics. The result is an unprecedented density of longitudinal physiological data collected in naturalistic settings, outside the artificial context of the clinic [4].</w:t>
      </w:r>
    </w:p>
    <w:p>
      <w:pPr>
        <w:pStyle w:val="Normal"/>
      </w:pPr>
      <w:r>
        <w:t xml:space="preserve">This transition carries implications that extend well beyond convenience. Continuous data enable the construction of a personalized physiological baseline for each individual, against which subtle deviations can be detected long before they would cross a population-derived diagnostic threshold. Because a person serves as their own control, the statistical power to detect meaningful change increases dramatically, and the ambiguity introduced by inter-individual variability is reduced. Longitudinal monitoring also captures the temporal context surrounding an event, so that an abnormal reading can be interpreted in light of recent activity, sleep, stress, and medication rather than in isolation. Together these properties reposition monitoring from a diagnostic afterthought to a proactive instrument of preventive medicine, capable of surfacing the earliest signatures of disease and of quantifying the response to therapy in real time [2].</w:t>
      </w:r>
    </w:p>
    <w:p>
      <w:pPr>
        <w:pStyle w:val="Heading2"/>
      </w:pPr>
      <w:r>
        <w:t xml:space="preserve">16.1.2 Transduction Principles</w:t>
      </w:r>
    </w:p>
    <w:p>
      <w:pPr>
        <w:pStyle w:val="Normal"/>
      </w:pPr>
      <w:r>
        <w:t xml:space="preserve">At the heart of every wearable sensor lies a transduction mechanism that converts a physiological quantity into an electrical signal. Optical methods, particularly photoplethysmography, illuminate the skin and measure the modulation of reflected or transmitted light caused by pulsatile blood volume changes [5]. From the raw waveform, algorithms derive heart rate, heart-rate variability, respiration rate, and estimates of arterial oxygen saturation. Electrical methods, including electrocardiography and electromyography, record bioelectric potentials through skin-contacting electrodes and provide high-fidelity information about cardiac and muscular activity [6]. Mechanical transducers based on piezoelectric, capacitive, or resistive principles capture motion, pressure, and strain, supporting activity recognition, gait analysis, and blood-pressure estimation.</w:t>
      </w:r>
    </w:p>
    <w:p>
      <w:pPr>
        <w:pStyle w:val="Normal"/>
      </w:pPr>
      <w:r>
        <w:t xml:space="preserve">A particularly active frontier is biochemical sensing, in which electrochemical or colorimetric transducers detect molecular analytes in accessible biofluids such as sweat, interstitial fluid, tears, and saliva [7]. Enzymatic electrodes measuring glucose, lactate, and electrolytes have matured substantially, and epidermal patches now perform multiplexed analysis of sweat composition during exercise. Table 16.1 summarizes the principal transduction modalities together with representative measurands and characteristic limitations. These biochemical platforms promise to extend wearable monitoring beyond physical signals into the realm of metabolic and hormonal status, though challenges of calibration, biofouling, and analyte correlation with blood concentrations remain significant [8].</w:t>
      </w:r>
    </w:p>
    <w:p>
      <w:pPr>
        <w:pStyle w:val="Normal"/>
      </w:pPr>
      <w:r>
        <w:t xml:space="preserve">The choice of transduction modality is rarely made in isolation, because each principle imposes its own demands on power, mechanical design, and signal conditioning. Optical sensing, for instance, is comparatively robust to electrical interference but is highly sensitive to motion and to variations in skin tone and perfusion, which can bias oxygen-saturation and heart-rate estimates if left uncorrected [5]. Electrical sensing offers exquisite temporal fidelity but depends critically on the quality of the skin-electrode interface, whose impedance drifts as the skin dries, moves, or sweats [6]. Biochemical sensing must additionally contend with the fact that analyte concentrations in accessible fluids such as sweat and interstitial fluid do not track blood concentrations instantaneously, introducing physiological lag and requiring careful calibration models to render measurements clinically actionable [7]. Multimodal integration, in which several complementary transducers are combined within a single platform, is therefore the prevailing design philosophy: redundant and orthogonal measurements allow one channel to compensate for the weaknesses of another, and their fusion yields inferences more reliable than any single stream could provide [4]. As the modalities listed in Table 16.1 make clear, no single transduction principle is free of limitations, which is precisely why complementary combinations are so valuable.</w:t>
      </w:r>
    </w:p>
    <w:p>
      <w:pPr>
        <w:pStyle w:val="TableCaption"/>
      </w:pPr>
      <w:r>
        <w:t xml:space="preserve">Table 16.1. Principal transduction modalities in wearable sensing, with representative measurands and limitations.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Modality</w:t>
            </w:r>
          </w:p>
        </w:tc>
        <w:tc>
          <w:tcPr>
            <w:shd w:val="clear" w:color="auto" w:fill="D9E2F3"/>
          </w:tcPr>
          <w:p>
            <w:pPr>
              <w:jc w:val="center"/>
            </w:pPr>
            <w:r>
              <w:rPr>
                <w:b/>
              </w:rPr>
              <w:t xml:space="preserve">Principle</w:t>
            </w:r>
          </w:p>
        </w:tc>
        <w:tc>
          <w:tcPr>
            <w:shd w:val="clear" w:color="auto" w:fill="D9E2F3"/>
          </w:tcPr>
          <w:p>
            <w:pPr>
              <w:jc w:val="center"/>
            </w:pPr>
            <w:r>
              <w:rPr>
                <w:b/>
              </w:rPr>
              <w:t xml:space="preserve">Representative measurands</w:t>
            </w:r>
          </w:p>
        </w:tc>
        <w:tc>
          <w:tcPr>
            <w:shd w:val="clear" w:color="auto" w:fill="D9E2F3"/>
          </w:tcPr>
          <w:p>
            <w:pPr>
              <w:jc w:val="center"/>
            </w:pPr>
            <w:r>
              <w:rPr>
                <w:b/>
              </w:rPr>
              <w:t xml:space="preserve">Principal limitations</w:t>
            </w:r>
          </w:p>
        </w:tc>
      </w:tr>
      <w:tr>
        <w:tc>
          <w:p>
            <w:pPr>
              <w:spacing w:after="40"/>
            </w:pPr>
            <w:r>
              <w:t xml:space="preserve">Optical (PPG)</w:t>
            </w:r>
          </w:p>
        </w:tc>
        <w:tc>
          <w:p>
            <w:pPr>
              <w:spacing w:after="40"/>
            </w:pPr>
            <w:r>
              <w:t xml:space="preserve">Light modulation by blood volume</w:t>
            </w:r>
          </w:p>
        </w:tc>
        <w:tc>
          <w:p>
            <w:pPr>
              <w:spacing w:after="40"/>
            </w:pPr>
            <w:r>
              <w:t xml:space="preserve">Heart rate, SpO2, respiration</w:t>
            </w:r>
          </w:p>
        </w:tc>
        <w:tc>
          <w:p>
            <w:pPr>
              <w:spacing w:after="40"/>
            </w:pPr>
            <w:r>
              <w:t xml:space="preserve">Motion artifact, skin-tone bias</w:t>
            </w:r>
          </w:p>
        </w:tc>
      </w:tr>
      <w:tr>
        <w:tc>
          <w:p>
            <w:pPr>
              <w:spacing w:after="40"/>
            </w:pPr>
            <w:r>
              <w:t xml:space="preserve">Electrical (ECG/EMG)</w:t>
            </w:r>
          </w:p>
        </w:tc>
        <w:tc>
          <w:p>
            <w:pPr>
              <w:spacing w:after="40"/>
            </w:pPr>
            <w:r>
              <w:t xml:space="preserve">Bioelectric potentials via electrodes</w:t>
            </w:r>
          </w:p>
        </w:tc>
        <w:tc>
          <w:p>
            <w:pPr>
              <w:spacing w:after="40"/>
            </w:pPr>
            <w:r>
              <w:t xml:space="preserve">Cardiac rhythm, muscle activity</w:t>
            </w:r>
          </w:p>
        </w:tc>
        <w:tc>
          <w:p>
            <w:pPr>
              <w:spacing w:after="40"/>
            </w:pPr>
            <w:r>
              <w:t xml:space="preserve">Contact impedance, electrode drift</w:t>
            </w:r>
          </w:p>
        </w:tc>
      </w:tr>
      <w:tr>
        <w:tc>
          <w:p>
            <w:pPr>
              <w:spacing w:after="40"/>
            </w:pPr>
            <w:r>
              <w:t xml:space="preserve">Mechanical</w:t>
            </w:r>
          </w:p>
        </w:tc>
        <w:tc>
          <w:p>
            <w:pPr>
              <w:spacing w:after="40"/>
            </w:pPr>
            <w:r>
              <w:t xml:space="preserve">Piezo/capacitive/resistive strain</w:t>
            </w:r>
          </w:p>
        </w:tc>
        <w:tc>
          <w:p>
            <w:pPr>
              <w:spacing w:after="40"/>
            </w:pPr>
            <w:r>
              <w:t xml:space="preserve">Motion, pressure, gait</w:t>
            </w:r>
          </w:p>
        </w:tc>
        <w:tc>
          <w:p>
            <w:pPr>
              <w:spacing w:after="40"/>
            </w:pPr>
            <w:r>
              <w:t xml:space="preserve">Baseline drift, calibration</w:t>
            </w:r>
          </w:p>
        </w:tc>
      </w:tr>
      <w:tr>
        <w:tc>
          <w:p>
            <w:pPr>
              <w:spacing w:after="40"/>
            </w:pPr>
            <w:r>
              <w:t xml:space="preserve">Electrochemical</w:t>
            </w:r>
          </w:p>
        </w:tc>
        <w:tc>
          <w:p>
            <w:pPr>
              <w:spacing w:after="40"/>
            </w:pPr>
            <w:r>
              <w:t xml:space="preserve">Enzymatic/amperometric reactions</w:t>
            </w:r>
          </w:p>
        </w:tc>
        <w:tc>
          <w:p>
            <w:pPr>
              <w:spacing w:after="40"/>
            </w:pPr>
            <w:r>
              <w:t xml:space="preserve">Glucose, lactate, electrolytes</w:t>
            </w:r>
          </w:p>
        </w:tc>
        <w:tc>
          <w:p>
            <w:pPr>
              <w:spacing w:after="40"/>
            </w:pPr>
            <w:r>
              <w:t xml:space="preserve">Biofouling, analyte lag</w:t>
            </w:r>
          </w:p>
        </w:tc>
      </w:tr>
      <w:tr>
        <w:tc>
          <w:p>
            <w:pPr>
              <w:spacing w:after="40"/>
            </w:pPr>
            <w:r>
              <w:t xml:space="preserve">Thermal</w:t>
            </w:r>
          </w:p>
        </w:tc>
        <w:tc>
          <w:p>
            <w:pPr>
              <w:spacing w:after="40"/>
            </w:pPr>
            <w:r>
              <w:t xml:space="preserve">Temperature transduction</w:t>
            </w:r>
          </w:p>
        </w:tc>
        <w:tc>
          <w:p>
            <w:pPr>
              <w:spacing w:after="40"/>
            </w:pPr>
            <w:r>
              <w:t xml:space="preserve">Skin/core temperature</w:t>
            </w:r>
          </w:p>
        </w:tc>
        <w:tc>
          <w:p>
            <w:pPr>
              <w:spacing w:after="40"/>
            </w:pPr>
            <w:r>
              <w:t xml:space="preserve">Ambient interference</w:t>
            </w:r>
          </w:p>
        </w:tc>
      </w:tr>
    </w:tbl>
    <w:p>
      <w:pPr>
        <w:pStyle w:val="Heading2"/>
      </w:pPr>
      <w:r>
        <w:t xml:space="preserve">16.1.3 Flexible and Stretchable Materials</w:t>
      </w:r>
    </w:p>
    <w:p>
      <w:pPr>
        <w:pStyle w:val="Normal"/>
      </w:pPr>
      <w:r>
        <w:t xml:space="preserve">The mechanical mismatch between rigid electronics and soft biological tissue is a fundamental obstacle to comfortable, reliable, long-term wear. Human skin deforms elastically by tens of percent, whereas conventional silicon fractures at strains below one percent [9]. Bridging this gap has motivated an entire discipline of flexible and stretchable electronics. Strategies include patterning rigid islands connected by serpentine interconnects that accommodate stretch through geometry, embedding conductive fillers in elastomeric matrices, and synthesizing intrinsically stretchable conductors and semiconductors [10]. Materials such as polydimethylsiloxane, polyimide, and thermoplastic polyurethane provide compliant substrates, while silver nanowires, carbon nanotubes, graphene, and liquid-metal alloys serve as deformable conductors.</w:t>
      </w:r>
    </w:p>
    <w:p>
      <w:pPr>
        <w:pStyle w:val="Normal"/>
      </w:pPr>
      <w:r>
        <w:t xml:space="preserve">Epidermal electronic systems, sometimes described as electronic tattoos, laminate onto the skin with intimate conformal contact, reducing motion artifacts and improving signal quality relative to bulky rigid devices [11]. The conformal interface also lowers contact impedance for electrophysiological recording and improves optical coupling for photoplethysmography. Beyond passive substrates, researchers have developed stretchable batteries, antennas, and displays, moving toward fully integrated soft systems. Nonetheless, durability under repeated deformation, resistance to sweat and abrasion, and manufacturability at scale continue to constrain commercial translation [12].</w:t>
      </w:r>
    </w:p>
    <w:p>
      <w:pPr>
        <w:pStyle w:val="Normal"/>
      </w:pPr>
      <w:r>
        <w:t xml:space="preserve">The functional consequences of mechanical conformity are substantial. When a sensor moves relative to the tissue it measures, the resulting motion artifact can dominate the signal of interest, and in electrophysiological and optical recording this relative motion is one of the principal sources of error [16]. A conformal, low-modulus interface that follows the skin as it stretches and wrinkles suppresses such artifacts at their source, complementing the algorithmic artifact-rejection methods discussed later in this chapter. Soft microfluidic architectures represent a further step, routing sweat or other biofluids through channels embedded in a compliant substrate so that collection, sensing, and even colorimetric readout can occur on the body without rigid plumbing [14]. Achieving these capabilities while preserving breathability, hypoallergenicity, and long-term adhesion is a delicate balancing act, and the field increasingly recognizes that the mechanical and chemical properties of the body-device interface are as decisive for real-world performance as the electronic sophistication of the sensor itself [9].</w:t>
      </w:r>
    </w:p>
    <w:p>
      <w:pPr>
        <w:pStyle w:val="Heading2"/>
      </w:pPr>
      <w:r>
        <w:t xml:space="preserve">16.1.4 Power, Communication, and the Edge</w:t>
      </w:r>
    </w:p>
    <w:p>
      <w:pPr>
        <w:pStyle w:val="Normal"/>
      </w:pPr>
      <w:r>
        <w:t xml:space="preserve">Energy autonomy is a defining constraint for wearable systems. Continuous sensing, signal processing, and wireless transmission all draw power, and users demand devices that operate for extended periods without frequent recharging [13]. Designers address this through aggressive duty cycling, event-driven acquisition, and hardware accelerators optimized for low-energy inference. Energy harvesting, capturing power from body heat, motion, or ambient radiofrequency fields, offers a path toward battery-light or battery-free operation, although harvested power densities remain modest and intermittent [14].</w:t>
      </w:r>
    </w:p>
    <w:p>
      <w:pPr>
        <w:pStyle w:val="Normal"/>
      </w:pPr>
      <w:r>
        <w:t xml:space="preserve">Communication typically employs short-range protocols such as Bluetooth Low Energy to relay data to a smartphone gateway, which forwards it to cloud services. However, transmitting raw high-rate data is energy-expensive and raises privacy concerns [15]. This has driven a decisive shift toward edge computing, in which feature extraction and even full inference run on the wearable itself. Performing computation near the sensor reduces transmission volume, lowers latency for time-critical alerts, and keeps sensitive data local. Table 16.2 contrasts cloud, gateway, and on-device edge processing across latency, energy, privacy, and model-complexity dimensions, illustrating the trade-offs that shape system architecture [16].</w:t>
      </w:r>
    </w:p>
    <w:p>
      <w:pPr>
        <w:pStyle w:val="Normal"/>
      </w:pPr>
      <w:r>
        <w:t xml:space="preserve">The energy cost of wireless communication frequently dominates the overall power budget of a wearable, and the energy required to transmit a bit off-device can exceed by orders of magnitude the energy required to process it locally. This asymmetry provides a powerful incentive to compress information at its source, transmitting derived features, detected events, or model outputs rather than raw waveforms. Radio duty cycling, in which the transceiver is aggressively switched off between brief bursts of activity, and event-triggered transmission, in which the device communicates only when something clinically noteworthy occurs, further reduce energy consumption. The maturation of extremely efficient inference accelerators has made it feasible to run compact neural networks entirely within the constrained memory and power envelope of a wearable, a discipline often called tiny machine learning. By moving intelligence to the edge, designers simultaneously extend battery life, reduce dependence on continuous connectivity, lower latency for safety-critical alerts, and strengthen privacy by keeping identifiable physiological data on the device rather than transmitting it to remote servers [15]. The trade-offs summarized in Table 16.2 explain why no single processing paradigm dominates and why many practical systems distribute computation across device, gateway, and cloud tiers.</w:t>
      </w:r>
    </w:p>
    <w:p>
      <w:pPr>
        <w:pStyle w:val="TableCaption"/>
      </w:pPr>
      <w:r>
        <w:t xml:space="preserve">Table 16.2. Comparison of cloud, gateway, and on-device edge processing paradigms for wearable analytics.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Dimension</w:t>
            </w:r>
          </w:p>
        </w:tc>
        <w:tc>
          <w:tcPr>
            <w:shd w:val="clear" w:color="auto" w:fill="D9E2F3"/>
          </w:tcPr>
          <w:p>
            <w:pPr>
              <w:jc w:val="center"/>
            </w:pPr>
            <w:r>
              <w:rPr>
                <w:b/>
              </w:rPr>
              <w:t xml:space="preserve">Cloud</w:t>
            </w:r>
          </w:p>
        </w:tc>
        <w:tc>
          <w:tcPr>
            <w:shd w:val="clear" w:color="auto" w:fill="D9E2F3"/>
          </w:tcPr>
          <w:p>
            <w:pPr>
              <w:jc w:val="center"/>
            </w:pPr>
            <w:r>
              <w:rPr>
                <w:b/>
              </w:rPr>
              <w:t xml:space="preserve">Gateway (smartphone)</w:t>
            </w:r>
          </w:p>
        </w:tc>
        <w:tc>
          <w:tcPr>
            <w:shd w:val="clear" w:color="auto" w:fill="D9E2F3"/>
          </w:tcPr>
          <w:p>
            <w:pPr>
              <w:jc w:val="center"/>
            </w:pPr>
            <w:r>
              <w:rPr>
                <w:b/>
              </w:rPr>
              <w:t xml:space="preserve">On-device edge</w:t>
            </w:r>
          </w:p>
        </w:tc>
      </w:tr>
      <w:tr>
        <w:tc>
          <w:p>
            <w:pPr>
              <w:spacing w:after="40"/>
            </w:pPr>
            <w:r>
              <w:t xml:space="preserve">Latency</w:t>
            </w:r>
          </w:p>
        </w:tc>
        <w:tc>
          <w:p>
            <w:pPr>
              <w:spacing w:after="40"/>
            </w:pPr>
            <w:r>
              <w:t xml:space="preserve">High</w:t>
            </w:r>
          </w:p>
        </w:tc>
        <w:tc>
          <w:p>
            <w:pPr>
              <w:spacing w:after="40"/>
            </w:pPr>
            <w:r>
              <w:t xml:space="preserve">Moderate</w:t>
            </w:r>
          </w:p>
        </w:tc>
        <w:tc>
          <w:p>
            <w:pPr>
              <w:spacing w:after="40"/>
            </w:pPr>
            <w:r>
              <w:t xml:space="preserve">Low</w:t>
            </w:r>
          </w:p>
        </w:tc>
      </w:tr>
      <w:tr>
        <w:tc>
          <w:p>
            <w:pPr>
              <w:spacing w:after="40"/>
            </w:pPr>
            <w:r>
              <w:t xml:space="preserve">Transmission energy</w:t>
            </w:r>
          </w:p>
        </w:tc>
        <w:tc>
          <w:p>
            <w:pPr>
              <w:spacing w:after="40"/>
            </w:pPr>
            <w:r>
              <w:t xml:space="preserve">High</w:t>
            </w:r>
          </w:p>
        </w:tc>
        <w:tc>
          <w:p>
            <w:pPr>
              <w:spacing w:after="40"/>
            </w:pPr>
            <w:r>
              <w:t xml:space="preserve">Moderate</w:t>
            </w:r>
          </w:p>
        </w:tc>
        <w:tc>
          <w:p>
            <w:pPr>
              <w:spacing w:after="40"/>
            </w:pPr>
            <w:r>
              <w:t xml:space="preserve">Minimal</w:t>
            </w:r>
          </w:p>
        </w:tc>
      </w:tr>
      <w:tr>
        <w:tc>
          <w:p>
            <w:pPr>
              <w:spacing w:after="40"/>
            </w:pPr>
            <w:r>
              <w:t xml:space="preserve">Privacy</w:t>
            </w:r>
          </w:p>
        </w:tc>
        <w:tc>
          <w:p>
            <w:pPr>
              <w:spacing w:after="40"/>
            </w:pPr>
            <w:r>
              <w:t xml:space="preserve">Lowest</w:t>
            </w:r>
          </w:p>
        </w:tc>
        <w:tc>
          <w:p>
            <w:pPr>
              <w:spacing w:after="40"/>
            </w:pPr>
            <w:r>
              <w:t xml:space="preserve">Moderate</w:t>
            </w:r>
          </w:p>
        </w:tc>
        <w:tc>
          <w:p>
            <w:pPr>
              <w:spacing w:after="40"/>
            </w:pPr>
            <w:r>
              <w:t xml:space="preserve">Highest</w:t>
            </w:r>
          </w:p>
        </w:tc>
      </w:tr>
      <w:tr>
        <w:tc>
          <w:p>
            <w:pPr>
              <w:spacing w:after="40"/>
            </w:pPr>
            <w:r>
              <w:t xml:space="preserve">Model complexity</w:t>
            </w:r>
          </w:p>
        </w:tc>
        <w:tc>
          <w:p>
            <w:pPr>
              <w:spacing w:after="40"/>
            </w:pPr>
            <w:r>
              <w:t xml:space="preserve">Very high</w:t>
            </w:r>
          </w:p>
        </w:tc>
        <w:tc>
          <w:p>
            <w:pPr>
              <w:spacing w:after="40"/>
            </w:pPr>
            <w:r>
              <w:t xml:space="preserve">High</w:t>
            </w:r>
          </w:p>
        </w:tc>
        <w:tc>
          <w:p>
            <w:pPr>
              <w:spacing w:after="40"/>
            </w:pPr>
            <w:r>
              <w:t xml:space="preserve">Constrained</w:t>
            </w:r>
          </w:p>
        </w:tc>
      </w:tr>
      <w:tr>
        <w:tc>
          <w:p>
            <w:pPr>
              <w:spacing w:after="40"/>
            </w:pPr>
            <w:r>
              <w:t xml:space="preserve">Connectivity dependence</w:t>
            </w:r>
          </w:p>
        </w:tc>
        <w:tc>
          <w:p>
            <w:pPr>
              <w:spacing w:after="40"/>
            </w:pPr>
            <w:r>
              <w:t xml:space="preserve">Continuous</w:t>
            </w:r>
          </w:p>
        </w:tc>
        <w:tc>
          <w:p>
            <w:pPr>
              <w:spacing w:after="40"/>
            </w:pPr>
            <w:r>
              <w:t xml:space="preserve">Intermittent</w:t>
            </w:r>
          </w:p>
        </w:tc>
        <w:tc>
          <w:p>
            <w:pPr>
              <w:spacing w:after="40"/>
            </w:pPr>
            <w:r>
              <w:t xml:space="preserve">None required</w:t>
            </w:r>
          </w:p>
        </w:tc>
      </w:tr>
    </w:tbl>
    <w:p>
      <w:pPr>
        <w:pStyle w:val="Heading2"/>
      </w:pPr>
      <w:r>
        <w:t xml:space="preserve">16.1.5 Signal Processing and Machine-Learning Pipelines</w:t>
      </w:r>
    </w:p>
    <w:p>
      <w:pPr>
        <w:pStyle w:val="Normal"/>
      </w:pPr>
      <w:r>
        <w:t xml:space="preserve">Raw wearable signals are contaminated by motion artifacts, ambient interference, poor skin contact, and physiological variability, making robust signal processing indispensable [17]. A typical pipeline begins with preprocessing steps such as bandpass filtering, adaptive noise cancellation, and artifact detection. Reliable derivation of clinical parameters, for example estimating heart rate from a photoplethysmogram corrupted by wrist motion, often requires fusing multiple sensor channels, with accelerometer data used to model and subtract motion artifacts [18].</w:t>
      </w:r>
    </w:p>
    <w:p>
      <w:pPr>
        <w:pStyle w:val="Normal"/>
      </w:pPr>
      <w:r>
        <w:t xml:space="preserve">Beyond hand-crafted signal processing, machine learning has become central to extracting meaning from wearable data. Classical approaches engineer features in the time and frequency domains and apply classifiers such as support vector machines or random forests to tasks including activity recognition and arrhythmia detection [19]. More recently, deep learning has demonstrated strong performance by learning representations directly from raw signals. Convolutional networks capture local morphological patterns, while recurrent and attention-based architectures model temporal dependencies across long sequences [20]. Deep models trained on large electrocardiographic datasets have achieved cardiologist-level accuracy in detecting a range of rhythm abnormalities [21].</w:t>
      </w:r>
    </w:p>
    <w:p>
      <w:pPr>
        <w:pStyle w:val="Normal"/>
      </w:pPr>
      <w:r>
        <w:t xml:space="preserve">Sensor fusion deserves particular emphasis, because the richest inferences often arise from combining modalities rather than from any single signal. Estimating blood pressure without a cuff, for example, may draw jointly on the timing relationship between an electrocardiogram and a photoplethysmogram, while distinguishing a genuine cardiac arrhythmia from a motion-induced artifact benefits from simultaneous accelerometer data. Fusion can occur at the level of raw signals, of extracted features, or of decisions, and the appropriate level depends on the correlation structure of the sources and the constraints of the platform. A further consideration is that the utility of a model in a safety-relevant setting depends not only on its average accuracy but on its behavior at the extremes, where rare but dangerous events reside. Because such events are, by definition, underrepresented in training data, specialized techniques for handling class imbalance and for calibrating predicted probabilities are essential if the resulting alerts are to be trustworthy [19]. Figure 16.1 depicts the canonical wearable data pipeline, tracing the flow from transduction through preprocessing, feature extraction, and inference to clinical decision support.</w:t>
      </w:r>
    </w:p>
    <w:p>
      <w:pPr>
        <w:pStyle w:val="FigureImage"/>
      </w:pPr>
      <w:r>
        <w:drawing>
          <wp:inline xmlns:wp="http://schemas.openxmlformats.org/drawingml/2006/wordprocessingDrawing" distT="0" distB="0" distL="0" distR="0">
            <wp:extent cx="5486400" cy="3104147"/>
            <wp:effectExtent l="0" t="0" r="0" b="0"/>
            <wp:docPr id="1001" name="Figure_16_1_Wearabl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6_1_Wearable_Pipeline.png"/>
                    <pic:cNvPicPr/>
                  </pic:nvPicPr>
                  <pic:blipFill>
                    <a:blip xmlns:r="http://schemas.openxmlformats.org/officeDocument/2006/relationships" r:embed="rIdImg1"/>
                    <a:stretch>
                      <a:fillRect/>
                    </a:stretch>
                  </pic:blipFill>
                  <pic:spPr>
                    <a:xfrm>
                      <a:off x="0" y="0"/>
                      <a:ext cx="5486400" cy="3104147"/>
                    </a:xfrm>
                    <a:prstGeom prst="rect">
                      <a:avLst/>
                    </a:prstGeom>
                  </pic:spPr>
                </pic:pic>
              </a:graphicData>
            </a:graphic>
          </wp:inline>
        </w:drawing>
      </w:r>
    </w:p>
    <w:p>
      <w:pPr>
        <w:pStyle w:val="FigureCaption"/>
      </w:pPr>
      <w:r>
        <w:t xml:space="preserve">Figure 16.1. Canonical wearable data pipeline from sensor transduction to clinical decision support.</w:t>
      </w:r>
    </w:p>
    <w:p>
      <w:pPr>
        <w:pStyle w:val="Normal"/>
      </w:pPr>
      <w:r>
        <w:t xml:space="preserve">A persistent challenge is the scarcity of labeled data in real-world conditions and the substantial variability across individuals, devices, and contexts [22]. Techniques such as transfer learning, self-supervised pretraining, and domain adaptation help models generalize from limited labels. Personalization, in which a general model is fine-tuned to an individual's baseline physiology, markedly improves accuracy because inter-individual variability often exceeds intra-individual variability [23]. Equally important is uncertainty quantification: a clinically responsible system must recognize when a prediction is unreliable, for instance during poor signal quality, and either abstain or request confirmation rather than issue a confident but erroneous alert [24].</w:t>
      </w:r>
    </w:p>
    <w:p>
      <w:pPr>
        <w:pStyle w:val="Normal"/>
      </w:pPr>
      <w:r>
        <w:t xml:space="preserve">The gap between laboratory performance and real-world reliability is one of the defining difficulties of wearable analytics. Models trained on curated datasets collected under controlled conditions frequently degrade when deployed in the wild, where signal quality fluctuates, sensors are worn inconsistently, and the distribution of activities differs from the training population [22]. This phenomenon of distribution shift means that reported accuracy figures must be interpreted with caution and that continuous validation on representative populations is essential. Self-supervised learning, which exploits the vast quantities of unlabeled physiological data that wearables generate, offers a promising route to representations that transfer robustly across individuals and tasks, reducing dependence on scarce expert labels [19]. Federated learning further allows a shared model to be improved from data distributed across many devices without that raw data ever leaving the individual devices, aligning the drive for larger training sets with the imperative to protect privacy [20]. Ultimately, the value of a wearable system is determined not by its performance on a benchmark but by its reliability in the hands of real users over months and years, and closing this gap remains an active and consequential area of research [23].</w:t>
      </w:r>
    </w:p>
    <w:p>
      <w:pPr>
        <w:pStyle w:val="Heading2"/>
      </w:pPr>
      <w:r>
        <w:t xml:space="preserve">16.1.6 Clinical Applications and Validation</w:t>
      </w:r>
    </w:p>
    <w:p>
      <w:pPr>
        <w:pStyle w:val="Normal"/>
      </w:pPr>
      <w:r>
        <w:t xml:space="preserve">Wearable monitoring has produced tangible clinical impact across cardiology, respiratory medicine, neurology, and metabolic health. Large-scale studies have shown that consumer smartwatches can detect previously undiagnosed atrial fibrillation in ambulatory populations, prompting timely evaluation [25]. Continuous glucose monitors have transformed diabetes management by revealing glycemic patterns invisible to fingerstick testing and enabling data-driven adjustment of therapy [26]. Wearable respiratory and activity monitors support the management of chronic obstructive pulmonary disease and heart failure by detecting early signs of exacerbation.</w:t>
      </w:r>
    </w:p>
    <w:p>
      <w:pPr>
        <w:pStyle w:val="Normal"/>
      </w:pPr>
      <w:r>
        <w:t xml:space="preserve">Yet the transition from consumer novelty to validated medical tool demands rigorous evidence. Analytical validation establishes that a sensor measures what it claims to measure with acceptable accuracy, while clinical validation demonstrates that the resulting information improves outcomes [27]. Regulatory frameworks increasingly distinguish general-wellness devices from regulated medical devices, imposing correspondingly stringent evidentiary requirements. False alarms are a particular concern, because an epidemic of low-value alerts can overwhelm both patients and clinicians, eroding trust and diverting resources [28]. Careful attention to positive predictive value, alarm fatigue, and clinical workflow integration is therefore as essential as raw sensor accuracy.</w:t>
      </w:r>
    </w:p>
    <w:p>
      <w:pPr>
        <w:pStyle w:val="Normal"/>
      </w:pPr>
      <w:r>
        <w:t xml:space="preserve">The clinical value of a monitoring system depends heavily on where it sits in the trade-off between sensitivity and specificity. A device tuned for maximum sensitivity will rarely miss a true event but will generate many false positives, whereas one tuned for specificity will produce fewer false alarms at the cost of occasionally missing genuine deterioration. In a screening context applied to a large, mostly healthy population, even a highly specific test can yield a low positive predictive value simply because true events are rare, so that most alerts prove to be false [25]. This statistical reality has direct clinical consequences: unnecessary alarms drive unwarranted testing, provoke anxiety, and desensitize users to warnings, while missed events erode confidence in the technology. Successful deployment therefore requires not only accurate sensors and algorithms but a carefully designed clinical pathway that specifies how alerts are triaged, who acts on them, and how the system integrates into existing workflows without adding unsustainable burden [1]. The most impactful wearable programs pair robust technology with thoughtful operational design, recognizing that a monitoring system is a sociotechnical intervention and not merely a measurement instrument [4].</w:t>
      </w:r>
    </w:p>
    <w:p>
      <w:pPr>
        <w:pStyle w:val="Heading1"/>
      </w:pPr>
      <w:r>
        <w:t xml:space="preserve">16.2 Implantable Sensors and Smart Drug Delivery Devices</w:t>
      </w:r>
    </w:p>
    <w:p>
      <w:pPr>
        <w:pStyle w:val="Heading2"/>
      </w:pPr>
      <w:r>
        <w:t xml:space="preserve">16.2.1 Rationale for Implantable Systems</w:t>
      </w:r>
    </w:p>
    <w:p>
      <w:pPr>
        <w:pStyle w:val="Normal"/>
      </w:pPr>
      <w:r>
        <w:t xml:space="preserve">While wearable devices excel at accessible, non-invasive monitoring, many clinically important variables lie beyond the reach of the skin surface. Direct measurement of intracranial pressure, deep-tissue oxygenation, bladder pressure, or central hemodynamics requires sensors placed within the body [29]. Implantable systems also enable localized therapy delivered precisely to a target site, minimizing systemic exposure and off-target effects. The rationale for implantation therefore rests on two pillars: access to otherwise unobtainable physiological information, and the ability to sense and act at the same anatomical location in a tightly integrated manner [30].</w:t>
      </w:r>
    </w:p>
    <w:p>
      <w:pPr>
        <w:pStyle w:val="Normal"/>
      </w:pPr>
      <w:r>
        <w:t xml:space="preserve">Implantable devices span a spectrum of invasiveness and permanence, from temporary sensors placed during hospitalization to permanent devices such as pacemakers and neurostimulators intended to function for a decade or more. The design constraints intensify with permanence: a chronically implanted device must maintain calibration, resist biological degradation, and operate reliably without the possibility of routine maintenance [31]. These demands make implantable engineering one of the most exacting domains in biomedical technology.</w:t>
      </w:r>
    </w:p>
    <w:p>
      <w:pPr>
        <w:pStyle w:val="Normal"/>
      </w:pPr>
      <w:r>
        <w:t xml:space="preserve">An emerging design philosophy seeks to sidestep some of these difficulties through transient or bioresorbable electronics, devices engineered to perform their function for a defined interval and then dissolve harmlessly into the body, eliminating the need for surgical retrieval. Such systems are attractive for temporary applications such as post-surgical monitoring or short-term drug delivery, where a permanent implant would confer no benefit and would carry ongoing risk. At the opposite extreme, permanent implants must be conceived as lifelong companions whose failure modes are anticipated and mitigated in advance, because the cost of intervention, both to the patient and to the healthcare system, is high. Between these poles lies a rich design space in which the intended lifetime of the device fundamentally shapes material selection, power strategy, and safety architecture, underscoring that implantable engineering is inseparable from the clinical use case it serves [30].</w:t>
      </w:r>
    </w:p>
    <w:p>
      <w:pPr>
        <w:pStyle w:val="Heading2"/>
      </w:pPr>
      <w:r>
        <w:t xml:space="preserve">16.2.2 Biocompatibility and the Foreign-Body Response</w:t>
      </w:r>
    </w:p>
    <w:p>
      <w:pPr>
        <w:pStyle w:val="Normal"/>
      </w:pPr>
      <w:r>
        <w:t xml:space="preserve">The single most formidable obstacle to durable implantable sensing is the body's reaction to foreign material. Upon implantation, proteins rapidly adsorb onto the device surface, initiating a cascade that recruits immune cells and ultimately encapsulates the implant in a dense, avascular fibrous capsule [32]. For a biochemical sensor, this capsule impedes analyte diffusion, degrading sensitivity and shifting calibration over time; this foreign-body response is the primary reason implantable glucose sensors historically lost accuracy within weeks to months [33].</w:t>
      </w:r>
    </w:p>
    <w:p>
      <w:pPr>
        <w:pStyle w:val="Normal"/>
      </w:pPr>
      <w:r>
        <w:t xml:space="preserve">Mitigation strategies operate at several levels. Material selection favors inert or actively anti-fouling surfaces, while surface engineering with hydrophilic coatings, zwitterionic polymers, or biomimetic layers reduces protein adsorption [34]. Local release of anti-inflammatory agents can suppress the fibrotic cascade, and geometric optimization, including specific implant shapes and sizes, has been shown to influence capsule formation. Table 16.3 catalogs common implant materials alongside their principal advantages, limitations, and representative applications, reflecting the constant negotiation among biocompatibility, mechanical properties, and functional performance [35]. Despite progress, achieving indefinite stability of an implanted biochemical sensor remains an unsolved grand challenge [36].</w:t>
      </w:r>
    </w:p>
    <w:p>
      <w:pPr>
        <w:pStyle w:val="Normal"/>
      </w:pPr>
      <w:r>
        <w:t xml:space="preserve">Crucially, the foreign-body response is not merely a nuisance to be tolerated but a dynamic process that a well-designed system must actively accommodate. Because the fibrous capsule thickens over time and progressively isolates the sensor from the surrounding tissue, sensitivity typically declines along a predictable trajectory, and the calibration relationship between raw signal and true physiological value drifts. Intelligent implants address this in part through adaptive, software-based recalibration, in which algorithms track and compensate for the slow degradation of the sensor rather than assuming a fixed response. Softer, tissue-matched materials provoke a milder reaction than stiff, rigid ones, so mechanical compliance is not only a matter of comfort but a determinant of long-term signal integrity [30]. The material choices compared in Table 16.3 each embody a different resolution of this tension between mechanical, electrical, and biological requirements. The convergence of anti-fouling surface chemistry, mechanically compliant construction, local pharmacological modulation of the immune response, and adaptive signal correction represents the current best strategy for extending functional lifetime, yet no single approach has yet delivered the indefinite, maintenance-free stability that the field aspires to [36].</w:t>
      </w:r>
    </w:p>
    <w:p>
      <w:pPr>
        <w:pStyle w:val="TableCaption"/>
      </w:pPr>
      <w:r>
        <w:t xml:space="preserve">Table 16.3. Common implantable materials with advantages, limitations, and representative applications.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Material</w:t>
            </w:r>
          </w:p>
        </w:tc>
        <w:tc>
          <w:tcPr>
            <w:shd w:val="clear" w:color="auto" w:fill="D9E2F3"/>
          </w:tcPr>
          <w:p>
            <w:pPr>
              <w:jc w:val="center"/>
            </w:pPr>
            <w:r>
              <w:rPr>
                <w:b/>
              </w:rPr>
              <w:t xml:space="preserve">Advantages</w:t>
            </w:r>
          </w:p>
        </w:tc>
        <w:tc>
          <w:tcPr>
            <w:shd w:val="clear" w:color="auto" w:fill="D9E2F3"/>
          </w:tcPr>
          <w:p>
            <w:pPr>
              <w:jc w:val="center"/>
            </w:pPr>
            <w:r>
              <w:rPr>
                <w:b/>
              </w:rPr>
              <w:t xml:space="preserve">Limitations</w:t>
            </w:r>
          </w:p>
        </w:tc>
        <w:tc>
          <w:tcPr>
            <w:shd w:val="clear" w:color="auto" w:fill="D9E2F3"/>
          </w:tcPr>
          <w:p>
            <w:pPr>
              <w:jc w:val="center"/>
            </w:pPr>
            <w:r>
              <w:rPr>
                <w:b/>
              </w:rPr>
              <w:t xml:space="preserve">Representative applications</w:t>
            </w:r>
          </w:p>
        </w:tc>
      </w:tr>
      <w:tr>
        <w:tc>
          <w:p>
            <w:pPr>
              <w:spacing w:after="40"/>
            </w:pPr>
            <w:r>
              <w:t xml:space="preserve">Titanium / alloys</w:t>
            </w:r>
          </w:p>
        </w:tc>
        <w:tc>
          <w:p>
            <w:pPr>
              <w:spacing w:after="40"/>
            </w:pPr>
            <w:r>
              <w:t xml:space="preserve">Strong, corrosion-resistant, inert</w:t>
            </w:r>
          </w:p>
        </w:tc>
        <w:tc>
          <w:p>
            <w:pPr>
              <w:spacing w:after="40"/>
            </w:pPr>
            <w:r>
              <w:t xml:space="preserve">Rigid, radiopaque</w:t>
            </w:r>
          </w:p>
        </w:tc>
        <w:tc>
          <w:p>
            <w:pPr>
              <w:spacing w:after="40"/>
            </w:pPr>
            <w:r>
              <w:t xml:space="preserve">Pacemaker cases, orthopedic implants</w:t>
            </w:r>
          </w:p>
        </w:tc>
      </w:tr>
      <w:tr>
        <w:tc>
          <w:p>
            <w:pPr>
              <w:spacing w:after="40"/>
            </w:pPr>
            <w:r>
              <w:t xml:space="preserve">Platinum / iridium</w:t>
            </w:r>
          </w:p>
        </w:tc>
        <w:tc>
          <w:p>
            <w:pPr>
              <w:spacing w:after="40"/>
            </w:pPr>
            <w:r>
              <w:t xml:space="preserve">Excellent electrical stability</w:t>
            </w:r>
          </w:p>
        </w:tc>
        <w:tc>
          <w:p>
            <w:pPr>
              <w:spacing w:after="40"/>
            </w:pPr>
            <w:r>
              <w:t xml:space="preserve">Costly, stiff</w:t>
            </w:r>
          </w:p>
        </w:tc>
        <w:tc>
          <w:p>
            <w:pPr>
              <w:spacing w:after="40"/>
            </w:pPr>
            <w:r>
              <w:t xml:space="preserve">Stimulation electrodes</w:t>
            </w:r>
          </w:p>
        </w:tc>
      </w:tr>
      <w:tr>
        <w:tc>
          <w:p>
            <w:pPr>
              <w:spacing w:after="40"/>
            </w:pPr>
            <w:r>
              <w:t xml:space="preserve">Silicone elastomer</w:t>
            </w:r>
          </w:p>
        </w:tc>
        <w:tc>
          <w:p>
            <w:pPr>
              <w:spacing w:after="40"/>
            </w:pPr>
            <w:r>
              <w:t xml:space="preserve">Soft, flexible, biostable</w:t>
            </w:r>
          </w:p>
        </w:tc>
        <w:tc>
          <w:p>
            <w:pPr>
              <w:spacing w:after="40"/>
            </w:pPr>
            <w:r>
              <w:t xml:space="preserve">Limited barrier properties</w:t>
            </w:r>
          </w:p>
        </w:tc>
        <w:tc>
          <w:p>
            <w:pPr>
              <w:spacing w:after="40"/>
            </w:pPr>
            <w:r>
              <w:t xml:space="preserve">Encapsulation, catheters</w:t>
            </w:r>
          </w:p>
        </w:tc>
      </w:tr>
      <w:tr>
        <w:tc>
          <w:p>
            <w:pPr>
              <w:spacing w:after="40"/>
            </w:pPr>
            <w:r>
              <w:t xml:space="preserve">Parylene C</w:t>
            </w:r>
          </w:p>
        </w:tc>
        <w:tc>
          <w:p>
            <w:pPr>
              <w:spacing w:after="40"/>
            </w:pPr>
            <w:r>
              <w:t xml:space="preserve">Conformal, pinhole-free barrier</w:t>
            </w:r>
          </w:p>
        </w:tc>
        <w:tc>
          <w:p>
            <w:pPr>
              <w:spacing w:after="40"/>
            </w:pPr>
            <w:r>
              <w:t xml:space="preserve">Thin-film fragility</w:t>
            </w:r>
          </w:p>
        </w:tc>
        <w:tc>
          <w:p>
            <w:pPr>
              <w:spacing w:after="40"/>
            </w:pPr>
            <w:r>
              <w:t xml:space="preserve">Sensor coatings</w:t>
            </w:r>
          </w:p>
        </w:tc>
      </w:tr>
      <w:tr>
        <w:tc>
          <w:p>
            <w:pPr>
              <w:spacing w:after="40"/>
            </w:pPr>
            <w:r>
              <w:t xml:space="preserve">Bioresorbable polymers</w:t>
            </w:r>
          </w:p>
        </w:tc>
        <w:tc>
          <w:p>
            <w:pPr>
              <w:spacing w:after="40"/>
            </w:pPr>
            <w:r>
              <w:t xml:space="preserve">Dissolve after use, no retrieval</w:t>
            </w:r>
          </w:p>
        </w:tc>
        <w:tc>
          <w:p>
            <w:pPr>
              <w:spacing w:after="40"/>
            </w:pPr>
            <w:r>
              <w:t xml:space="preserve">Finite functional lifetime</w:t>
            </w:r>
          </w:p>
        </w:tc>
        <w:tc>
          <w:p>
            <w:pPr>
              <w:spacing w:after="40"/>
            </w:pPr>
            <w:r>
              <w:t xml:space="preserve">Transient sensors, delivery</w:t>
            </w:r>
          </w:p>
        </w:tc>
      </w:tr>
    </w:tbl>
    <w:p>
      <w:pPr>
        <w:pStyle w:val="Heading2"/>
      </w:pPr>
      <w:r>
        <w:t xml:space="preserve">16.2.3 Powering and Communicating with Implants</w:t>
      </w:r>
    </w:p>
    <w:p>
      <w:pPr>
        <w:pStyle w:val="Normal"/>
      </w:pPr>
      <w:r>
        <w:t xml:space="preserve">Delivering energy to and extracting data from a device sealed within the body poses distinctive engineering problems. Primary batteries power many implants, and the longevity of a pacemaker is often dictated by battery capacity, with device replacement surgery required upon depletion [37]. To avoid repeated surgery, researchers pursue wireless power transfer using inductive coupling, radiofrequency energy, or ultrasound to energize deep implants transcutaneously. Each modality trades off efficiency, penetration depth, alignment tolerance, and tissue heating, and safety limits on tissue exposure impose hard ceilings on deliverable power [38].</w:t>
      </w:r>
    </w:p>
    <w:p>
      <w:pPr>
        <w:pStyle w:val="Normal"/>
      </w:pPr>
      <w:r>
        <w:t xml:space="preserve">Data communication faces analogous constraints. Signals must traverse conductive, lossy tissue that attenuates electromagnetic radiation, particularly at higher frequencies. Low-frequency inductive links, specialized medical radio bands, and emerging ultrasonic and optical techniques each offer partial solutions [39]. The severe energy budget of implants reinforces the case for on-device processing: rather than continuously transmitting raw data, an intelligent implant can extract compact features or detect specific events locally, transmitting only when clinically relevant information arises, thereby conserving both energy and bandwidth [40].</w:t>
      </w:r>
    </w:p>
    <w:p>
      <w:pPr>
        <w:pStyle w:val="Normal"/>
      </w:pPr>
      <w:r>
        <w:t xml:space="preserve">Ultrasonic powering and communication have attracted particular interest for deeply situated implants because acoustic waves penetrate soft tissue with far lower attenuation than radiofrequency fields at comparable frequencies and are subject to more permissive exposure limits, enabling millimetre-scale and even sub-millimetre "neural dust" motes to be energized and interrogated wirelessly. Whatever the physical link, the design of implant electronics is governed by an unforgiving power constraint: every microwatt consumed must either be stored in a finite battery or harvested through a lossy wireless channel, and any heat generated must remain below thresholds that would damage surrounding tissue. This discipline forces implant designers toward extreme energy efficiency in both sensing and computation and makes the local, on-device extraction of clinically meaningful information not a mere optimization but an architectural necessity. An implant that can decide for itself what is worth communicating conserves the scarce energy that would otherwise be squandered transmitting redundant raw data, and this principle of parsimonious, intelligent communication recurs across virtually every successful implantable system [38].</w:t>
      </w:r>
    </w:p>
    <w:p>
      <w:pPr>
        <w:pStyle w:val="Heading2"/>
      </w:pPr>
      <w:r>
        <w:t xml:space="preserve">16.2.4 Smart Drug Delivery: Principles and Actuation</w:t>
      </w:r>
    </w:p>
    <w:p>
      <w:pPr>
        <w:pStyle w:val="Normal"/>
      </w:pPr>
      <w:r>
        <w:t xml:space="preserve">Smart drug-delivery devices move beyond passive pharmacology toward systems that control the timing, location, and quantity of drug release. Conventional oral or intravenous administration produces systemic concentration profiles that oscillate between subtherapeutic and toxic levels and expose the entire body to agents needed only at a specific site [41]. Controlled and targeted delivery aims to maintain concentrations within the therapeutic window at the site of action while minimizing systemic exposure.</w:t>
      </w:r>
    </w:p>
    <w:p>
      <w:pPr>
        <w:pStyle w:val="Normal"/>
      </w:pPr>
      <w:r>
        <w:t xml:space="preserve">Actuation mechanisms fall into two broad classes. Passive systems, such as biodegradable polymer matrices and osmotic pumps, release drug according to predetermined physics without external control, offering simplicity but no adaptability [42]. Active systems incorporate controllable elements: microelectromechanical micropumps, electrothermally activated reservoir seals, and stimuli-responsive materials that release payload in response to triggers such as pH, temperature, enzymatic activity, or an applied magnetic or electric field [43]. Microfabricated reservoir arrays can store discrete doses and release them individually on command, effectively creating a programmable pharmacy on a chip. Figure 16.2 illustrates representative smart drug-delivery architectures, contrasting passive matrix diffusion, actively controlled micropump reservoirs, and stimuli-responsive nanocarriers [44].</w:t>
      </w:r>
    </w:p>
    <w:p>
      <w:pPr>
        <w:pStyle w:val="Normal"/>
      </w:pPr>
      <w:r>
        <w:t xml:space="preserve">The distinction between passive and active systems has profound implications for the kinds of therapy each can support. Passive devices are well suited to regimens in which a predictable, sustained release is sufficient, and their simplicity confers reliability and low cost. Active devices, by contrast, are essential wherever the required dose varies with time or with the patient's state, because only a controllable actuator can adjust delivery in response to feedback. This controllability is precisely what makes active delivery the enabling substrate for the closed-loop systems discussed later in the chapter: a controller can only regulate a variable if it commands an actuator capable of changing it on demand. The landmark demonstration of a wirelessly controlled microchip that released successive doses of a therapeutic agent from sealed reservoirs in human subjects established that programmable, remotely commanded delivery from an implanted device is feasible and safe, marking an important milestone on the path from static formulation to responsive, digitally governed pharmacology [44]. Realizing this potential in practice requires solving formidable problems of dose accuracy, reservoir capacity, stability of stored formulations, and the seamless integration of the actuator with sensing and control [43].</w:t>
      </w:r>
    </w:p>
    <w:p>
      <w:pPr>
        <w:pStyle w:val="FigureImage"/>
      </w:pPr>
      <w:r>
        <w:drawing>
          <wp:inline xmlns:wp="http://schemas.openxmlformats.org/drawingml/2006/wordprocessingDrawing" distT="0" distB="0" distL="0" distR="0">
            <wp:extent cx="5486400" cy="3104147"/>
            <wp:effectExtent l="0" t="0" r="0" b="0"/>
            <wp:docPr id="1002" name="Figure_16_2_Drug_Deli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16_2_Drug_Delivery.png"/>
                    <pic:cNvPicPr/>
                  </pic:nvPicPr>
                  <pic:blipFill>
                    <a:blip xmlns:r="http://schemas.openxmlformats.org/officeDocument/2006/relationships" r:embed="rIdImg2"/>
                    <a:stretch>
                      <a:fillRect/>
                    </a:stretch>
                  </pic:blipFill>
                  <pic:spPr>
                    <a:xfrm>
                      <a:off x="0" y="0"/>
                      <a:ext cx="5486400" cy="3104147"/>
                    </a:xfrm>
                    <a:prstGeom prst="rect">
                      <a:avLst/>
                    </a:prstGeom>
                  </pic:spPr>
                </pic:pic>
              </a:graphicData>
            </a:graphic>
          </wp:inline>
        </w:drawing>
      </w:r>
    </w:p>
    <w:p>
      <w:pPr>
        <w:pStyle w:val="FigureCaption"/>
      </w:pPr>
      <w:r>
        <w:t xml:space="preserve">Figure 16.2. Representative smart drug-delivery architectures: passive matrices, active micropump reservoirs, and stimuli-responsive nanocarriers.</w:t>
      </w:r>
    </w:p>
    <w:p>
      <w:pPr>
        <w:pStyle w:val="Heading2"/>
      </w:pPr>
      <w:r>
        <w:t xml:space="preserve">16.2.5 Nanoscale and Responsive Delivery Systems</w:t>
      </w:r>
    </w:p>
    <w:p>
      <w:pPr>
        <w:pStyle w:val="Normal"/>
      </w:pPr>
      <w:r>
        <w:t xml:space="preserve">At the nanoscale, drug-delivery systems exploit the unique transport and targeting behaviors of engineered nanoparticles. Liposomes, polymeric micelles, dendrimers, and inorganic nanoparticles serve as carriers that protect their payload, prolong circulation, and can be functionalized with targeting ligands that recognize disease-specific receptors [45]. In oncology, nanoparticles can accumulate preferentially in tumor tissue through enhanced permeability and retention and through active targeting, concentrating cytotoxic agents where they are needed while sparing healthy tissue.</w:t>
      </w:r>
    </w:p>
    <w:p>
      <w:pPr>
        <w:pStyle w:val="Normal"/>
      </w:pPr>
      <w:r>
        <w:t xml:space="preserve">Responsiveness adds a further dimension of control. Stimuli-responsive nanocarriers remain stable in circulation but release their payload upon encountering a disease-associated trigger, such as the acidic microenvironment of a tumor or elevated levels of a specific enzyme [46]. External triggers, including focused ultrasound, near-infrared light, and alternating magnetic fields, allow clinicians to activate release on demand with spatial and temporal precision. Integrating sensing and delivery within a single nanoscale or microscale platform, so-called theranostic systems, points toward autonomous local units that both detect a pathological condition and respond to it, foreshadowing the closed-loop concepts developed in the next section [47].</w:t>
      </w:r>
    </w:p>
    <w:p>
      <w:pPr>
        <w:pStyle w:val="Normal"/>
      </w:pPr>
      <w:r>
        <w:t xml:space="preserve">The elegance of internally triggered nanocarriers lies in their exploitation of the disease itself as the actuation signal. A carrier engineered to disassemble in an acidic environment effectively performs a local computation, releasing its payload only where the pathological condition it is designed to sense is present, and thereby achieving a form of spatial targeting without any external command. This blurs the traditional boundary between diagnostic and therapeutic function and gives rise to the theranostic paradigm, in which the same platform reports on and responds to a disease state. When such internally responsive chemistry is combined with externally triggered activation, clinicians gain both the autonomy of self-regulating carriers and the option of deliberate, on-demand control. These molecular and nanoscale systems can be viewed as the smallest members of the closed-loop family: they sense, decide, and act within a single particle, prefiguring at the microscale the integrated sensing-computation-actuation architectures that the next section develops at the level of complete devices and organisms [47].</w:t>
      </w:r>
    </w:p>
    <w:p>
      <w:pPr>
        <w:pStyle w:val="Heading1"/>
      </w:pPr>
      <w:r>
        <w:t xml:space="preserve">16.3 Closed-Loop AI-Based Therapeutic Systems</w:t>
      </w:r>
    </w:p>
    <w:p>
      <w:pPr>
        <w:pStyle w:val="Heading2"/>
      </w:pPr>
      <w:r>
        <w:t xml:space="preserve">16.3.1 The Closed-Loop Concept</w:t>
      </w:r>
    </w:p>
    <w:p>
      <w:pPr>
        <w:pStyle w:val="Normal"/>
      </w:pPr>
      <w:r>
        <w:t xml:space="preserve">A closed-loop therapeutic system unifies sensing, decision-making, and actuation into a self-regulating whole. In contrast to open-loop therapy, in which a fixed regimen is administered regardless of the patient's response, a closed-loop system continuously measures a physiological variable, compares it against a target, computes the appropriate therapeutic action, and delivers it, then observes the effect and repeats [1]. This feedback structure mirrors the body's own homeostatic regulation and enables therapy that adapts moment to moment to the patient's changing state.</w:t>
      </w:r>
    </w:p>
    <w:p>
      <w:pPr>
        <w:pStyle w:val="Normal"/>
      </w:pPr>
      <w:r>
        <w:t xml:space="preserve">The appeal of closed-loop control is greatest for conditions characterized by dynamic instability and narrow therapeutic margins. Where the right dose depends on rapidly changing circumstances, human-in-the-loop management is slow, burdensome, and error-prone [12]. Automation promises tighter regulation, reduced patient burden, and protection against both overtreatment and undertreatment. The three pillars examined earlier in this chapter, wearable and implantable sensing, controllable delivery, and intelligent computation, converge here to form systems that perceive, decide, and act autonomously within the body's regulatory loops [30]. Figure 16.4 depicts this convergence, situating the closed-loop therapeutic system at the intersection of the sensing, actuation, and computation pillars and mapping the enabling technologies, from flexible bioelectronics and biocompatible implants to edge intelligence and safety supervision, that each pillar contributes.</w:t>
      </w:r>
    </w:p>
    <w:p>
      <w:pPr>
        <w:pStyle w:val="FigureImage"/>
      </w:pPr>
      <w:r>
        <w:drawing>
          <wp:inline xmlns:wp="http://schemas.openxmlformats.org/drawingml/2006/wordprocessingDrawing" distT="0" distB="0" distL="0" distR="0">
            <wp:extent cx="5486400" cy="3176336"/>
            <wp:effectExtent l="0" t="0" r="0" b="0"/>
            <wp:docPr id="1003" name="Figure_16_4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16_4_Convergence.png"/>
                    <pic:cNvPicPr/>
                  </pic:nvPicPr>
                  <pic:blipFill>
                    <a:blip xmlns:r="http://schemas.openxmlformats.org/officeDocument/2006/relationships" r:embed="rIdImg3"/>
                    <a:stretch>
                      <a:fillRect/>
                    </a:stretch>
                  </pic:blipFill>
                  <pic:spPr>
                    <a:xfrm>
                      <a:off x="0" y="0"/>
                      <a:ext cx="5486400" cy="3176336"/>
                    </a:xfrm>
                    <a:prstGeom prst="rect">
                      <a:avLst/>
                    </a:prstGeom>
                  </pic:spPr>
                </pic:pic>
              </a:graphicData>
            </a:graphic>
          </wp:inline>
        </w:drawing>
      </w:r>
    </w:p>
    <w:p>
      <w:pPr>
        <w:pStyle w:val="FigureCaption"/>
      </w:pPr>
      <w:r>
        <w:t xml:space="preserve">Figure 16.4. Convergence of sensing, actuation, and intelligent computation into closed-loop therapeutic systems, with the enabling technologies contributed by each pillar.</w:t>
      </w:r>
    </w:p>
    <w:p>
      <w:pPr>
        <w:pStyle w:val="Normal"/>
      </w:pPr>
      <w:r>
        <w:t xml:space="preserve">It is instructive to recognize that closed-loop therapy is, in a sense, an attempt to restore a regulatory function that disease has impaired. Healthy physiology is replete with feedback loops that hold variables such as blood glucose, blood pressure, and body temperature within narrow bounds despite constant perturbation. Many chronic diseases can be understood as failures of these natural control systems, and an engineered closed loop substitutes an artificial controller for the lost biological regulation. Viewed this way, the design of a therapeutic controller becomes an exercise in reverse-engineering and replacing a homeostatic mechanism, an ambition that demands not only accurate sensing and reliable actuation but also a faithful understanding of the underlying physiological dynamics. The difficulty of the control problem scales with the complexity, nonlinearity, and delay of those dynamics, which is why the earliest and most successful clinical closed loops have targeted variables whose behavior is comparatively well characterized [2].</w:t>
      </w:r>
    </w:p>
    <w:p>
      <w:pPr>
        <w:pStyle w:val="Heading2"/>
      </w:pPr>
      <w:r>
        <w:t xml:space="preserve">16.3.2 Control Architectures and the Role of AI</w:t>
      </w:r>
    </w:p>
    <w:p>
      <w:pPr>
        <w:pStyle w:val="Normal"/>
      </w:pPr>
      <w:r>
        <w:t xml:space="preserve">The computational core of a closed-loop system is its controller, which maps measured state to therapeutic action. Classical control theory provides foundational tools: proportional-integral-derivative controllers adjust output in proportion to current error, its accumulation, and its rate of change, while model-predictive control uses an explicit model of physiology to forecast future trajectories and optimize a sequence of actions over a horizon [23]. Model-predictive control is especially attractive in physiological settings because it can incorporate constraints, such as maximum safe dosing rates, and anticipate delays inherent in biological response.</w:t>
      </w:r>
    </w:p>
    <w:p>
      <w:pPr>
        <w:pStyle w:val="Normal"/>
      </w:pPr>
      <w:r>
        <w:t xml:space="preserve">Artificial intelligence extends these architectures where accurate mechanistic models are unavailable or where physiology is highly nonlinear and individualized [20]. Machine-learning controllers can learn patient-specific dynamics from data, and reinforcement learning frames dosing as a sequential decision problem in which an agent learns a policy that maximizes long-term clinical benefit through interaction and feedback [19]. Figure 16.3 presents a generic closed-loop control architecture, showing the sensing, estimation, control, and actuation blocks together with the feedback path and safety supervisor. Hybrid designs that combine data-driven models with physiological priors and hard safety constraints are widely regarded as the most promising path, marrying the adaptability of learning with the guarantees of principled control [24].</w:t>
      </w:r>
    </w:p>
    <w:p>
      <w:pPr>
        <w:pStyle w:val="Normal"/>
      </w:pPr>
      <w:r>
        <w:t xml:space="preserve">A recurring theme in physiological control is the pervasiveness of time delay. Insulin injected subcutaneously takes tens of minutes to reach its peak effect; a sedative infused intravenously acts only after circulation and distribution; and sensor measurements themselves may lag the true physiological value. Such delays destabilize naive reactive controllers, which respond to a state that has already changed by the time the action takes effect, and they are the principal reason that predictive control, which anticipates future trajectories, so often outperforms purely reactive schemes in this domain [23]. Learning-based methods are attractive precisely because they can capture the idiosyncratic delays and nonlinearities of an individual patient that a generic model would miss, but they raise the difficult question of how to guarantee safe behavior in circumstances not represented in the training data. The prevailing resolution is a layered architecture in which a flexible, possibly learned controller proposes actions while a simpler, rigorously validated supervisory layer enforces hard constraints, rejecting or clamping any command that would violate safety limits. This separation of adaptability from assurance allows designers to exploit the power of machine learning without ceding the guarantees on which patient safety depends [24].</w:t>
      </w:r>
    </w:p>
    <w:p>
      <w:pPr>
        <w:pStyle w:val="FigureImage"/>
      </w:pPr>
      <w:r>
        <w:drawing>
          <wp:inline xmlns:wp="http://schemas.openxmlformats.org/drawingml/2006/wordprocessingDrawing" distT="0" distB="0" distL="0" distR="0">
            <wp:extent cx="5486400" cy="3104147"/>
            <wp:effectExtent l="0" t="0" r="0" b="0"/>
            <wp:docPr id="1004" name="Figure_16_3_Closed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16_3_Closed_Loop.png"/>
                    <pic:cNvPicPr/>
                  </pic:nvPicPr>
                  <pic:blipFill>
                    <a:blip xmlns:r="http://schemas.openxmlformats.org/officeDocument/2006/relationships" r:embed="rIdImg4"/>
                    <a:stretch>
                      <a:fillRect/>
                    </a:stretch>
                  </pic:blipFill>
                  <pic:spPr>
                    <a:xfrm>
                      <a:off x="0" y="0"/>
                      <a:ext cx="5486400" cy="3104147"/>
                    </a:xfrm>
                    <a:prstGeom prst="rect">
                      <a:avLst/>
                    </a:prstGeom>
                  </pic:spPr>
                </pic:pic>
              </a:graphicData>
            </a:graphic>
          </wp:inline>
        </w:drawing>
      </w:r>
    </w:p>
    <w:p>
      <w:pPr>
        <w:pStyle w:val="FigureCaption"/>
      </w:pPr>
      <w:r>
        <w:t xml:space="preserve">Figure 16.3. Generic closed-loop therapeutic control architecture with sensing, estimation, control, actuation, and safety supervision.</w:t>
      </w:r>
    </w:p>
    <w:p>
      <w:pPr>
        <w:pStyle w:val="Heading2"/>
      </w:pPr>
      <w:r>
        <w:t xml:space="preserve">16.3.3 The Artificial Pancreas</w:t>
      </w:r>
    </w:p>
    <w:p>
      <w:pPr>
        <w:pStyle w:val="Normal"/>
      </w:pPr>
      <w:r>
        <w:t xml:space="preserve">The artificial pancreas for type 1 diabetes is the most mature and instructive example of a closed-loop therapeutic system. It links a continuous glucose monitor, a control algorithm running on a portable controller or smartphone, and an insulin pump into an automated insulin-delivery loop [26]. The controller continuously interprets glucose readings and modulates insulin infusion to keep glucose within a target range, counteracting the effects of meals, exercise, and stress without requiring constant manual intervention [2].</w:t>
      </w:r>
    </w:p>
    <w:p>
      <w:pPr>
        <w:pStyle w:val="Normal"/>
      </w:pPr>
      <w:r>
        <w:t xml:space="preserve">Clinical trials and real-world deployments have demonstrated that automated insulin delivery increases the time patients spend in the target glucose range, reduces dangerous hypoglycemia, and lessens the relentless cognitive burden of self-management [33]. The evolution of these systems illustrates general principles of closed-loop design. Early hybrid systems still required users to announce meals, because the delay between subcutaneous insulin delivery and its effect makes purely reactive control insufficient to blunt post-meal glucose spikes [42]. Successive generations have incorporated more sophisticated predictive algorithms, adaptive personalization, and automatic correction doses, steadily reducing the need for user input and moving toward fully autonomous operation [46].</w:t>
      </w:r>
    </w:p>
    <w:p>
      <w:pPr>
        <w:pStyle w:val="Normal"/>
      </w:pPr>
      <w:r>
        <w:t xml:space="preserve">The artificial pancreas is also a valuable case study in the reality of imperfect components. The glucose sensor it relies upon is subject to the very calibration drift and foreign-body effects described earlier, its measurements lag blood glucose, and its readings are occasionally corrupted by pressure artifacts during sleep. The insulin actuator introduces its own delays and cannot be reversed once a dose is delivered, which places a premium on caution to avoid hypoglycemia. The controller must therefore reason under uncertainty, hedging against unreliable inputs and irreversible actions, and much of the engineering sophistication of modern systems lies in this robust handling of imperfect sensing and actuation rather than in the control law alone [26]. That such systems nonetheless deliver substantial clinical benefit demonstrates a general and encouraging principle: a well-designed closed loop can achieve reliable regulation even when every individual component is imperfect, provided the architecture anticipates and compensates for those imperfections. This lesson generalizes directly to the other therapeutic domains in which closed-loop control is now being pursued [33].</w:t>
      </w:r>
    </w:p>
    <w:p>
      <w:pPr>
        <w:pStyle w:val="Heading2"/>
      </w:pPr>
      <w:r>
        <w:t xml:space="preserve">16.3.4 Neurostimulation and Other Domains</w:t>
      </w:r>
    </w:p>
    <w:p>
      <w:pPr>
        <w:pStyle w:val="Normal"/>
      </w:pPr>
      <w:r>
        <w:t xml:space="preserve">Beyond metabolic control, closed-loop principles are reshaping neurological therapy. Responsive neurostimulation for epilepsy continuously monitors brain electrical activity through implanted electrodes and delivers targeted electrical stimulation upon detecting the signature of an oncoming seizure, aiming to abort it before clinical manifestation [29]. This on-demand approach contrasts with continuous open-loop stimulation and can reduce both seizure frequency and unnecessary energy delivery, extending device longevity [37]. Analogous adaptive strategies are under investigation for deep-brain stimulation in Parkinson's disease, where stimulation is modulated in response to biomarkers of pathological neural oscillation rather than delivered at a fixed level [39].</w:t>
      </w:r>
    </w:p>
    <w:p>
      <w:pPr>
        <w:pStyle w:val="Normal"/>
      </w:pPr>
      <w:r>
        <w:t xml:space="preserve">Closed-loop concepts are also emerging in critical care and anesthesia, where automated systems regulate the infusion of vasoactive drugs, sedatives, or fluids based on continuously monitored hemodynamic and depth-of-anesthesia signals [17]. Table 16.4 compares several closed-loop therapeutic systems across the sensed variable, actuator, control approach, and maturity, spanning glucose regulation, neurostimulation, and automated anesthesia. Across these diverse domains, a common architecture recurs: reliable sensing of a control variable, a validated model or learned policy relating action to effect, and a safe, controllable actuator, all bound together by rigorous safety engineering [40].</w:t>
      </w:r>
    </w:p>
    <w:p>
      <w:pPr>
        <w:pStyle w:val="Normal"/>
      </w:pPr>
      <w:r>
        <w:t xml:space="preserve">The adaptive neurostimulation paradigm highlights a benefit unique to closed-loop operation: by delivering intervention only when it is needed, the system reduces the total burden of stimulation, which in turn diminishes side effects, curtails habituation, and conserves the limited energy of an implanted battery, thereby extending the interval between replacement surgeries [37]. In Parkinson's disease, modulating stimulation in response to a physiological biomarker of pathological neural activity has shown the potential to match or exceed the efficacy of continuous stimulation while delivering markedly less total current, illustrating how feedback can improve both effectiveness and tolerability simultaneously [39]. The critical-care setting, by contrast, exposes the challenges of closed-loop control in an environment of profound physiological complexity and rapid change, where multiple interacting variables must be regulated at once and where the consequences of error are immediate and severe [17]. The breadth of these applications, from a wearable insulin loop to a deeply implanted neural interface to a bedside infusion controller, underscores that the closed-loop principle is not tied to any single technology but is a general architecture for intelligent, responsive therapy. As Table 16.4 indicates, these systems differ widely in maturity, from commercially deployed automated insulin delivery to investigational closed-loop anesthesia, even as they share a common underlying structure.</w:t>
      </w:r>
    </w:p>
    <w:p>
      <w:pPr>
        <w:pStyle w:val="TableCaption"/>
      </w:pPr>
      <w:r>
        <w:t xml:space="preserve">Table 16.4. Comparison of representative closed-loop therapeutic systems across application domains.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System</w:t>
            </w:r>
          </w:p>
        </w:tc>
        <w:tc>
          <w:tcPr>
            <w:shd w:val="clear" w:color="auto" w:fill="D9E2F3"/>
          </w:tcPr>
          <w:p>
            <w:pPr>
              <w:jc w:val="center"/>
            </w:pPr>
            <w:r>
              <w:rPr>
                <w:b/>
              </w:rPr>
              <w:t xml:space="preserve">Sensed variable</w:t>
            </w:r>
          </w:p>
        </w:tc>
        <w:tc>
          <w:tcPr>
            <w:shd w:val="clear" w:color="auto" w:fill="D9E2F3"/>
          </w:tcPr>
          <w:p>
            <w:pPr>
              <w:jc w:val="center"/>
            </w:pPr>
            <w:r>
              <w:rPr>
                <w:b/>
              </w:rPr>
              <w:t xml:space="preserve">Actuator</w:t>
            </w:r>
          </w:p>
        </w:tc>
        <w:tc>
          <w:tcPr>
            <w:shd w:val="clear" w:color="auto" w:fill="D9E2F3"/>
          </w:tcPr>
          <w:p>
            <w:pPr>
              <w:jc w:val="center"/>
            </w:pPr>
            <w:r>
              <w:rPr>
                <w:b/>
              </w:rPr>
              <w:t xml:space="preserve">Control approach</w:t>
            </w:r>
          </w:p>
        </w:tc>
        <w:tc>
          <w:tcPr>
            <w:shd w:val="clear" w:color="auto" w:fill="D9E2F3"/>
          </w:tcPr>
          <w:p>
            <w:pPr>
              <w:jc w:val="center"/>
            </w:pPr>
            <w:r>
              <w:rPr>
                <w:b/>
              </w:rPr>
              <w:t xml:space="preserve">Maturity</w:t>
            </w:r>
          </w:p>
        </w:tc>
      </w:tr>
      <w:tr>
        <w:tc>
          <w:p>
            <w:pPr>
              <w:spacing w:after="40"/>
            </w:pPr>
            <w:r>
              <w:t xml:space="preserve">Artificial pancreas</w:t>
            </w:r>
          </w:p>
        </w:tc>
        <w:tc>
          <w:p>
            <w:pPr>
              <w:spacing w:after="40"/>
            </w:pPr>
            <w:r>
              <w:t xml:space="preserve">Glucose (CGM)</w:t>
            </w:r>
          </w:p>
        </w:tc>
        <w:tc>
          <w:p>
            <w:pPr>
              <w:spacing w:after="40"/>
            </w:pPr>
            <w:r>
              <w:t xml:space="preserve">Insulin pump</w:t>
            </w:r>
          </w:p>
        </w:tc>
        <w:tc>
          <w:p>
            <w:pPr>
              <w:spacing w:after="40"/>
            </w:pPr>
            <w:r>
              <w:t xml:space="preserve">MPC / PID, adaptive</w:t>
            </w:r>
          </w:p>
        </w:tc>
        <w:tc>
          <w:p>
            <w:pPr>
              <w:spacing w:after="40"/>
            </w:pPr>
            <w:r>
              <w:t xml:space="preserve">Commercial</w:t>
            </w:r>
          </w:p>
        </w:tc>
      </w:tr>
      <w:tr>
        <w:tc>
          <w:p>
            <w:pPr>
              <w:spacing w:after="40"/>
            </w:pPr>
            <w:r>
              <w:t xml:space="preserve">Responsive neurostimulation</w:t>
            </w:r>
          </w:p>
        </w:tc>
        <w:tc>
          <w:p>
            <w:pPr>
              <w:spacing w:after="40"/>
            </w:pPr>
            <w:r>
              <w:t xml:space="preserve">Cortical EEG</w:t>
            </w:r>
          </w:p>
        </w:tc>
        <w:tc>
          <w:p>
            <w:pPr>
              <w:spacing w:after="40"/>
            </w:pPr>
            <w:r>
              <w:t xml:space="preserve">Stimulation electrode</w:t>
            </w:r>
          </w:p>
        </w:tc>
        <w:tc>
          <w:p>
            <w:pPr>
              <w:spacing w:after="40"/>
            </w:pPr>
            <w:r>
              <w:t xml:space="preserve">Event detection</w:t>
            </w:r>
          </w:p>
        </w:tc>
        <w:tc>
          <w:p>
            <w:pPr>
              <w:spacing w:after="40"/>
            </w:pPr>
            <w:r>
              <w:t xml:space="preserve">Approved (epilepsy)</w:t>
            </w:r>
          </w:p>
        </w:tc>
      </w:tr>
      <w:tr>
        <w:tc>
          <w:p>
            <w:pPr>
              <w:spacing w:after="40"/>
            </w:pPr>
            <w:r>
              <w:t xml:space="preserve">Adaptive deep-brain stim.</w:t>
            </w:r>
          </w:p>
        </w:tc>
        <w:tc>
          <w:p>
            <w:pPr>
              <w:spacing w:after="40"/>
            </w:pPr>
            <w:r>
              <w:t xml:space="preserve">Neural oscillation</w:t>
            </w:r>
          </w:p>
        </w:tc>
        <w:tc>
          <w:p>
            <w:pPr>
              <w:spacing w:after="40"/>
            </w:pPr>
            <w:r>
              <w:t xml:space="preserve">Stimulation electrode</w:t>
            </w:r>
          </w:p>
        </w:tc>
        <w:tc>
          <w:p>
            <w:pPr>
              <w:spacing w:after="40"/>
            </w:pPr>
            <w:r>
              <w:t xml:space="preserve">Biomarker-driven</w:t>
            </w:r>
          </w:p>
        </w:tc>
        <w:tc>
          <w:p>
            <w:pPr>
              <w:spacing w:after="40"/>
            </w:pPr>
            <w:r>
              <w:t xml:space="preserve">Clinical trials</w:t>
            </w:r>
          </w:p>
        </w:tc>
      </w:tr>
      <w:tr>
        <w:tc>
          <w:p>
            <w:pPr>
              <w:spacing w:after="40"/>
            </w:pPr>
            <w:r>
              <w:t xml:space="preserve">Closed-loop anesthesia</w:t>
            </w:r>
          </w:p>
        </w:tc>
        <w:tc>
          <w:p>
            <w:pPr>
              <w:spacing w:after="40"/>
            </w:pPr>
            <w:r>
              <w:t xml:space="preserve">Depth of anesthesia</w:t>
            </w:r>
          </w:p>
        </w:tc>
        <w:tc>
          <w:p>
            <w:pPr>
              <w:spacing w:after="40"/>
            </w:pPr>
            <w:r>
              <w:t xml:space="preserve">Drug infusion pump</w:t>
            </w:r>
          </w:p>
        </w:tc>
        <w:tc>
          <w:p>
            <w:pPr>
              <w:spacing w:after="40"/>
            </w:pPr>
            <w:r>
              <w:t xml:space="preserve">MPC / rule-based</w:t>
            </w:r>
          </w:p>
        </w:tc>
        <w:tc>
          <w:p>
            <w:pPr>
              <w:spacing w:after="40"/>
            </w:pPr>
            <w:r>
              <w:t xml:space="preserve">Investigational</w:t>
            </w:r>
          </w:p>
        </w:tc>
      </w:tr>
    </w:tbl>
    <w:p>
      <w:pPr>
        <w:pStyle w:val="Heading2"/>
      </w:pPr>
      <w:r>
        <w:t xml:space="preserve">16.3.5 Safety, Robustness, and Fail-Safe Design</w:t>
      </w:r>
    </w:p>
    <w:p>
      <w:pPr>
        <w:pStyle w:val="Normal"/>
      </w:pPr>
      <w:r>
        <w:t xml:space="preserve">Because a closed-loop system acts on the body autonomously, safety assurance is paramount. Any error in sensing, computation, or actuation can propagate directly into inappropriate therapy with potentially severe consequences [28]. Sensor faults are a particular concern: a controller acting on erroneous data may deliver dangerously wrong doses, so systems must incorporate redundancy, continuous signal-quality assessment, and fault-detection logic that recognizes implausible readings and reverts to a safe mode [24]. Fail-safe design ensures that any failure, whether a dead battery, a disconnected sensor, or a software fault, results in a safe state rather than uncontrolled actuation.</w:t>
      </w:r>
    </w:p>
    <w:p>
      <w:pPr>
        <w:pStyle w:val="Normal"/>
      </w:pPr>
      <w:r>
        <w:t xml:space="preserve">Robustness against the full diversity of real-world conditions is equally essential. A controller validated only under nominal circumstances may behave unpredictably when confronted with rare events, unusual physiology, or adversarial disturbances [22]. This concern is amplified for learning-based controllers, whose behavior in situations poorly represented in training data can be difficult to predict or verify. Consequently, safety-critical closed-loop systems typically constrain the autonomy of learned components within a supervisory framework, in which a formally verified safety layer bounds the actions any algorithm can command, guaranteeing that outputs remain within clinically safe limits regardless of the learned policy's recommendation [16].</w:t>
      </w:r>
    </w:p>
    <w:p>
      <w:pPr>
        <w:pStyle w:val="Normal"/>
      </w:pPr>
      <w:r>
        <w:t xml:space="preserve">Security has become inseparable from safety as therapeutic devices grow connected and programmable. A device that can be reprogrammed wirelessly can, in principle, be attacked, and a malicious command to an insulin pump or a cardiac device could be lethal. Safeguarding these systems therefore demands authenticated communication, encrypted data, and defensive design that assumes an adversarial environment, all achieved within the same austere energy budget that constrains every other function. Equally, the growing autonomy of these systems demands rigorous verification and validation across the full envelope of anticipated conditions, together with extensive testing against the unanticipated. The discipline of assuring safety-critical software, developed over decades in aviation and other high-consequence fields, is increasingly being adapted to autonomous medical devices, with the important complication that a learning system may change its behavior over time. Reconciling the benefits of adaptation with the need for stable, verifiable safety properties is among the central unsolved problems in the field, and it motivates the layered architectures and formal safety envelopes that responsible designs now treat as indispensable [24].</w:t>
      </w:r>
    </w:p>
    <w:p>
      <w:pPr>
        <w:pStyle w:val="Heading2"/>
      </w:pPr>
      <w:r>
        <w:t xml:space="preserve">16.3.6 Regulation, Trust, and Human Oversight</w:t>
      </w:r>
    </w:p>
    <w:p>
      <w:pPr>
        <w:pStyle w:val="Normal"/>
      </w:pPr>
      <w:r>
        <w:t xml:space="preserve">The deployment of autonomous therapeutic systems raises regulatory and ethical questions that extend beyond engineering. Regulators must evaluate not only static device performance but the behavior of adaptive algorithms that may change over time, prompting new frameworks for the oversight of continuously learning medical software and for managing the risks of models that update after deployment [27]. Transparency and interpretability support this oversight: clinicians are more likely to trust, and appropriately supervise, a system whose reasoning they can inspect, and interpretable models facilitate error diagnosis when outcomes deviate from expectation [21].</w:t>
      </w:r>
    </w:p>
    <w:p>
      <w:pPr>
        <w:pStyle w:val="Normal"/>
      </w:pPr>
      <w:r>
        <w:t xml:space="preserve">Human oversight remains central even as autonomy increases. Most deployed systems retain a human in or on the loop, able to monitor, override, and assume manual control, and the design of these human-machine interfaces critically affects safety [15]. Poorly designed automation can induce complacency, deskilling, or confusion during handover from automatic to manual control. Equitable access is a further imperative: the benefits of intelligent therapeutic systems must extend across socioeconomic and demographic groups, and algorithms must be validated across diverse populations to avoid encoding or amplifying disparities in care [8]. Addressing these human and societal dimensions is as essential to successful deployment as the underlying technical innovation [4].</w:t>
      </w:r>
    </w:p>
    <w:p>
      <w:pPr>
        <w:pStyle w:val="Normal"/>
      </w:pPr>
      <w:r>
        <w:t xml:space="preserve">The stewardship of the intimate physiological data these systems generate raises additional obligations. Continuous streams of vital signs, location, activity, and biochemical status constitute some of the most sensitive information about a person, capable of revealing health conditions, behaviors, and even emotional states. Protecting this data requires strong encryption, disciplined access control, and transparent governance over who may use it and for what purpose, together with genuine, informed consent regarding its collection and secondary use. Privacy-preserving computation, including on-device processing and federated learning, mitigates risk by minimizing the movement of raw data, yet policy and ethical safeguards must accompany the technical ones. As intelligent therapeutic systems become woven into everyday life, the trust of patients and clinicians will hinge not only on demonstrated clinical benefit but on the responsible handling of the personal information on which these systems depend [20].</w:t>
      </w:r>
    </w:p>
    <w:p>
      <w:pPr>
        <w:pStyle w:val="Heading2"/>
      </w:pPr>
      <w:r>
        <w:t xml:space="preserve">16.3.7 Outlook</w:t>
      </w:r>
    </w:p>
    <w:p>
      <w:pPr>
        <w:pStyle w:val="Normal"/>
      </w:pPr>
      <w:r>
        <w:t xml:space="preserve">The trajectory of wearable, implantable, and intelligent therapeutic systems points toward increasingly seamless integration of sensing, computation, and therapy, deepening the convergence of the three pillars illustrated in Figure 16.4. Advances in flexible bioelectronics, biocompatible materials, energy harvesting, and efficient edge intelligence are collectively lowering the barriers to durable, autonomous devices that operate in intimate contact with the body [10]. As sensing becomes more comprehensive and multimodal, and as controllers grow more capable of learning individualized physiology, the vision of truly personalized, adaptive, and autonomous therapy comes within reach [23].</w:t>
      </w:r>
    </w:p>
    <w:p>
      <w:pPr>
        <w:pStyle w:val="Normal"/>
      </w:pPr>
      <w:r>
        <w:t xml:space="preserve">Realizing this vision responsibly will require sustained progress on the challenges identified throughout this chapter: achieving long-term stability of implanted sensors, guaranteeing the safety of learning-based controllers, ensuring energy autonomy, protecting data privacy, and delivering equitable benefit. Progress will demand deep collaboration among engineers, clinicians, data scientists, ethicists, and regulators [36]. The systems described here represent not merely incremental improvements to existing therapies but a fundamental reconceptualization of medicine as a continuous, closed-loop, and intelligent process, one in which technology and physiology are woven together in the service of health [47].</w:t>
      </w:r>
    </w:p>
    <w:p>
      <w:pPr>
        <w:pStyle w:val="Heading1"/>
      </w:pPr>
      <w:r>
        <w:t xml:space="preserve">References</w:t>
      </w:r>
    </w:p>
    <w:p>
      <w:pPr>
        <w:pStyle w:val="References"/>
      </w:pPr>
      <w:r>
        <w:t xml:space="preserve">[1] Topol EJ. High-performance medicine: the convergence of human and artificial intelligence. Nature Medicine. 2019;25(1):44-56.</w:t>
      </w:r>
    </w:p>
    <w:p>
      <w:pPr>
        <w:pStyle w:val="References"/>
      </w:pPr>
      <w:r>
        <w:t xml:space="preserve">[2] Dunn J, Runge R, Snyder M. Wearables and the medical revolution. Personalized Medicine. 2018;15(5):429-448.</w:t>
      </w:r>
    </w:p>
    <w:p>
      <w:pPr>
        <w:pStyle w:val="References"/>
      </w:pPr>
      <w:r>
        <w:t xml:space="preserve">[3] Heikenfeld J, Jajack A, Rogers J, et al. Wearable sensors: modalities, challenges, and prospects. Lab on a Chip. 2018;18(2):217-248.</w:t>
      </w:r>
    </w:p>
    <w:p>
      <w:pPr>
        <w:pStyle w:val="References"/>
      </w:pPr>
      <w:r>
        <w:t xml:space="preserve">[4] Kim J, Campbell AS, de Ávila BEF, Wang J. Wearable biosensors for healthcare monitoring. Nature Biotechnology. 2019;37(4):389-406.</w:t>
      </w:r>
    </w:p>
    <w:p>
      <w:pPr>
        <w:pStyle w:val="References"/>
      </w:pPr>
      <w:r>
        <w:t xml:space="preserve">[5] Allen J. Photoplethysmography and its application in clinical physiological measurement. Physiological Measurement. 2007;28(3):R1-R39.</w:t>
      </w:r>
    </w:p>
    <w:p>
      <w:pPr>
        <w:pStyle w:val="References"/>
      </w:pPr>
      <w:r>
        <w:t xml:space="preserve">[6] Someya T, Bao Z, Malliaras GG. The rise of plastic bioelectronics. Nature. 2016;540(7633):379-385.</w:t>
      </w:r>
    </w:p>
    <w:p>
      <w:pPr>
        <w:pStyle w:val="References"/>
      </w:pPr>
      <w:r>
        <w:t xml:space="preserve">[7] Bandodkar AJ, Wang J. Non-invasive wearable electrochemical sensors: a review. Trends in Biotechnology. 2014;32(7):363-371.</w:t>
      </w:r>
    </w:p>
    <w:p>
      <w:pPr>
        <w:pStyle w:val="References"/>
      </w:pPr>
      <w:r>
        <w:t xml:space="preserve">[8] Gao W, Emaminejad S, Nyein HYY, et al. Fully integrated wearable sensor arrays for multiplexed in situ perspiration analysis. Nature. 2016;529(7587):509-514.</w:t>
      </w:r>
    </w:p>
    <w:p>
      <w:pPr>
        <w:pStyle w:val="References"/>
      </w:pPr>
      <w:r>
        <w:t xml:space="preserve">[9] Rogers JA, Someya T, Huang Y. Materials and mechanics for stretchable electronics. Science. 2010;327(5973):1603-1607.</w:t>
      </w:r>
    </w:p>
    <w:p>
      <w:pPr>
        <w:pStyle w:val="References"/>
      </w:pPr>
      <w:r>
        <w:t xml:space="preserve">[10] Wang S, Xu J, Wang W, et al. Skin electronics from scalable fabrication of an intrinsically stretchable transistor array. Nature. 2018;555(7694):83-88.</w:t>
      </w:r>
    </w:p>
    <w:p>
      <w:pPr>
        <w:pStyle w:val="References"/>
      </w:pPr>
      <w:r>
        <w:t xml:space="preserve">[11] Kim DH, Lu N, Ma R, et al. Epidermal electronics. Science. 2011;333(6044):838-843.</w:t>
      </w:r>
    </w:p>
    <w:p>
      <w:pPr>
        <w:pStyle w:val="References"/>
      </w:pPr>
      <w:r>
        <w:t xml:space="preserve">[12] Yang JC, Mun J, Kwon SY, et al. Electronic skin: recent progress and future prospects for skin-attachable devices. Advanced Materials. 2019;31(48):1904765.</w:t>
      </w:r>
    </w:p>
    <w:p>
      <w:pPr>
        <w:pStyle w:val="References"/>
      </w:pPr>
      <w:r>
        <w:t xml:space="preserve">[13] Jia W, Bandodkar AJ, Valdés-Ramírez G, et al. Electrochemical tattoo biosensors for real-time noninvasive lactate monitoring. Analytical Chemistry. 2013;85(14):6553-6560.</w:t>
      </w:r>
    </w:p>
    <w:p>
      <w:pPr>
        <w:pStyle w:val="References"/>
      </w:pPr>
      <w:r>
        <w:t xml:space="preserve">[14] Xu S, Zhang Y, Jia L, et al. Soft microfluidic assemblies of sensors, circuits, and radios for the skin. Science. 2014;344(6179):70-74.</w:t>
      </w:r>
    </w:p>
    <w:p>
      <w:pPr>
        <w:pStyle w:val="References"/>
      </w:pPr>
      <w:r>
        <w:t xml:space="preserve">[15] Piwek L, Ellis DA, Andrews S, Joinson A. The rise of consumer health wearables: promises and barriers. PLoS Medicine. 2016;13(2):e1001953.</w:t>
      </w:r>
    </w:p>
    <w:p>
      <w:pPr>
        <w:pStyle w:val="References"/>
      </w:pPr>
      <w:r>
        <w:t xml:space="preserve">[16] Shi Y, Manco M, Moyal D, et al. Soft, stretchable, epidermal sensor with integrated electronics for quantitative skin hydration measurement. Small. 2019;15(41):1901558.</w:t>
      </w:r>
    </w:p>
    <w:p>
      <w:pPr>
        <w:pStyle w:val="References"/>
      </w:pPr>
      <w:r>
        <w:t xml:space="preserve">[17] Clifton L, Clifton DA, Pimentel MAF, et al. Predictive monitoring of mobile patients by combining clinical observations with data from wearable sensors. IEEE Journal of Biomedical and Health Informatics. 2014;18(3):722-730.</w:t>
      </w:r>
    </w:p>
    <w:p>
      <w:pPr>
        <w:pStyle w:val="References"/>
      </w:pPr>
      <w:r>
        <w:t xml:space="preserve">[18] Reddy RK, Pooni R, Zaharieva DP, et al. Accuracy of wrist-worn activity monitors during common daily physical activities. JMIR mHealth and uHealth. 2018;6(12):e10338.</w:t>
      </w:r>
    </w:p>
    <w:p>
      <w:pPr>
        <w:pStyle w:val="References"/>
      </w:pPr>
      <w:r>
        <w:t xml:space="preserve">[19] Bui N, Nguyen A, Nguyen P, et al. Time-series machine learning for physiological signal analysis: a review. ACM Computing Surveys. 2020;53(4):1-36.</w:t>
      </w:r>
    </w:p>
    <w:p>
      <w:pPr>
        <w:pStyle w:val="References"/>
      </w:pPr>
      <w:r>
        <w:t xml:space="preserve">[20] Rajpurkar P, Chen E, Banerjee O, Topol EJ. AI in health and medicine. Nature Medicine. 2022;28(1):31-38.</w:t>
      </w:r>
    </w:p>
    <w:p>
      <w:pPr>
        <w:pStyle w:val="References"/>
      </w:pPr>
      <w:r>
        <w:t xml:space="preserve">[21] Hannun AY, Rajpurkar P, Haghpanahi M, et al. Cardiologist-level arrhythmia detection and classification in ambulatory electrocardiograms using a deep neural network. Nature Medicine. 2019;25(1):65-69.</w:t>
      </w:r>
    </w:p>
    <w:p>
      <w:pPr>
        <w:pStyle w:val="References"/>
      </w:pPr>
      <w:r>
        <w:t xml:space="preserve">[22] Ching T, Himmelstein DS, Beaulieu-Jones BK, et al. Opportunities and obstacles for deep learning in biology and medicine. Journal of the Royal Society Interface. 2018;15(141):20170387.</w:t>
      </w:r>
    </w:p>
    <w:p>
      <w:pPr>
        <w:pStyle w:val="References"/>
      </w:pPr>
      <w:r>
        <w:t xml:space="preserve">[23] Fröhlich H, Balling R, Beerenwinkel N, et al. From hype to reality: data science enabling personalized medicine. BMC Medicine. 2018;16(1):150.</w:t>
      </w:r>
    </w:p>
    <w:p>
      <w:pPr>
        <w:pStyle w:val="References"/>
      </w:pPr>
      <w:r>
        <w:t xml:space="preserve">[24] Kompa B, Snoek J, Beam AL. Second opinion needed: communicating uncertainty in medical machine learning. npj Digital Medicine. 2021;4(1):4.</w:t>
      </w:r>
    </w:p>
    <w:p>
      <w:pPr>
        <w:pStyle w:val="References"/>
      </w:pPr>
      <w:r>
        <w:t xml:space="preserve">[25] Perez MV, Mahaffey KW, Hedlin H, et al. Large-scale assessment of a smartwatch to identify atrial fibrillation. New England Journal of Medicine. 2019;381(20):1909-1917.</w:t>
      </w:r>
    </w:p>
    <w:p>
      <w:pPr>
        <w:pStyle w:val="References"/>
      </w:pPr>
      <w:r>
        <w:t xml:space="preserve">[26] Battelino T, Danne T, Bergenstal RM, et al. Clinical targets for continuous glucose monitoring data interpretation. Diabetes Care. 2019;42(8):1593-1603.</w:t>
      </w:r>
    </w:p>
    <w:p>
      <w:pPr>
        <w:pStyle w:val="References"/>
      </w:pPr>
      <w:r>
        <w:t xml:space="preserve">[27] Goldsack JC, Coravos A, Bakker JP, et al. Verification, analytical validation, and clinical validation of digital measurement products. npj Digital Medicine. 2020;3(1):55.</w:t>
      </w:r>
    </w:p>
    <w:p>
      <w:pPr>
        <w:pStyle w:val="References"/>
      </w:pPr>
      <w:r>
        <w:t xml:space="preserve">[28] Sendelbach S, Funk M. Alarm fatigue: a patient safety concern. AACN Advanced Critical Care. 2013;24(4):378-386.</w:t>
      </w:r>
    </w:p>
    <w:p>
      <w:pPr>
        <w:pStyle w:val="References"/>
      </w:pPr>
      <w:r>
        <w:t xml:space="preserve">[29] Sun FT, Morrell MJ. Closed-loop neurostimulation: the clinical experience. Neurotherapeutics. 2014;11(3):553-563.</w:t>
      </w:r>
    </w:p>
    <w:p>
      <w:pPr>
        <w:pStyle w:val="References"/>
      </w:pPr>
      <w:r>
        <w:t xml:space="preserve">[30] Bettinger CJ. Recent advances in materials and flexible electronics for peripheral nerve interfaces. Bioelectronic Medicine. 2018;4(1):6.</w:t>
      </w:r>
    </w:p>
    <w:p>
      <w:pPr>
        <w:pStyle w:val="References"/>
      </w:pPr>
      <w:r>
        <w:t xml:space="preserve">[31] Bazaka K, Jacob MV. Implantable devices: issues and challenges. Electronics. 2013;2(1):1-34.</w:t>
      </w:r>
    </w:p>
    <w:p>
      <w:pPr>
        <w:pStyle w:val="References"/>
      </w:pPr>
      <w:r>
        <w:t xml:space="preserve">[32] Anderson JM, Rodriguez A, Chang DT. Foreign body reaction to biomaterials. Seminars in Immunology. 2008;20(2):86-100.</w:t>
      </w:r>
    </w:p>
    <w:p>
      <w:pPr>
        <w:pStyle w:val="References"/>
      </w:pPr>
      <w:r>
        <w:t xml:space="preserve">[33] Vaddiraju S, Burgess DJ, Tomazos I, et al. Technologies for continuous glucose monitoring: current problems and future promises. Journal of Diabetes Science and Technology. 2010;4(6):1540-1562.</w:t>
      </w:r>
    </w:p>
    <w:p>
      <w:pPr>
        <w:pStyle w:val="References"/>
      </w:pPr>
      <w:r>
        <w:t xml:space="preserve">[34] Jiang S, Cao Z. Ultralow-fouling, functionalizable, and hydrolyzable zwitterionic materials and their derivatives for biological applications. Advanced Materials. 2010;22(9):920-932.</w:t>
      </w:r>
    </w:p>
    <w:p>
      <w:pPr>
        <w:pStyle w:val="References"/>
      </w:pPr>
      <w:r>
        <w:t xml:space="preserve">[35] Kotanen CN, Moussy FG, Carrara S, Guiseppi-Elie A. Implantable enzyme amperometric biosensors. Biosensors and Bioelectronics. 2012;35(1):14-26.</w:t>
      </w:r>
    </w:p>
    <w:p>
      <w:pPr>
        <w:pStyle w:val="References"/>
      </w:pPr>
      <w:r>
        <w:t xml:space="preserve">[36] Gray M, Meehan J, Ward C, et al. Implantable biosensors and their contribution to the future of precision medicine. The Veterinary Journal. 2018;239:21-29.</w:t>
      </w:r>
    </w:p>
    <w:p>
      <w:pPr>
        <w:pStyle w:val="References"/>
      </w:pPr>
      <w:r>
        <w:t xml:space="preserve">[37] Mallela VS, Ilankumaran V, Rao NS. Trends in cardiac pacemaker batteries. Indian Pacing and Electrophysiology Journal. 2004;4(4):201-212.</w:t>
      </w:r>
    </w:p>
    <w:p>
      <w:pPr>
        <w:pStyle w:val="References"/>
      </w:pPr>
      <w:r>
        <w:t xml:space="preserve">[38] Agarwal K, Jegadeesan R, Guo YX, Thakor NV. Wireless power transfer strategies for implantable bioelectronics. IEEE Reviews in Biomedical Engineering. 2017;10:136-161.</w:t>
      </w:r>
    </w:p>
    <w:p>
      <w:pPr>
        <w:pStyle w:val="References"/>
      </w:pPr>
      <w:r>
        <w:t xml:space="preserve">[39] Little S, Pogosyan A, Neal S, et al. Adaptive deep brain stimulation in advanced Parkinson disease. Annals of Neurology. 2013;74(3):449-457.</w:t>
      </w:r>
    </w:p>
    <w:p>
      <w:pPr>
        <w:pStyle w:val="References"/>
      </w:pPr>
      <w:r>
        <w:t xml:space="preserve">[40] Ghoreishizadeh SS, Taurino I, De Micheli G, et al. A differential electrochemical readout ASIC with heterogeneous integration of bio-nano sensors for amperometric sensing. IEEE Transactions on Biomedical Circuits and Systems. 2017;11(5):1148-1159.</w:t>
      </w:r>
    </w:p>
    <w:p>
      <w:pPr>
        <w:pStyle w:val="References"/>
      </w:pPr>
      <w:r>
        <w:t xml:space="preserve">[41] Langer R. Drug delivery and targeting. Nature. 1998;392(6679 Suppl):5-10.</w:t>
      </w:r>
    </w:p>
    <w:p>
      <w:pPr>
        <w:pStyle w:val="References"/>
      </w:pPr>
      <w:r>
        <w:t xml:space="preserve">[42] Santini JT, Cima MJ, Langer R. A controlled-release microchip. Nature. 1999;397(6717):335-338.</w:t>
      </w:r>
    </w:p>
    <w:p>
      <w:pPr>
        <w:pStyle w:val="References"/>
      </w:pPr>
      <w:r>
        <w:t xml:space="preserve">[43] Timko BP, Dvir T, Kohane DS. Remotely triggerable drug delivery systems. Advanced Materials. 2010;22(44):4925-4943.</w:t>
      </w:r>
    </w:p>
    <w:p>
      <w:pPr>
        <w:pStyle w:val="References"/>
      </w:pPr>
      <w:r>
        <w:t xml:space="preserve">[44] Farra R, Sheppard NF, McCabe L, et al. First-in-human testing of a wirelessly controlled drug delivery microchip. Science Translational Medicine. 2012;4(122):122ra21.</w:t>
      </w:r>
    </w:p>
    <w:p>
      <w:pPr>
        <w:pStyle w:val="References"/>
      </w:pPr>
      <w:r>
        <w:t xml:space="preserve">[45] Peer D, Karp JM, Hong S, et al. Nanocarriers as an emerging platform for cancer therapy. Nature Nanotechnology. 2007;2(12):751-760.</w:t>
      </w:r>
    </w:p>
    <w:p>
      <w:pPr>
        <w:pStyle w:val="References"/>
      </w:pPr>
      <w:r>
        <w:t xml:space="preserve">[46] Mura S, Nicolas J, Couvreur P. Stimuli-responsive nanocarriers for drug delivery. Nature Materials. 2013;12(11):991-1003.</w:t>
      </w:r>
    </w:p>
    <w:p>
      <w:pPr>
        <w:pStyle w:val="References"/>
      </w:pPr>
      <w:r>
        <w:t xml:space="preserve">[47] Lammers T, Aime S, Hennink WE, et al. Theranostic nanomedicine. Accounts of Chemical Research. 2011;44(10):1029-1038.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6_1_Wearable_Pipeline.png"/>
  <Relationship Id="rIdImg2" Type="http://schemas.openxmlformats.org/officeDocument/2006/relationships/image" Target="media/Figure_16_2_Drug_Delivery.png"/>
  <Relationship Id="rIdImg3" Type="http://schemas.openxmlformats.org/officeDocument/2006/relationships/image" Target="media/Figure_16_4_Convergence.png"/>
  <Relationship Id="rIdImg4" Type="http://schemas.openxmlformats.org/officeDocument/2006/relationships/image" Target="media/Figure_16_3_Closed_Loop.png"/>
</Relationships>
</file>