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8: Artificial Intelligence in Pharmacovigilance</w:t>
      </w:r>
    </w:p>
    <w:p>
      <w:pPr>
        <w:pStyle w:val="Heading1"/>
      </w:pPr>
      <w:r>
        <w:t xml:space="preserve">Abstract</w:t>
      </w:r>
    </w:p>
    <w:p>
      <w:pPr>
        <w:pStyle w:val="Normal"/>
      </w:pPr>
      <w:r>
        <w:t xml:space="preserve">Pharmacovigilance—the science and activities concerned with the detection, assessment, understanding, and prevention of adverse effects or any other drug-related problem—has entered a period of rapid transformation driven by artificial intelligence (AI). The classical paradigm of drug safety surveillance rested largely on spontaneous reporting systems, manual case processing, and disproportionality statistics applied to curated safety databases. While these approaches have safeguarded public health for decades, they are increasingly strained by the sheer volume, velocity, and variety of contemporary safety data. Adverse event information now streams not only from clinicians and patients through regulatory channels but also from electronic health records, insurance claims, wearable sensors, social media, patient forums, and biomedical literature. Manual methods cannot scale to this deluge, nor can they exploit the subtle, high-dimensional patterns that modern machine learning can uncover.</w:t>
      </w:r>
    </w:p>
    <w:p>
      <w:pPr>
        <w:pStyle w:val="Normal"/>
      </w:pPr>
      <w:r>
        <w:t xml:space="preserve">This chapter examines how artificial intelligence is reshaping three foundational pillars of pharmacovigilance. First, it explores the automated detection of adverse drug reactions, focusing on natural language processing, deep learning, and multimodal models that extract, normalise, and classify safety signals from unstructured text and heterogeneous sources. Second, it addresses signal detection from electronic health records and real-world data, where longitudinal, observational datasets enable active surveillance, confounding adjustment, and the discovery of associations invisible to spontaneous reporting alone. Third, it considers predictive pharmacovigilance and post-marketing drug safety, in which machine learning models forecast risk before it materialises, stratify vulnerable populations, and support proactive risk management throughout the product lifecycle.</w:t>
      </w:r>
    </w:p>
    <w:p>
      <w:pPr>
        <w:pStyle w:val="Normal"/>
      </w:pPr>
      <w:r>
        <w:t xml:space="preserve">Throughout, the chapter balances technical exposition with critical appraisal. It discusses the architectures and data pipelines that make AI-driven safety surveillance possible while confronting persistent challenges of data quality, causal inference, algorithmic bias, interpretability, and regulatory acceptance. The intent is to provide researchers, safety scientists, data engineers, and regulators with an integrated understanding of both the promise and the limitations of intelligent pharmacovigilance systems, and to sketch a realistic and responsible trajectory toward safer, faster, and more equitable drug safety monitoring across the entire lifecycle of medicinal products.</w:t>
      </w:r>
    </w:p>
    <w:p>
      <w:pPr>
        <w:pStyle w:val="Heading1"/>
      </w:pPr>
      <w:r>
        <w:t xml:space="preserve">8.1 Automated Detection of Adverse Drug Reactions</w:t>
      </w:r>
    </w:p>
    <w:p>
      <w:pPr>
        <w:pStyle w:val="Heading2"/>
      </w:pPr>
      <w:r>
        <w:t xml:space="preserve">8.1.1 The Adverse Drug Reaction Burden and the Case Processing Bottleneck</w:t>
      </w:r>
    </w:p>
    <w:p>
      <w:pPr>
        <w:pStyle w:val="Normal"/>
      </w:pPr>
      <w:r>
        <w:t xml:space="preserve">Adverse drug reactions (ADRs) represent a substantial burden on healthcare systems, contributing to hospital admissions, prolonged inpatient stays, and preventable mortality worldwide [1]. Estimates consistently place ADRs among the leading causes of iatrogenic harm, and a meaningful proportion of these events are considered preventable given adequate monitoring and timely intervention. Robust detection of ADRs is therefore a core public health obligation shared by manufacturers, regulators, and clinicians. The traditional engine of this effort is the spontaneous reporting system, exemplified by the World Health Organization's VigiBase, the United States FDA Adverse Event Reporting System (FAERS), and the European EudraVigilance database [2]. These repositories aggregate individual case safety reports (ICSRs) submitted by healthcare professionals, patients, and marketing authorisation holders, and they have served as the backbone of post-marketing surveillance for generations.</w:t>
      </w:r>
    </w:p>
    <w:p>
      <w:pPr>
        <w:pStyle w:val="Normal"/>
      </w:pPr>
      <w:r>
        <w:t xml:space="preserve">The intake and processing of ICSRs has historically been a labour-intensive, manual undertaking. Each report must be received, deduplicated, coded against controlled vocabularies such as the Medical Dictionary for Regulatory Activities (MedDRA), assessed for seriousness and expectedness, evaluated for causality, and ultimately entered into a safety database within strict regulatory timelines [3]. Every one of these steps demands human attention and specialised expertise, and errors introduced at any stage propagate through downstream analyses. As global reporting volumes have grown—driven by heightened awareness, digital submission channels, patient-direct reporting programmes, and expanding product portfolios—the cost and latency of manual case processing have become unsustainable [4]. Industry surveys report that a large share of pharmacovigilance operating budgets is consumed by the mechanical aspects of case handling rather than by scientific evaluation. This imbalance, in which highly trained safety physicians spend disproportionate time on data entry and formatting, motivated the earliest applications of automation in pharmacovigilance and remains a primary target for AI intervention today.</w:t>
      </w:r>
    </w:p>
    <w:p>
      <w:pPr>
        <w:pStyle w:val="Normal"/>
      </w:pPr>
      <w:r>
        <w:t xml:space="preserve">The economic and human dimensions of this bottleneck reinforce one another. Financially, the near-linear relationship between report volume and processing cost means that a manufacturer's pharmacovigilance expenditure grows relentlessly as its portfolio and market reach expand, with little of that growth translating into better science [4]. Intellectually, the routine and repetitive nature of much case handling risks demoralising the very experts whose judgement is most valuable, and diverting their finite attention away from the interpretive and investigative work that only they can perform. Automation therefore promises a double dividend: it can contain the escalating cost of compliance while simultaneously liberating skilled professionals to concentrate on causality assessment, signal evaluation, and benefit–risk analysis. This reframing is important, because it positions AI in pharmacovigilance not as a cost-cutting measure that displaces experts, but as a means of redirecting expert effort toward the tasks where human judgement is irreplaceable. The efficiency gains are real, but their deeper purpose is to raise the scientific quality of safety surveillance, not merely to make it cheaper [27].</w:t>
      </w:r>
    </w:p>
    <w:p>
      <w:pPr>
        <w:pStyle w:val="Heading2"/>
      </w:pPr>
      <w:r>
        <w:t xml:space="preserve">8.1.2 Natural Language Processing for Adverse Event Extraction</w:t>
      </w:r>
    </w:p>
    <w:p>
      <w:pPr>
        <w:pStyle w:val="Normal"/>
      </w:pPr>
      <w:r>
        <w:t xml:space="preserve">A large fraction of safety-relevant information exists as free text: clinical narratives, discharge summaries, call-centre transcripts, literature abstracts, and patient-authored descriptions. Extracting structured knowledge from this unstructured material is fundamentally a natural language processing (NLP) problem, and the maturity of NLP has become a rate-limiting factor for how much of pharmacovigilance can be automated [5]. Early NLP pipelines relied on rule-based methods and dictionary lookups, matching drug and event mentions against curated lexicons and applying hand-crafted patterns to capture relationships between them [6]. These systems encoded the knowledge of expert linguists and clinicians directly into explicit rules. Although transparent and easy to audit—an important virtue in a regulated environment—such systems were brittle. They struggled with negation ("no evidence of rash"), speculation ("possible drug-induced hepatitis"), temporality ("a rash that resolved before starting the drug"), and the idiosyncratic, abbreviation-laden language of real clinical narratives [7]. Maintaining and extending large rule sets proved costly, and rules tuned for one institution or language rarely transferred cleanly to another.</w:t>
      </w:r>
    </w:p>
    <w:p>
      <w:pPr>
        <w:pStyle w:val="Normal"/>
      </w:pPr>
      <w:r>
        <w:t xml:space="preserve">The introduction of statistical machine learning improved robustness by allowing models to learn from annotated corpora rather than depend solely on hand-written rules. Conditional random fields and support vector machines became standard tools for named entity recognition of drugs and adverse events, while supervised classifiers addressed relation extraction and causality assessment [8]. Feature engineering—incorporating lexical, syntactic, and semantic cues such as part-of-speech tags, dependency relations, and dictionary membership—was central to their success. Yet this reliance on hand-designed features also limited their portability across domains and languages, since the informative features for one corpus often differed from those for another [9]. Progress therefore remained tethered to the availability of expensive expert annotation and to the ingenuity of feature designers.</w:t>
      </w:r>
    </w:p>
    <w:p>
      <w:pPr>
        <w:pStyle w:val="Normal"/>
      </w:pPr>
      <w:r>
        <w:t xml:space="preserve">The deep learning revolution transformed the field by learning representations directly from data. Recurrent neural networks, and especially long short-term memory architectures, captured sequential dependencies in clinical text without manual feature design, allowing a single model to learn how context modifies the meaning of a token [10]. The subsequent arrival of transformer-based language models, pretrained on massive corpora and then fine-tuned for biomedical tasks, delivered substantial and consistent gains across benchmarks. Domain-adapted models such as BioBERT and ClinicalBERT set new standards for adverse event recognition, terminology normalisation, and relation extraction [11]. These models learn deep contextual representations that disambiguate polysemous terms, tolerate spelling variation, and generalise across writing styles in ways that rule-based systems never could [12]. Crucially, transfer learning meant that a model pretrained once on general and biomedical text could be adapted to a specific pharmacovigilance task with comparatively little labelled data, lowering the barrier to deployment. Table 8.1 summarises the evolution of these methodological families and their comparative characteristics.</w:t>
      </w:r>
    </w:p>
    <w:p>
      <w:pPr>
        <w:pStyle w:val="TableCaption"/>
      </w:pPr>
      <w:r>
        <w:t xml:space="preserve">Table 8.1: Evolution of computational methods for automated adverse drug reaction detection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Method Family</w:t>
            </w:r>
          </w:p>
        </w:tc>
        <w:tc>
          <w:tcPr>
            <w:shd w:val="clear" w:color="auto" w:fill="D9E2F3"/>
          </w:tcPr>
          <w:p>
            <w:pPr>
              <w:jc w:val="center"/>
            </w:pPr>
            <w:r>
              <w:rPr>
                <w:b/>
              </w:rPr>
              <w:t xml:space="preserve">Representative Techniques</w:t>
            </w:r>
          </w:p>
        </w:tc>
        <w:tc>
          <w:tcPr>
            <w:shd w:val="clear" w:color="auto" w:fill="D9E2F3"/>
          </w:tcPr>
          <w:p>
            <w:pPr>
              <w:jc w:val="center"/>
            </w:pPr>
            <w:r>
              <w:rPr>
                <w:b/>
              </w:rPr>
              <w:t xml:space="preserve">Key Strengths</w:t>
            </w:r>
          </w:p>
        </w:tc>
        <w:tc>
          <w:tcPr>
            <w:shd w:val="clear" w:color="auto" w:fill="D9E2F3"/>
          </w:tcPr>
          <w:p>
            <w:pPr>
              <w:jc w:val="center"/>
            </w:pPr>
            <w:r>
              <w:rPr>
                <w:b/>
              </w:rPr>
              <w:t xml:space="preserve">Key Limitations</w:t>
            </w:r>
          </w:p>
        </w:tc>
      </w:tr>
      <w:tr>
        <w:tc>
          <w:p>
            <w:pPr>
              <w:spacing w:after="40"/>
            </w:pPr>
            <w:r>
              <w:t xml:space="preserve">Rule-based / dictionary</w:t>
            </w:r>
          </w:p>
        </w:tc>
        <w:tc>
          <w:p>
            <w:pPr>
              <w:spacing w:after="40"/>
            </w:pPr>
            <w:r>
              <w:t xml:space="preserve">Pattern matching, lexicon lookup, negation rules</w:t>
            </w:r>
          </w:p>
        </w:tc>
        <w:tc>
          <w:p>
            <w:pPr>
              <w:spacing w:after="40"/>
            </w:pPr>
            <w:r>
              <w:t xml:space="preserve">Transparent, auditable, no training data</w:t>
            </w:r>
          </w:p>
        </w:tc>
        <w:tc>
          <w:p>
            <w:pPr>
              <w:spacing w:after="40"/>
            </w:pPr>
            <w:r>
              <w:t xml:space="preserve">Brittle, poor generalisation, high maintenance</w:t>
            </w:r>
          </w:p>
        </w:tc>
      </w:tr>
      <w:tr>
        <w:tc>
          <w:p>
            <w:pPr>
              <w:spacing w:after="40"/>
            </w:pPr>
            <w:r>
              <w:t xml:space="preserve">Classical machine learning</w:t>
            </w:r>
          </w:p>
        </w:tc>
        <w:tc>
          <w:p>
            <w:pPr>
              <w:spacing w:after="40"/>
            </w:pPr>
            <w:r>
              <w:t xml:space="preserve">CRF, SVM, logistic regression</w:t>
            </w:r>
          </w:p>
        </w:tc>
        <w:tc>
          <w:p>
            <w:pPr>
              <w:spacing w:after="40"/>
            </w:pPr>
            <w:r>
              <w:t xml:space="preserve">Learns from data, robust to variation</w:t>
            </w:r>
          </w:p>
        </w:tc>
        <w:tc>
          <w:p>
            <w:pPr>
              <w:spacing w:after="40"/>
            </w:pPr>
            <w:r>
              <w:t xml:space="preserve">Requires feature engineering and labels</w:t>
            </w:r>
          </w:p>
        </w:tc>
      </w:tr>
      <w:tr>
        <w:tc>
          <w:p>
            <w:pPr>
              <w:spacing w:after="40"/>
            </w:pPr>
            <w:r>
              <w:t xml:space="preserve">Deep learning (RNN/LSTM)</w:t>
            </w:r>
          </w:p>
        </w:tc>
        <w:tc>
          <w:p>
            <w:pPr>
              <w:spacing w:after="40"/>
            </w:pPr>
            <w:r>
              <w:t xml:space="preserve">BiLSTM, sequence tagging</w:t>
            </w:r>
          </w:p>
        </w:tc>
        <w:tc>
          <w:p>
            <w:pPr>
              <w:spacing w:after="40"/>
            </w:pPr>
            <w:r>
              <w:t xml:space="preserve">Captures context, no manual features</w:t>
            </w:r>
          </w:p>
        </w:tc>
        <w:tc>
          <w:p>
            <w:pPr>
              <w:spacing w:after="40"/>
            </w:pPr>
            <w:r>
              <w:t xml:space="preserve">Data-hungry, less interpretable</w:t>
            </w:r>
          </w:p>
        </w:tc>
      </w:tr>
      <w:tr>
        <w:tc>
          <w:p>
            <w:pPr>
              <w:spacing w:after="40"/>
            </w:pPr>
            <w:r>
              <w:t xml:space="preserve">Transformer language models</w:t>
            </w:r>
          </w:p>
        </w:tc>
        <w:tc>
          <w:p>
            <w:pPr>
              <w:spacing w:after="40"/>
            </w:pPr>
            <w:r>
              <w:t xml:space="preserve">BioBERT, ClinicalBERT</w:t>
            </w:r>
          </w:p>
        </w:tc>
        <w:tc>
          <w:p>
            <w:pPr>
              <w:spacing w:after="40"/>
            </w:pPr>
            <w:r>
              <w:t xml:space="preserve">State-of-the-art accuracy, transferable</w:t>
            </w:r>
          </w:p>
        </w:tc>
        <w:tc>
          <w:p>
            <w:pPr>
              <w:spacing w:after="40"/>
            </w:pPr>
            <w:r>
              <w:t xml:space="preserve">Compute-intensive, opaque reasoning</w:t>
            </w:r>
          </w:p>
        </w:tc>
      </w:tr>
      <w:tr>
        <w:tc>
          <w:p>
            <w:pPr>
              <w:spacing w:after="40"/>
            </w:pPr>
            <w:r>
              <w:t xml:space="preserve">Large / multimodal models</w:t>
            </w:r>
          </w:p>
        </w:tc>
        <w:tc>
          <w:p>
            <w:pPr>
              <w:spacing w:after="40"/>
            </w:pPr>
            <w:r>
              <w:t xml:space="preserve">LLMs, multimodal encoders</w:t>
            </w:r>
          </w:p>
        </w:tc>
        <w:tc>
          <w:p>
            <w:pPr>
              <w:spacing w:after="40"/>
            </w:pPr>
            <w:r>
              <w:t xml:space="preserve">End-to-end processing, cross-modal reasoning</w:t>
            </w:r>
          </w:p>
        </w:tc>
        <w:tc>
          <w:p>
            <w:pPr>
              <w:spacing w:after="40"/>
            </w:pPr>
            <w:r>
              <w:t xml:space="preserve">Hallucination risk, accountability gaps</w:t>
            </w:r>
          </w:p>
        </w:tc>
      </w:tr>
    </w:tbl>
    <w:p>
      <w:pPr>
        <w:pStyle w:val="Normal"/>
      </w:pPr>
    </w:p>
    <w:p>
      <w:pPr>
        <w:pStyle w:val="Heading2"/>
      </w:pPr>
      <w:r>
        <w:t xml:space="preserve">8.1.3 Terminology Normalisation and Automated Coding</w:t>
      </w:r>
    </w:p>
    <w:p>
      <w:pPr>
        <w:pStyle w:val="Normal"/>
      </w:pPr>
      <w:r>
        <w:t xml:space="preserve">Detecting that a passage mentions an adverse event is only the first step; the mention must then be mapped to a standardised concept so that reports can be aggregated, counted, and analysed consistently across the global safety ecosystem. MedDRA coding is the regulatory lingua franca, and automating the assignment of MedDRA Preferred Terms and Lowest Level Terms is a distinctive and consequential challenge [13]. A single clinical phenomenon may be expressed in countless lexical variants, abbreviations, colloquialisms, and misspellings, and the same words can map to different concepts depending on surrounding context. Inconsistent coding directly undermines signal detection, because it fragments what should be a single aggregated count into several smaller, individually unremarkable ones [14]. Modern approaches frame normalisation as a semantic matching or ranking task, embedding both the extracted mention and the candidate concepts into a shared vector space and selecting the nearest match by similarity [15]. Large language models have further improved this process by leveraging their broad linguistic knowledge to resolve ambiguous or novel expressions, although they require careful control and calibration to avoid producing confidently incorrect mappings that a downstream reviewer might not catch [16]. In practice, automated coding is often deployed as a suggestion engine that proposes the most probable codes and supporting rationale, leaving confirmation to a human coder.</w:t>
      </w:r>
    </w:p>
    <w:p>
      <w:pPr>
        <w:pStyle w:val="Normal"/>
      </w:pPr>
      <w:r>
        <w:t xml:space="preserve">The hierarchical structure of MedDRA adds both opportunity and difficulty to automated coding. MedDRA organises terms across five levels, from broad System Organ Classes down to highly specific Lowest Level Terms, and an event can be coded correctly at one level yet imprecisely at another. Automated systems that respect this hierarchy—propagating probability across parent and child terms and preferring the most specific defensible code—tend to produce coding that aligns better with expert practice than systems that treat every term as an isolated label [13]. Consistency of coding across an entire safety database is arguably as important as the accuracy of any individual code, because aggregation and disproportionality analysis depend on like being counted with like; a systematic coding tendency, even a slightly imperfect one, can be preferable to inconsistent human coding that scatters identical events across several terms [14]. This observation reframes the goal of automated coding: the aim is not merely to match what an individual human coder would do, but to impose a reproducible, transparent standard that improves the analysability of the database as a whole.</w:t>
      </w:r>
    </w:p>
    <w:p>
      <w:pPr>
        <w:pStyle w:val="Heading2"/>
      </w:pPr>
      <w:r>
        <w:t xml:space="preserve">8.1.4 Mining Social Media and Patient-Generated Data</w:t>
      </w:r>
    </w:p>
    <w:p>
      <w:pPr>
        <w:pStyle w:val="Normal"/>
      </w:pPr>
      <w:r>
        <w:t xml:space="preserve">Patients increasingly discuss their medication experiences on social media platforms, health forums, and product review sites. These sources capture reactions that may never reach formal reporting channels, offering a potentially earlier and more patient-centred window onto drug safety, particularly for symptoms that patients consider embarrassing or that they do not associate with their medication [17]. Mining these sources, however, is exceptionally difficult. The language is colloquial and laden with slang, sarcasm, humour, and ambiguity; the ratio of noise to genuine signal is very high; and distinguishing a personal adverse experience from a general comment, a question, or a second-hand anecdote demands sophisticated contextual understanding [18]. Additional complications include identifying which drug and which reaction a post refers to, resolving informal drug names and brand references, and filtering out promotional or automated content. Machine learning classifiers trained on annotated social media corpora, combined with transformer-based language models fine-tuned for the register of user-generated text, have demonstrated the feasibility of surfacing candidate signals from these channels [19]. Nevertheless, precision remains a persistent concern, false positives are common, and human verification is indispensable before any social-media-derived observation is treated as a genuine safety signal.</w:t>
      </w:r>
    </w:p>
    <w:p>
      <w:pPr>
        <w:pStyle w:val="Normal"/>
      </w:pPr>
      <w:r>
        <w:t xml:space="preserve">The scientific standing of social media as a pharmacovigilance source remains contested, and honesty about its limitations is essential. Systematic reviews have found that, while adverse event information does appear in social media, its prevalence is often low relative to the volume of text that must be processed, and the events described are frequently already well characterised rather than novel [18]. This tempers early enthusiasm that social media would routinely surface unknown reactions ahead of traditional channels. Where these sources appear most promising is in capturing the patient's lived experience of medication—the tolerability, quality-of-life impact, and everyday burden of side effects that clinical documentation tends to underrecord—rather than in first detection of serious, rare reactions. Understood in this more measured way, social media becomes a valuable complement that enriches the qualitative picture of a drug's safety profile, provided its signals are rigorously filtered and never treated as confirmatory on their own [17]. The methodological lesson generalises: each novel data source should be evaluated for what it genuinely adds, rather than adopted on the assumption that more data is always better. Figure 8.1 illustrates a representative end-to-end pipeline that ingests these heterogeneous text sources and produces structured, coded adverse event data.</w:t>
      </w:r>
    </w:p>
    <w:p>
      <w:pPr>
        <w:pStyle w:val="FigureImage"/>
      </w:pPr>
      <w:r>
        <w:drawing>
          <wp:inline xmlns:wp="http://schemas.openxmlformats.org/drawingml/2006/wordprocessingDrawing" distT="0" distB="0" distL="0" distR="0">
            <wp:extent cx="5486400" cy="3235569"/>
            <wp:effectExtent l="0" t="0" r="0" b="0"/>
            <wp:docPr id="1001" name="Figure_8_1_ADR_Detection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8_1_ADR_Detection_Pipeline.png"/>
                    <pic:cNvPicPr/>
                  </pic:nvPicPr>
                  <pic:blipFill>
                    <a:blip xmlns:r="http://schemas.openxmlformats.org/officeDocument/2006/relationships" r:embed="rIdImg1"/>
                    <a:stretch>
                      <a:fillRect/>
                    </a:stretch>
                  </pic:blipFill>
                  <pic:spPr>
                    <a:xfrm>
                      <a:off x="0" y="0"/>
                      <a:ext cx="5486400" cy="3235569"/>
                    </a:xfrm>
                    <a:prstGeom prst="rect">
                      <a:avLst/>
                    </a:prstGeom>
                  </pic:spPr>
                </pic:pic>
              </a:graphicData>
            </a:graphic>
          </wp:inline>
        </w:drawing>
      </w:r>
    </w:p>
    <w:p>
      <w:pPr>
        <w:pStyle w:val="FigureCaption"/>
      </w:pPr>
      <w:r>
        <w:t xml:space="preserve">Figure 8.1: End-to-end NLP pipeline for automated extraction, normalisation, and coding of adverse drug reactions from heterogeneous text sources, with human-in-the-loop verification.</w:t>
      </w:r>
    </w:p>
    <w:p>
      <w:pPr>
        <w:pStyle w:val="Heading2"/>
      </w:pPr>
      <w:r>
        <w:t xml:space="preserve">8.1.5 Multimodal and Large Language Model Approaches</w:t>
      </w:r>
    </w:p>
    <w:p>
      <w:pPr>
        <w:pStyle w:val="Normal"/>
      </w:pPr>
      <w:r>
        <w:t xml:space="preserve">The frontier of automated ADR detection is increasingly multimodal and generative. Safety-relevant evidence is not confined to text: laboratory values, imaging results, structured demographics, vital-sign trends, and temporal event sequences all contribute to the full clinical picture [20]. Multimodal models that jointly reason over these modalities can detect reactions that any single stream would miss—for example, a drug-induced laboratory abnormality that becomes meaningful only when read alongside a narrative complaint, or an imaging finding that corroborates a reported symptom [21]. By integrating structured and unstructured evidence, such models more closely mirror the holistic reasoning of an experienced clinician. Concurrently, large language models are being explored for near end-to-end case processing—reading a raw report, extracting the relevant data fields, drafting a coherent case narrative, and proposing a preliminary coding and seriousness assessment [22]. Early evaluations suggest these systems can dramatically reduce manual effort and shorten processing times, but they also raise serious concerns about hallucination, reproducibility, traceability, and accountability that must be resolved before any move toward unsupervised deployment [23]. A model that fabricates a plausible-sounding but unsupported detail is especially dangerous in a safety context, where the fabricated content may look indistinguishable from genuine clinical information.</w:t>
      </w:r>
    </w:p>
    <w:p>
      <w:pPr>
        <w:pStyle w:val="Normal"/>
      </w:pPr>
      <w:r>
        <w:t xml:space="preserve">Several strategies are being pursued to make large language models safer for this work. Retrieval-augmented generation grounds the model's output in specific source passages, so that every asserted fact can be traced back to the document it came from, converting an opaque generative act into an auditable extraction. Constraining the model to populate a structured template, rather than compose free prose, narrows the scope for invention and makes its output easier to validate against the source. Confidence estimation and selective abstention allow a model to defer uncertain cases to a human rather than guess, concentrating expert attention where the machine is least sure [22]. None of these techniques eliminates the underlying risk, but together they can render generative assistance trustworthy enough for supervised use, provided that the guardrails are themselves validated and that the human reviewer retains both the information and the authority to overrule the model. The governing principle is that the machine should make the reviewer faster and better informed, never that it should quietly substitute its judgement for theirs. Figure 8.1 also highlights where human-in-the-loop checkpoints are inserted to preserve regulatory rigour and to catch such failures.</w:t>
      </w:r>
    </w:p>
    <w:p>
      <w:pPr>
        <w:pStyle w:val="Heading2"/>
      </w:pPr>
      <w:r>
        <w:t xml:space="preserve">8.1.6 Validation, Error Asymmetry, and Human Oversight</w:t>
      </w:r>
    </w:p>
    <w:p>
      <w:pPr>
        <w:pStyle w:val="Normal"/>
      </w:pPr>
      <w:r>
        <w:t xml:space="preserve">Regardless of architecture, automated ADR detection systems must be rigorously validated against reference standards, with performance reported in terms of recall (sensitivity), precision (positive predictive value), and appropriate composite measures such as the F-score [24]. Validation must also probe performance on rare but serious events, which are precisely the cases where errors matter most and where training data is scarcest. In pharmacovigilance, the asymmetry of error costs is pronounced: missing a genuine serious reaction carries far graver consequences than flagging a false positive that a human later dismisses [25]. This asymmetry shapes system design, favouring configurations tuned for high recall with human review to manage the resulting false-positive load. Consequently, most operational deployments adopt a human-in-the-loop model in which AI accelerates and prioritises work while trained safety professionals retain final judgement over causality and reporting decisions [26]. This division of labour preserves accountability while capturing efficiency gains, and it reflects the prevailing regulatory expectation that automation augment rather than replace expert oversight [27]. The most successful implementations are therefore not fully autonomous systems but carefully designed collaborations between algorithmic speed and human judgement.</w:t>
      </w:r>
    </w:p>
    <w:p>
      <w:pPr>
        <w:pStyle w:val="Normal"/>
      </w:pPr>
      <w:r>
        <w:t xml:space="preserve">A further dimension of validation that is frequently underappreciated concerns the temporal and institutional stability of model performance. A detection model that performs impressively on a retrospective test set assembled from historical reports may degrade substantially when deployed against a live stream of new reports, because the language of reporting evolves, new products introduce unfamiliar terminology, and the mix of reporters shifts over time. This phenomenon, often termed dataset shift or concept drift, means that validation cannot be treated as a one-time gate passed before deployment; it must instead be a continuous activity in which model outputs are periodically re-checked against human adjudication and performance metrics are monitored for signs of deterioration [24]. Organisations that neglect this ongoing surveillance of their own algorithms risk a slow, silent erosion of detection quality that may go unnoticed until a serious signal is missed. Prospective, time-split validation—training on earlier data and testing on strictly later data—provides a more honest estimate of real-world performance than random splits, precisely because it respects the temporal structure that operational deployment will encounter [25].</w:t>
      </w:r>
    </w:p>
    <w:p>
      <w:pPr>
        <w:pStyle w:val="Normal"/>
      </w:pPr>
      <w:r>
        <w:t xml:space="preserve">The design of the human–machine interface also materially affects the safety value of these systems. When an algorithm presents its suggestions, the manner of presentation shapes how reviewers engage with them. An interface that surfaces the specific text spans supporting a proposed adverse event, together with a calibrated confidence indicator, invites critical scrutiny and helps reviewers allocate their attention efficiently. By contrast, an interface that presents outputs as faits accomplis can induce automation bias, in which reviewers defer excessively to the machine and rubber-stamp its conclusions, thereby negating the protective purpose of human oversight [26]. Thoughtful interaction design is thus not a cosmetic concern but an integral component of a safe automated detection system, and it deserves the same rigour applied to the underlying models.</w:t>
      </w:r>
    </w:p>
    <w:p>
      <w:pPr>
        <w:pStyle w:val="Heading1"/>
      </w:pPr>
      <w:r>
        <w:t xml:space="preserve">8.2 Signal Detection from Electronic Health Records and Real-World Data</w:t>
      </w:r>
    </w:p>
    <w:p>
      <w:pPr>
        <w:pStyle w:val="Heading2"/>
      </w:pPr>
      <w:r>
        <w:t xml:space="preserve">8.2.1 From Passive Reporting to Active Surveillance</w:t>
      </w:r>
    </w:p>
    <w:p>
      <w:pPr>
        <w:pStyle w:val="Normal"/>
      </w:pPr>
      <w:r>
        <w:t xml:space="preserve">Spontaneous reporting systems suffer from well-documented limitations: chronic under-reporting, incomplete case information, reporting biases influenced by media attention and litigation, and the fundamental absence of a denominator that would permit incidence estimation [28]. Because we rarely know how many patients were exposed to a drug, a raw count of reports cannot by itself tell us whether an event is common or vanishingly rare. Real-world data (RWD)—information routinely collected during healthcare delivery, including electronic health records (EHRs), administrative claims, disease registries, and pharmacy dispensing records—offers a complementary and increasingly indispensable resource [29]. Because RWD captures large, longitudinal, population-representative cohorts containing both exposed and unexposed individuals, it enables active surveillance: the systematic, prospective monitoring of drug safety within defined populations rather than passive reliance on voluntary reports [30]. Active surveillance can quantify incidence, compare exposed and unexposed groups, and detect events that patients or clinicians would never spontaneously connect to a medication. Landmark initiatives such as the FDA's Sentinel System demonstrated that distributed networks of healthcare data could be queried to evaluate specific safety questions at scale while keeping patient-level data behind institutional firewalls to preserve privacy [31]. Table 8.2 contrasts the principal data sources used in modern pharmacovigilance across dimensions of coverage, granularity, and timeliness.</w:t>
      </w:r>
    </w:p>
    <w:p>
      <w:pPr>
        <w:pStyle w:val="Normal"/>
      </w:pPr>
      <w:r>
        <w:t xml:space="preserve">The distinction between active and passive surveillance is not merely procedural but epistemological. Passive systems answer the question "what have people chosen to tell us?"—a question whose answer is shaped by everything that influences reporting behaviour, from clinician awareness to media cycles. Active systems, by contrast, answer "what is actually happening in this defined population?"—a question that, if the data and methods are sound, yields quantities such as incidence rates and comparative risks that passive systems cannot produce. This does not render spontaneous reporting obsolete; spontaneous reports remain uniquely valuable for detecting very rare events, events with long latency, and reactions to newly marketed products for which observational data has not yet accumulated. The mature view, increasingly reflected in regulatory practice, is that spontaneous and real-world data are complementary streams whose combination is more powerful than either alone, and that artificial intelligence is the practical means by which such heterogeneous streams can be integrated and interrogated at scale [30]. A drug safety programme that draws simultaneously on spontaneous reports, electronic health records, claims, and registries—each compensating for the others' blind spots—represents the current aspiration of the field.</w:t>
      </w:r>
    </w:p>
    <w:p>
      <w:pPr>
        <w:pStyle w:val="TableCaption"/>
      </w:pPr>
      <w:r>
        <w:t xml:space="preserve">Table 8.2: Comparison of principal data sources used in modern pharmacovigilance</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Data Source</w:t>
            </w:r>
          </w:p>
        </w:tc>
        <w:tc>
          <w:tcPr>
            <w:shd w:val="clear" w:color="auto" w:fill="D9E2F3"/>
          </w:tcPr>
          <w:p>
            <w:pPr>
              <w:jc w:val="center"/>
            </w:pPr>
            <w:r>
              <w:rPr>
                <w:b/>
              </w:rPr>
              <w:t xml:space="preserve">Population Coverage</w:t>
            </w:r>
          </w:p>
        </w:tc>
        <w:tc>
          <w:tcPr>
            <w:shd w:val="clear" w:color="auto" w:fill="D9E2F3"/>
          </w:tcPr>
          <w:p>
            <w:pPr>
              <w:jc w:val="center"/>
            </w:pPr>
            <w:r>
              <w:rPr>
                <w:b/>
              </w:rPr>
              <w:t xml:space="preserve">Data Granularity</w:t>
            </w:r>
          </w:p>
        </w:tc>
        <w:tc>
          <w:tcPr>
            <w:shd w:val="clear" w:color="auto" w:fill="D9E2F3"/>
          </w:tcPr>
          <w:p>
            <w:pPr>
              <w:jc w:val="center"/>
            </w:pPr>
            <w:r>
              <w:rPr>
                <w:b/>
              </w:rPr>
              <w:t xml:space="preserve">Timeliness</w:t>
            </w:r>
          </w:p>
        </w:tc>
        <w:tc>
          <w:tcPr>
            <w:shd w:val="clear" w:color="auto" w:fill="D9E2F3"/>
          </w:tcPr>
          <w:p>
            <w:pPr>
              <w:jc w:val="center"/>
            </w:pPr>
            <w:r>
              <w:rPr>
                <w:b/>
              </w:rPr>
              <w:t xml:space="preserve">Primary Limitation</w:t>
            </w:r>
          </w:p>
        </w:tc>
      </w:tr>
      <w:tr>
        <w:tc>
          <w:p>
            <w:pPr>
              <w:spacing w:after="40"/>
            </w:pPr>
            <w:r>
              <w:t xml:space="preserve">Spontaneous reports (FAERS, VigiBase)</w:t>
            </w:r>
          </w:p>
        </w:tc>
        <w:tc>
          <w:p>
            <w:pPr>
              <w:spacing w:after="40"/>
            </w:pPr>
            <w:r>
              <w:t xml:space="preserve">Global, voluntary</w:t>
            </w:r>
          </w:p>
        </w:tc>
        <w:tc>
          <w:p>
            <w:pPr>
              <w:spacing w:after="40"/>
            </w:pPr>
            <w:r>
              <w:t xml:space="preserve">Case-level narrative</w:t>
            </w:r>
          </w:p>
        </w:tc>
        <w:tc>
          <w:p>
            <w:pPr>
              <w:spacing w:after="40"/>
            </w:pPr>
            <w:r>
              <w:t xml:space="preserve">Days to weeks</w:t>
            </w:r>
          </w:p>
        </w:tc>
        <w:tc>
          <w:p>
            <w:pPr>
              <w:spacing w:after="40"/>
            </w:pPr>
            <w:r>
              <w:t xml:space="preserve">Under-reporting, no denominator</w:t>
            </w:r>
          </w:p>
        </w:tc>
      </w:tr>
      <w:tr>
        <w:tc>
          <w:p>
            <w:pPr>
              <w:spacing w:after="40"/>
            </w:pPr>
            <w:r>
              <w:t xml:space="preserve">Electronic health records</w:t>
            </w:r>
          </w:p>
        </w:tc>
        <w:tc>
          <w:p>
            <w:pPr>
              <w:spacing w:after="40"/>
            </w:pPr>
            <w:r>
              <w:t xml:space="preserve">Institutional cohorts</w:t>
            </w:r>
          </w:p>
        </w:tc>
        <w:tc>
          <w:p>
            <w:pPr>
              <w:spacing w:after="40"/>
            </w:pPr>
            <w:r>
              <w:t xml:space="preserve">High, longitudinal</w:t>
            </w:r>
          </w:p>
        </w:tc>
        <w:tc>
          <w:p>
            <w:pPr>
              <w:spacing w:after="40"/>
            </w:pPr>
            <w:r>
              <w:t xml:space="preserve">Near real-time</w:t>
            </w:r>
          </w:p>
        </w:tc>
        <w:tc>
          <w:p>
            <w:pPr>
              <w:spacing w:after="40"/>
            </w:pPr>
            <w:r>
              <w:t xml:space="preserve">Fragmentation, missingness</w:t>
            </w:r>
          </w:p>
        </w:tc>
      </w:tr>
      <w:tr>
        <w:tc>
          <w:p>
            <w:pPr>
              <w:spacing w:after="40"/>
            </w:pPr>
            <w:r>
              <w:t xml:space="preserve">Administrative claims</w:t>
            </w:r>
          </w:p>
        </w:tc>
        <w:tc>
          <w:p>
            <w:pPr>
              <w:spacing w:after="40"/>
            </w:pPr>
            <w:r>
              <w:t xml:space="preserve">Large insured populations</w:t>
            </w:r>
          </w:p>
        </w:tc>
        <w:tc>
          <w:p>
            <w:pPr>
              <w:spacing w:after="40"/>
            </w:pPr>
            <w:r>
              <w:t xml:space="preserve">Coded encounters</w:t>
            </w:r>
          </w:p>
        </w:tc>
        <w:tc>
          <w:p>
            <w:pPr>
              <w:spacing w:after="40"/>
            </w:pPr>
            <w:r>
              <w:t xml:space="preserve">Weeks to months</w:t>
            </w:r>
          </w:p>
        </w:tc>
        <w:tc>
          <w:p>
            <w:pPr>
              <w:spacing w:after="40"/>
            </w:pPr>
            <w:r>
              <w:t xml:space="preserve">Limited clinical detail</w:t>
            </w:r>
          </w:p>
        </w:tc>
      </w:tr>
      <w:tr>
        <w:tc>
          <w:p>
            <w:pPr>
              <w:spacing w:after="40"/>
            </w:pPr>
            <w:r>
              <w:t xml:space="preserve">Disease registries</w:t>
            </w:r>
          </w:p>
        </w:tc>
        <w:tc>
          <w:p>
            <w:pPr>
              <w:spacing w:after="40"/>
            </w:pPr>
            <w:r>
              <w:t xml:space="preserve">Condition-specific</w:t>
            </w:r>
          </w:p>
        </w:tc>
        <w:tc>
          <w:p>
            <w:pPr>
              <w:spacing w:after="40"/>
            </w:pPr>
            <w:r>
              <w:t xml:space="preserve">Curated, detailed</w:t>
            </w:r>
          </w:p>
        </w:tc>
        <w:tc>
          <w:p>
            <w:pPr>
              <w:spacing w:after="40"/>
            </w:pPr>
            <w:r>
              <w:t xml:space="preserve">Periodic</w:t>
            </w:r>
          </w:p>
        </w:tc>
        <w:tc>
          <w:p>
            <w:pPr>
              <w:spacing w:after="40"/>
            </w:pPr>
            <w:r>
              <w:t xml:space="preserve">Narrow scope</w:t>
            </w:r>
          </w:p>
        </w:tc>
      </w:tr>
      <w:tr>
        <w:tc>
          <w:p>
            <w:pPr>
              <w:spacing w:after="40"/>
            </w:pPr>
            <w:r>
              <w:t xml:space="preserve">Social media / patient data</w:t>
            </w:r>
          </w:p>
        </w:tc>
        <w:tc>
          <w:p>
            <w:pPr>
              <w:spacing w:after="40"/>
            </w:pPr>
            <w:r>
              <w:t xml:space="preserve">Self-selected users</w:t>
            </w:r>
          </w:p>
        </w:tc>
        <w:tc>
          <w:p>
            <w:pPr>
              <w:spacing w:after="40"/>
            </w:pPr>
            <w:r>
              <w:t xml:space="preserve">Unstructured text</w:t>
            </w:r>
          </w:p>
        </w:tc>
        <w:tc>
          <w:p>
            <w:pPr>
              <w:spacing w:after="40"/>
            </w:pPr>
            <w:r>
              <w:t xml:space="preserve">Real-time</w:t>
            </w:r>
          </w:p>
        </w:tc>
        <w:tc>
          <w:p>
            <w:pPr>
              <w:spacing w:after="40"/>
            </w:pPr>
            <w:r>
              <w:t xml:space="preserve">High noise, low precision</w:t>
            </w:r>
          </w:p>
        </w:tc>
      </w:tr>
    </w:tbl>
    <w:p>
      <w:pPr>
        <w:pStyle w:val="Normal"/>
      </w:pPr>
    </w:p>
    <w:p>
      <w:pPr>
        <w:pStyle w:val="Heading2"/>
      </w:pPr>
      <w:r>
        <w:t xml:space="preserve">8.2.2 Disproportionality Analysis and Its Limits</w:t>
      </w:r>
    </w:p>
    <w:p>
      <w:pPr>
        <w:pStyle w:val="Normal"/>
      </w:pPr>
      <w:r>
        <w:t xml:space="preserve">The statistical workhorse of spontaneous report analysis is disproportionality analysis, which asks whether a particular drug–event pair is reported more frequently than would be expected if the drug and the event were statistically independent [32]. Measures such as the proportional reporting ratio, the reporting odds ratio, the information component derived from Bayesian confidence propagation neural networks, and the empirical Bayes geometric mean have all been applied to large safety databases to flag pairs worthy of closer scrutiny [33]. These methods are computationally efficient, scale to millions of report–event combinations, and are effective at generating hypotheses. However, they inherit all the biases of the underlying spontaneous data and cannot, on their own, establish causation; a strong disproportionality signal may reflect nothing more than intense media coverage or a reporting artefact [34]. When the same logic is transposed to observational EHR and claims data, naive disproportionality becomes even more precarious, because exposure and outcome are embedded in complex clinical trajectories shaped by indication, comorbidity, disease severity, and healthcare-seeking behaviour [35]. Signals emerging from such data must therefore be interpreted with explicit attention to the mechanisms that could generate spurious associations.</w:t>
      </w:r>
    </w:p>
    <w:p>
      <w:pPr>
        <w:pStyle w:val="Heading2"/>
      </w:pPr>
      <w:r>
        <w:t xml:space="preserve">8.2.3 Machine Learning for Signal Detection in Observational Data</w:t>
      </w:r>
    </w:p>
    <w:p>
      <w:pPr>
        <w:pStyle w:val="Normal"/>
      </w:pPr>
      <w:r>
        <w:t xml:space="preserve">Machine learning extends signal detection well beyond simple ratios by modelling the high-dimensional, temporal structure of longitudinal health data. Supervised models can learn to distinguish true safety signals from spurious associations using features derived from temporal patterns, sequences of concomitant medications, laboratory trajectories, and diagnostic histories, capturing interactions that a single summary statistic ignores [36]. Self-controlled designs, in which each patient serves as their own control across exposed and unexposed time windows, are particularly powerful because they inherently adjust for all time-invariant confounders—including unmeasured ones such as genetics and stable lifestyle factors—and can be operationalised efficiently through machine learning pipelines [37]. Representation learning offers a further advance: by embedding patients, drugs, and diagnoses into dense vector spaces learned from massive EHR corpora, models can capture latent clinical semantics and reveal associations that hand-specified features would never surface [38]. Graph-based methods, which represent the interconnected web of drugs, molecular targets, biological pathways, and phenotypes as a network, have shown particular promise for both predicting and explaining drug–event relationships, because the structure of the graph itself encodes plausible mechanistic routes from exposure to harm [39]. Figure 8.2 depicts a signal detection architecture that combines a distributed real-world data network with a machine learning analytic layer.</w:t>
      </w:r>
    </w:p>
    <w:p>
      <w:pPr>
        <w:pStyle w:val="Normal"/>
      </w:pPr>
      <w:r>
        <w:t xml:space="preserve">It is worth dwelling on why temporal modelling matters so much in this setting. Adverse reactions unfold in time: an exposure precedes an event, often after a characteristic latency, and the plausibility of a causal link depends heavily on this ordering. A model that ignores sequence—treating a patient's record as an unordered bag of codes—discards precisely the information that distinguishes a drug that caused an outcome from one that was merely prescribed to treat its early manifestations. Recurrent and attention-based architectures that consume the ordered event stream can learn these temporal signatures, recognising, for instance, that a laboratory abnormality tends to appear a predictable interval after initiation of a particular therapy [36]. Self-controlled designs exploit the same temporal logic from a different angle, comparing the rate of events during exposed intervals against unexposed intervals within the same individual, and thereby neutralising the stable characteristics that would otherwise confound a between-person comparison [37].</w:t>
      </w:r>
    </w:p>
    <w:p>
      <w:pPr>
        <w:pStyle w:val="Normal"/>
      </w:pPr>
      <w:r>
        <w:t xml:space="preserve">A recurring tension in this area is the trade-off between predictive performance and interpretability. Dense embedding and deep sequence models can achieve strong discrimination, but the latent features they learn are not transparent to human reviewers, which complicates the scientific evaluation of any signal they surface. Graph-based representations offer a partial reconciliation, because a path through a graph of drugs, targets, and phenotypes constitutes a candidate mechanistic explanation that a pharmacologist can inspect and judge [39]. This capacity to yield not merely a prediction but a plausible reason for it is especially prized in pharmacovigilance, where a signal accompanied by a coherent biological narrative is far more actionable than an unexplained statistical association.</w:t>
      </w:r>
    </w:p>
    <w:p>
      <w:pPr>
        <w:pStyle w:val="FigureImage"/>
      </w:pPr>
      <w:r>
        <w:drawing>
          <wp:inline xmlns:wp="http://schemas.openxmlformats.org/drawingml/2006/wordprocessingDrawing" distT="0" distB="0" distL="0" distR="0">
            <wp:extent cx="5486400" cy="3305907"/>
            <wp:effectExtent l="0" t="0" r="0" b="0"/>
            <wp:docPr id="1002" name="Figure_8_2_Signal_Detection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8_2_Signal_Detection_Architecture.png"/>
                    <pic:cNvPicPr/>
                  </pic:nvPicPr>
                  <pic:blipFill>
                    <a:blip xmlns:r="http://schemas.openxmlformats.org/officeDocument/2006/relationships" r:embed="rIdImg2"/>
                    <a:stretch>
                      <a:fillRect/>
                    </a:stretch>
                  </pic:blipFill>
                  <pic:spPr>
                    <a:xfrm>
                      <a:off x="0" y="0"/>
                      <a:ext cx="5486400" cy="3305907"/>
                    </a:xfrm>
                    <a:prstGeom prst="rect">
                      <a:avLst/>
                    </a:prstGeom>
                  </pic:spPr>
                </pic:pic>
              </a:graphicData>
            </a:graphic>
          </wp:inline>
        </w:drawing>
      </w:r>
    </w:p>
    <w:p>
      <w:pPr>
        <w:pStyle w:val="FigureCaption"/>
      </w:pPr>
      <w:r>
        <w:t xml:space="preserve">Figure 8.2: Signal detection architecture integrating a distributed real-world data network standardised through a common data model with a machine learning analytic layer.</w:t>
      </w:r>
    </w:p>
    <w:p>
      <w:pPr>
        <w:pStyle w:val="Heading2"/>
      </w:pPr>
      <w:r>
        <w:t xml:space="preserve">8.2.4 Confounding, Causality, and the Discipline of Inference</w:t>
      </w:r>
    </w:p>
    <w:p>
      <w:pPr>
        <w:pStyle w:val="Normal"/>
      </w:pPr>
      <w:r>
        <w:t xml:space="preserve">The central scientific challenge of RWD-based pharmacovigilance is distinguishing genuine causal effects from confounded associations. Patients who receive a drug differ systematically from those who do not, and these differences—confounding by indication being the most notorious—can manufacture spurious safety signals or, just as dangerously, mask real ones [40]. Sophisticated causal inference methods have been adapted to meet this challenge. Propensity score techniques balance measured covariates between exposed and unexposed groups so that the two become comparable, while high-dimensional propensity scores use algorithms to select and adjust for large numbers of empirically derived proxy confounders that no analyst would think to specify by hand [41]. Instrumental variable approaches, negative control outcomes, empirical calibration of p-values, and target trial emulation frameworks further strengthen causal claims when they are applied with appropriate care [42]. Machine learning contributes doubly robust estimators and flexible modelling of both the exposure and the outcome processes, offering protection against certain forms of model misspecification. Yet no algorithm can conjure adjustment for truly unmeasured confounders, and analysts must remain vigilant against the false confidence that sophisticated models can inspire—an elaborate pipeline applied to biased data yields biased results with greater apparent authority [43]. Rigorous causal thinking, not computational firepower alone, remains the decisive ingredient. Table 8.3 summarises common bias sources in observational pharmacovigilance and the analytic strategies used to mitigate them.</w:t>
      </w:r>
    </w:p>
    <w:p>
      <w:pPr>
        <w:pStyle w:val="Normal"/>
      </w:pPr>
      <w:r>
        <w:t xml:space="preserve">Negative control outcomes deserve particular emphasis because they offer an empirical check on the credibility of an entire analytic pipeline. The logic is elegant: one assembles a set of drug–outcome pairs for which no causal relationship is biologically plausible, then runs them through the same analysis used for the signal of interest. If the pipeline reports strong "effects" for these controls—effects that cannot be real—it reveals residual bias in the method itself, and the distribution of these spurious estimates can be used to calibrate the results for genuine questions [35]. This kind of empirical calibration transforms causal inference from an act of faith in one's adjustment strategy into a measurable, auditable property of the analysis. It exemplifies a broader principle that ought to govern AI in pharmacovigilance: wherever possible, build in mechanisms that expose the method's own errors, rather than trusting that sophistication guarantees correctness [43]. Machine learning, for all its power to model complex relationships, does not exempt the analyst from this discipline; if anything, the opacity of complex models makes such external checks more necessary, not less.</w:t>
      </w:r>
    </w:p>
    <w:p>
      <w:pPr>
        <w:pStyle w:val="TableCaption"/>
      </w:pPr>
      <w:r>
        <w:t xml:space="preserve">Table 8.3: Common bias sources in observational pharmacovigilance and mitigation strategies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Bias Source</w:t>
            </w:r>
          </w:p>
        </w:tc>
        <w:tc>
          <w:tcPr>
            <w:shd w:val="clear" w:color="auto" w:fill="D9E2F3"/>
          </w:tcPr>
          <w:p>
            <w:pPr>
              <w:jc w:val="center"/>
            </w:pPr>
            <w:r>
              <w:rPr>
                <w:b/>
              </w:rPr>
              <w:t xml:space="preserve">Description</w:t>
            </w:r>
          </w:p>
        </w:tc>
        <w:tc>
          <w:tcPr>
            <w:shd w:val="clear" w:color="auto" w:fill="D9E2F3"/>
          </w:tcPr>
          <w:p>
            <w:pPr>
              <w:jc w:val="center"/>
            </w:pPr>
            <w:r>
              <w:rPr>
                <w:b/>
              </w:rPr>
              <w:t xml:space="preserve">Mitigation Strategy</w:t>
            </w:r>
          </w:p>
        </w:tc>
      </w:tr>
      <w:tr>
        <w:tc>
          <w:p>
            <w:pPr>
              <w:spacing w:after="40"/>
            </w:pPr>
            <w:r>
              <w:t xml:space="preserve">Confounding by indication</w:t>
            </w:r>
          </w:p>
        </w:tc>
        <w:tc>
          <w:p>
            <w:pPr>
              <w:spacing w:after="40"/>
            </w:pPr>
            <w:r>
              <w:t xml:space="preserve">Drug prescribed for reason linked to outcome</w:t>
            </w:r>
          </w:p>
        </w:tc>
        <w:tc>
          <w:p>
            <w:pPr>
              <w:spacing w:after="40"/>
            </w:pPr>
            <w:r>
              <w:t xml:space="preserve">Propensity scores, active comparators</w:t>
            </w:r>
          </w:p>
        </w:tc>
      </w:tr>
      <w:tr>
        <w:tc>
          <w:p>
            <w:pPr>
              <w:spacing w:after="40"/>
            </w:pPr>
            <w:r>
              <w:t xml:space="preserve">Unmeasured confounding</w:t>
            </w:r>
          </w:p>
        </w:tc>
        <w:tc>
          <w:p>
            <w:pPr>
              <w:spacing w:after="40"/>
            </w:pPr>
            <w:r>
              <w:t xml:space="preserve">Relevant covariates absent from data</w:t>
            </w:r>
          </w:p>
        </w:tc>
        <w:tc>
          <w:p>
            <w:pPr>
              <w:spacing w:after="40"/>
            </w:pPr>
            <w:r>
              <w:t xml:space="preserve">High-dimensional proxies, negative controls</w:t>
            </w:r>
          </w:p>
        </w:tc>
      </w:tr>
      <w:tr>
        <w:tc>
          <w:p>
            <w:pPr>
              <w:spacing w:after="40"/>
            </w:pPr>
            <w:r>
              <w:t xml:space="preserve">Immortal time bias</w:t>
            </w:r>
          </w:p>
        </w:tc>
        <w:tc>
          <w:p>
            <w:pPr>
              <w:spacing w:after="40"/>
            </w:pPr>
            <w:r>
              <w:t xml:space="preserve">Misclassified exposure time windows</w:t>
            </w:r>
          </w:p>
        </w:tc>
        <w:tc>
          <w:p>
            <w:pPr>
              <w:spacing w:after="40"/>
            </w:pPr>
            <w:r>
              <w:t xml:space="preserve">Correct time-anchoring, self-controlled designs</w:t>
            </w:r>
          </w:p>
        </w:tc>
      </w:tr>
      <w:tr>
        <w:tc>
          <w:p>
            <w:pPr>
              <w:spacing w:after="40"/>
            </w:pPr>
            <w:r>
              <w:t xml:space="preserve">Selection bias</w:t>
            </w:r>
          </w:p>
        </w:tc>
        <w:tc>
          <w:p>
            <w:pPr>
              <w:spacing w:after="40"/>
            </w:pPr>
            <w:r>
              <w:t xml:space="preserve">Non-representative study population</w:t>
            </w:r>
          </w:p>
        </w:tc>
        <w:tc>
          <w:p>
            <w:pPr>
              <w:spacing w:after="40"/>
            </w:pPr>
            <w:r>
              <w:t xml:space="preserve">Careful cohort definition, sensitivity analysis</w:t>
            </w:r>
          </w:p>
        </w:tc>
      </w:tr>
      <w:tr>
        <w:tc>
          <w:p>
            <w:pPr>
              <w:spacing w:after="40"/>
            </w:pPr>
            <w:r>
              <w:t xml:space="preserve">Protopathic bias</w:t>
            </w:r>
          </w:p>
        </w:tc>
        <w:tc>
          <w:p>
            <w:pPr>
              <w:spacing w:after="40"/>
            </w:pPr>
            <w:r>
              <w:t xml:space="preserve">Early disease symptoms trigger prescribing</w:t>
            </w:r>
          </w:p>
        </w:tc>
        <w:tc>
          <w:p>
            <w:pPr>
              <w:spacing w:after="40"/>
            </w:pPr>
            <w:r>
              <w:t xml:space="preserve">Lag periods, target trial emulation</w:t>
            </w:r>
          </w:p>
        </w:tc>
      </w:tr>
    </w:tbl>
    <w:p>
      <w:pPr>
        <w:pStyle w:val="Normal"/>
      </w:pPr>
    </w:p>
    <w:p>
      <w:pPr>
        <w:pStyle w:val="Heading2"/>
      </w:pPr>
      <w:r>
        <w:t xml:space="preserve">8.2.5 Data Interoperability and Common Data Models</w:t>
      </w:r>
    </w:p>
    <w:p>
      <w:pPr>
        <w:pStyle w:val="Normal"/>
      </w:pPr>
      <w:r>
        <w:t xml:space="preserve">Real-world data is generated by countless institutions using incompatible database schemas, coding systems, and clinical documentation conventions, which severely impedes pooled analysis and cross-institutional learning. Common data models—most prominently the Observational Medical Outcomes Partnership (OMOP) model maintained by the Observational Health Data Sciences and Informatics community—address this fragmentation by transforming heterogeneous source data into a standardised structure and a shared vocabulary [44]. Once data conforms to a common model, analytic code can be written once and executed unchanged across many databases in a distributed, privacy-preserving network, dramatically enhancing statistical power, reproducibility, and generalisability [45]. This standardisation is a practical precondition for scalable AI in pharmacovigilance: machine learning models that are trained, validated, or externally replicated across federated networks require exactly the semantic consistency that common data models provide, and results obtained on one network can be checked against others without moving sensitive patient data [46]. Figure 8.2 accordingly situates the common data model as the connective layer between raw institutional data and the analytic engine, the point at which local heterogeneity is resolved into a shared representation on which algorithms can operate uniformly.</w:t>
      </w:r>
    </w:p>
    <w:p>
      <w:pPr>
        <w:pStyle w:val="Normal"/>
      </w:pPr>
      <w:r>
        <w:t xml:space="preserve">The transformation of source data into a common model is not a trivial or purely mechanical exercise, and its quality directly determines the trustworthiness of everything built upon it. Mapping idiosyncratic local codes to standardised vocabularies, reconciling differing units and conventions, and handling the pervasive missingness of real-world data all require careful, domain-informed decisions, and errors introduced during this extract-transform-load process propagate silently into every downstream analysis [45]. For this reason, the common-data-model community has invested heavily in data-quality tooling and in characterisation studies that profile each database before it is used for research, so that analysts understand its strengths, gaps, and peculiarities [46]. The broader principle is one that applies throughout AI-driven pharmacovigilance: the sophistication of an analytic method can never compensate for defects in the data it consumes, and disciplined attention to data provenance and quality is the unglamorous foundation on which credible results ultimately rest. A federated network is only as trustworthy as the least well-curated database within it, which makes shared quality standards a collective as well as an individual responsibility.</w:t>
      </w:r>
    </w:p>
    <w:p>
      <w:pPr>
        <w:pStyle w:val="Heading1"/>
      </w:pPr>
      <w:r>
        <w:t xml:space="preserve">8.3 Predictive Pharmacovigilance and Post-Marketing Drug Safety</w:t>
      </w:r>
    </w:p>
    <w:p>
      <w:pPr>
        <w:pStyle w:val="Heading2"/>
      </w:pPr>
      <w:r>
        <w:t xml:space="preserve">8.3.1 From Reactive Detection to Proactive Prediction</w:t>
      </w:r>
    </w:p>
    <w:p>
      <w:pPr>
        <w:pStyle w:val="Normal"/>
      </w:pPr>
      <w:r>
        <w:t xml:space="preserve">The methods discussed so far are, at their core, detective: they identify safety signals after adverse events have already occurred and been recorded somewhere in the data. Predictive pharmacovigilance seeks to move decisively upstream, forecasting which drugs, which patients, or which drug combinations are likely to produce harm before that harm materialises at scale [47]. This proactive orientation aligns with a broader shift in regulatory science toward lifecycle-based benefit–risk management, in which the safety profile of a product is continuously reassessed from early development through the entire post-marketing period rather than treated as a fixed determination made once at the moment of approval. In this framing, prediction and detection are not rivals but complementary functions: predictions guide where to look, and detection confirms or refutes what prediction anticipated.</w:t>
      </w:r>
    </w:p>
    <w:p>
      <w:pPr>
        <w:pStyle w:val="Normal"/>
      </w:pPr>
      <w:r>
        <w:t xml:space="preserve">The promise of prediction must, however, be weighed against its inherent uncertainty. Forecasting harm before it occurs is intrinsically harder than recognising it after the fact, and predictive systems will inevitably generate both false alarms and missed events. The appropriate response is not to abandon prediction but to calibrate expectations and to design around this uncertainty: predictions are best used to allocate attention and monitoring intensity rather than to make irreversible decisions, and they should be accompanied by honest quantification of their own reliability [47]. Used in this spirit, predictive pharmacovigilance functions as an early-warning system that tilts the odds toward timely intervention, rather than as an oracle that claims to foresee harm with certainty. The measure of its success is not perfect foresight, which is unattainable, but a demonstrable improvement over the reactive status quo in how quickly and how surely genuine risks are recognised and addressed.</w:t>
      </w:r>
    </w:p>
    <w:p>
      <w:pPr>
        <w:pStyle w:val="Heading2"/>
      </w:pPr>
      <w:r>
        <w:t xml:space="preserve">8.3.2 Predicting Adverse Reactions from Molecular and Biological Data</w:t>
      </w:r>
    </w:p>
    <w:p>
      <w:pPr>
        <w:pStyle w:val="Normal"/>
      </w:pPr>
      <w:r>
        <w:t xml:space="preserve">A rich strand of predictive pharmacovigilance operates before a compound ever reaches a patient, using chemical structure and biological information to anticipate toxicity. Quantitative structure–activity relationship models and their modern deep learning descendants predict interactions between drug molecules and biological targets, including the off-target interactions that underlie many idiosyncratic and dose-dependent adverse reactions [47]. By representing molecules as graphs of atoms and bonds and learning from large bioactivity datasets, these models can flag liabilities such as cardiotoxicity through interaction with cardiac ion channels, hepatotoxicity, or unwanted binding to enzymes and receptors [47]. Systems pharmacology and network-based approaches integrate these molecular predictions with pathway and phenotype knowledge, producing mechanistic hypotheses about how a given exposure might propagate through biological systems to manifest as a clinical adverse event [39]. Although such computational predictions cannot substitute for empirical safety data gathered in trials and in the clinic, they help prioritise which effects to monitor most closely, enrich the biological interpretation of downstream signals, and occasionally explain observations that would otherwise remain puzzling.</w:t>
      </w:r>
    </w:p>
    <w:p>
      <w:pPr>
        <w:pStyle w:val="Normal"/>
      </w:pPr>
      <w:r>
        <w:t xml:space="preserve">The value of molecular prediction is amplified when it is coupled with post-marketing observation in a bidirectional loop. Predictions made from structure and target-binding profiles generate hypotheses about which adverse effects a compound might produce; real-world surveillance then tests those hypotheses against what actually occurs in treated populations; and the resulting empirical observations, in turn, refine and retrain the predictive models. Over many compounds and many cycles, this loop steadily improves the models' ability to anticipate liabilities, converting each product's safety experience into knowledge that benefits the evaluation of future products [47]. Network-based approaches contribute a mechanistic scaffold to this loop, because a predicted off-target interaction that is later corroborated by a clinical signal furnishes not merely a statistical association but a candidate explanation for it, greatly strengthening the case for causality and clarifying which patients might be most at risk [39]. In this way, computational pharmacology and observational pharmacovigilance, historically separate disciplines, are drawn into a single integrated safety science.</w:t>
      </w:r>
    </w:p>
    <w:p>
      <w:pPr>
        <w:pStyle w:val="Normal"/>
      </w:pPr>
      <w:r>
        <w:t xml:space="preserve">Care must nonetheless be taken not to overstate what molecular prediction can deliver. Many of the most consequential adverse reactions—idiosyncratic hepatotoxicity and severe immune-mediated skin reactions among them—arise from complex, incompletely understood interactions between a drug, an individual's biology, and environmental factors that no structural model can fully capture. Predictions in these domains are better regarded as one input among several into a holistic risk assessment than as definitive verdicts, and their limitations should be communicated as clearly as their strengths [47].</w:t>
      </w:r>
    </w:p>
    <w:p>
      <w:pPr>
        <w:pStyle w:val="Heading2"/>
      </w:pPr>
      <w:r>
        <w:t xml:space="preserve">8.3.3 Patient-Level Risk Prediction and Stratification</w:t>
      </w:r>
    </w:p>
    <w:p>
      <w:pPr>
        <w:pStyle w:val="Normal"/>
      </w:pPr>
      <w:r>
        <w:t xml:space="preserve">Beyond the molecule, predictive models increasingly target the individual patient. Drawing on rich EHR and claims histories, machine learning models estimate the probability that a specific patient will experience a particular adverse reaction given their demographics, comorbidities, concomitant medications, laboratory values, genetic profile, and prior clinical trajectory [36]. Such patient-level risk stratification supports a vision of precision pharmacovigilance in which safety is individualised rather than treated as a population average: clinicians can intensify monitoring for high-risk individuals, adjust dosing proactively, or select alternative therapies with more favourable risk profiles [29]. Pharmacogenomic information is especially valuable in this context, because inherited variation in drug-metabolising enzymes and transporters strongly modulates individual susceptibility to many adverse reactions, sometimes converting a standard dose into a toxic one [16]. When these predictions are embedded into clinical decision support systems, they can operate directly at the point of prescribing, translating population-level safety knowledge into concrete, individualised, and actionable guidance delivered at exactly the moment a clinician can act on it [36]. Table 8.4 catalogues representative predictive pharmacovigilance applications together with their principal data inputs and intended outputs.</w:t>
      </w:r>
    </w:p>
    <w:p>
      <w:pPr>
        <w:pStyle w:val="Normal"/>
      </w:pPr>
      <w:r>
        <w:t xml:space="preserve">The clinical utility of patient-level prediction, however, depends on far more than the discriminative accuracy of the underlying model. A model can rank patients by risk with impressive precision yet still fail to improve outcomes if its predictions are poorly calibrated, if they arrive too late to influence a decision, or if they trigger so many alerts that clinicians disengage. Calibration—the property that a predicted probability of ten per cent corresponds to an observed frequency of ten per cent—is essential when predictions are used to make graded decisions such as adjusting a dose or intensifying monitoring, because a miscalibrated model can systematically over- or under-state risk and thereby distort the very decisions it was meant to inform [36]. Equally important is the phenomenon of alert fatigue: decision support that interrupts clinicians too frequently, or with warnings of dubious relevance, is quickly ignored or actively circumvented, so that even accurate warnings lose their effect. Designing predictions that are not only accurate but also well-calibrated, timely, parsimonious, and delivered within the existing clinical workflow is therefore as much a challenge of implementation science and human factors as of machine learning [29]. The most sophisticated risk model delivers no benefit if the clinician it is meant to assist has learned to dismiss it.</w:t>
      </w:r>
    </w:p>
    <w:p>
      <w:pPr>
        <w:pStyle w:val="TableCaption"/>
      </w:pPr>
      <w:r>
        <w:t xml:space="preserve">Table 8.4: Representative predictive pharmacovigilance applications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Application</w:t>
            </w:r>
          </w:p>
        </w:tc>
        <w:tc>
          <w:tcPr>
            <w:shd w:val="clear" w:color="auto" w:fill="D9E2F3"/>
          </w:tcPr>
          <w:p>
            <w:pPr>
              <w:jc w:val="center"/>
            </w:pPr>
            <w:r>
              <w:rPr>
                <w:b/>
              </w:rPr>
              <w:t xml:space="preserve">Primary Data Inputs</w:t>
            </w:r>
          </w:p>
        </w:tc>
        <w:tc>
          <w:tcPr>
            <w:shd w:val="clear" w:color="auto" w:fill="D9E2F3"/>
          </w:tcPr>
          <w:p>
            <w:pPr>
              <w:jc w:val="center"/>
            </w:pPr>
            <w:r>
              <w:rPr>
                <w:b/>
              </w:rPr>
              <w:t xml:space="preserve">Model Output</w:t>
            </w:r>
          </w:p>
        </w:tc>
        <w:tc>
          <w:tcPr>
            <w:shd w:val="clear" w:color="auto" w:fill="D9E2F3"/>
          </w:tcPr>
          <w:p>
            <w:pPr>
              <w:jc w:val="center"/>
            </w:pPr>
            <w:r>
              <w:rPr>
                <w:b/>
              </w:rPr>
              <w:t xml:space="preserve">Intended Use</w:t>
            </w:r>
          </w:p>
        </w:tc>
      </w:tr>
      <w:tr>
        <w:tc>
          <w:p>
            <w:pPr>
              <w:spacing w:after="40"/>
            </w:pPr>
            <w:r>
              <w:t xml:space="preserve">Molecular toxicity prediction</w:t>
            </w:r>
          </w:p>
        </w:tc>
        <w:tc>
          <w:p>
            <w:pPr>
              <w:spacing w:after="40"/>
            </w:pPr>
            <w:r>
              <w:t xml:space="preserve">Chemical structure, bioactivity</w:t>
            </w:r>
          </w:p>
        </w:tc>
        <w:tc>
          <w:p>
            <w:pPr>
              <w:spacing w:after="40"/>
            </w:pPr>
            <w:r>
              <w:t xml:space="preserve">Toxicity liability score</w:t>
            </w:r>
          </w:p>
        </w:tc>
        <w:tc>
          <w:p>
            <w:pPr>
              <w:spacing w:after="40"/>
            </w:pPr>
            <w:r>
              <w:t xml:space="preserve">Prioritise monitoring in development</w:t>
            </w:r>
          </w:p>
        </w:tc>
      </w:tr>
      <w:tr>
        <w:tc>
          <w:p>
            <w:pPr>
              <w:spacing w:after="40"/>
            </w:pPr>
            <w:r>
              <w:t xml:space="preserve">Patient risk stratification</w:t>
            </w:r>
          </w:p>
        </w:tc>
        <w:tc>
          <w:p>
            <w:pPr>
              <w:spacing w:after="40"/>
            </w:pPr>
            <w:r>
              <w:t xml:space="preserve">EHR, comorbidities, genetics</w:t>
            </w:r>
          </w:p>
        </w:tc>
        <w:tc>
          <w:p>
            <w:pPr>
              <w:spacing w:after="40"/>
            </w:pPr>
            <w:r>
              <w:t xml:space="preserve">Individual ADR probability</w:t>
            </w:r>
          </w:p>
        </w:tc>
        <w:tc>
          <w:p>
            <w:pPr>
              <w:spacing w:after="40"/>
            </w:pPr>
            <w:r>
              <w:t xml:space="preserve">Precision monitoring at prescribing</w:t>
            </w:r>
          </w:p>
        </w:tc>
      </w:tr>
      <w:tr>
        <w:tc>
          <w:p>
            <w:pPr>
              <w:spacing w:after="40"/>
            </w:pPr>
            <w:r>
              <w:t xml:space="preserve">Drug–drug interaction prediction</w:t>
            </w:r>
          </w:p>
        </w:tc>
        <w:tc>
          <w:p>
            <w:pPr>
              <w:spacing w:after="40"/>
            </w:pPr>
            <w:r>
              <w:t xml:space="preserve">Interaction DBs, molecular graphs</w:t>
            </w:r>
          </w:p>
        </w:tc>
        <w:tc>
          <w:p>
            <w:pPr>
              <w:spacing w:after="40"/>
            </w:pPr>
            <w:r>
              <w:t xml:space="preserve">Interaction likelihood</w:t>
            </w:r>
          </w:p>
        </w:tc>
        <w:tc>
          <w:p>
            <w:pPr>
              <w:spacing w:after="40"/>
            </w:pPr>
            <w:r>
              <w:t xml:space="preserve">Alert for polypharmacy risk</w:t>
            </w:r>
          </w:p>
        </w:tc>
      </w:tr>
      <w:tr>
        <w:tc>
          <w:p>
            <w:pPr>
              <w:spacing w:after="40"/>
            </w:pPr>
            <w:r>
              <w:t xml:space="preserve">Signal prioritisation</w:t>
            </w:r>
          </w:p>
        </w:tc>
        <w:tc>
          <w:p>
            <w:pPr>
              <w:spacing w:after="40"/>
            </w:pPr>
            <w:r>
              <w:t xml:space="preserve">Statistical + plausibility features</w:t>
            </w:r>
          </w:p>
        </w:tc>
        <w:tc>
          <w:p>
            <w:pPr>
              <w:spacing w:after="40"/>
            </w:pPr>
            <w:r>
              <w:t xml:space="preserve">Priority score</w:t>
            </w:r>
          </w:p>
        </w:tc>
        <w:tc>
          <w:p>
            <w:pPr>
              <w:spacing w:after="40"/>
            </w:pPr>
            <w:r>
              <w:t xml:space="preserve">Triage expert review workload</w:t>
            </w:r>
          </w:p>
        </w:tc>
      </w:tr>
    </w:tbl>
    <w:p>
      <w:pPr>
        <w:pStyle w:val="Normal"/>
      </w:pPr>
    </w:p>
    <w:p>
      <w:pPr>
        <w:pStyle w:val="Heading2"/>
      </w:pPr>
      <w:r>
        <w:t xml:space="preserve">8.3.4 Drug–Drug Interactions and Polypharmacy</w:t>
      </w:r>
    </w:p>
    <w:p>
      <w:pPr>
        <w:pStyle w:val="Normal"/>
      </w:pPr>
      <w:r>
        <w:t xml:space="preserve">Polypharmacy—the concurrent use of multiple medications, increasingly common in ageing populations with several chronic conditions—magnifies the combinatorial space of potential drug–drug interactions far beyond what pre-approval clinical trials can ever evaluate [39]. Because trials typically study one drug at a time in relatively healthy participants, the interactions that emerge when many drugs are combined in complex real patients are frequently discovered only after marketing. Predicting these interactions is a natural fit for machine learning, which can learn from known interaction databases, molecular structural similarity, shared metabolic pathways, and observed co-prescription and co-outcome patterns to anticipate previously undocumented interactions. Graph neural networks are especially well suited to this task, because interactions form a network in which the known properties of one node inform predictions about its neighbours, allowing the model to reason by analogy across the interaction graph [39]. Detecting the adverse consequences of specific drug combinations in real-world data, and predicting them prospectively so that they can be avoided, represents one of the highest-value contributions of AI to contemporary drug safety [30]. Figure 8.3 presents a predictive risk-modelling framework that integrates molecular, patient, and interaction-level features to generate calibrated risk estimates.</w:t>
      </w:r>
    </w:p>
    <w:p>
      <w:pPr>
        <w:pStyle w:val="Normal"/>
      </w:pPr>
      <w:r>
        <w:t xml:space="preserve">The combinatorial explosion inherent in polypharmacy is precisely what makes machine learning indispensable here and traditional methods inadequate. With thousands of marketed drugs, the number of possible pairwise combinations already runs into the millions, and higher-order interactions among three or more drugs push the space beyond any conceivable programme of direct empirical testing. No feasible set of clinical trials could characterise this space; the only tractable route is to learn a model of how interactions arise—from shared metabolic enzymes, competing transporters, overlapping pharmacodynamic effects, and structural similarity—and then use that model to predict which untested combinations are likely to be hazardous [39]. Graph neural networks operationalise this by treating the known interaction landscape as a partially observed network and inferring the missing edges, effectively generalising from documented interactions to plausible undocumented ones [39]. The predictions such models produce are best understood as a prioritised watchlist: combinations flagged as high-risk warrant closer observation in real-world data and, where the stakes justify it, targeted pharmacological study, while the vast majority of combinations that the model deems benign can be deprioritised. This is a characteristic and powerful pattern for AI in drug safety—not replacing empirical confirmation, but focusing scarce confirmatory resources where they are most likely to matter.</w:t>
      </w:r>
    </w:p>
    <w:p>
      <w:pPr>
        <w:pStyle w:val="FigureImage"/>
      </w:pPr>
      <w:r>
        <w:drawing>
          <wp:inline xmlns:wp="http://schemas.openxmlformats.org/drawingml/2006/wordprocessingDrawing" distT="0" distB="0" distL="0" distR="0">
            <wp:extent cx="5486400" cy="3235569"/>
            <wp:effectExtent l="0" t="0" r="0" b="0"/>
            <wp:docPr id="1003" name="Figure_8_3_Predictive_Risk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8_3_Predictive_Risk_Framework.png"/>
                    <pic:cNvPicPr/>
                  </pic:nvPicPr>
                  <pic:blipFill>
                    <a:blip xmlns:r="http://schemas.openxmlformats.org/officeDocument/2006/relationships" r:embed="rIdImg3"/>
                    <a:stretch>
                      <a:fillRect/>
                    </a:stretch>
                  </pic:blipFill>
                  <pic:spPr>
                    <a:xfrm>
                      <a:off x="0" y="0"/>
                      <a:ext cx="5486400" cy="3235569"/>
                    </a:xfrm>
                    <a:prstGeom prst="rect">
                      <a:avLst/>
                    </a:prstGeom>
                  </pic:spPr>
                </pic:pic>
              </a:graphicData>
            </a:graphic>
          </wp:inline>
        </w:drawing>
      </w:r>
    </w:p>
    <w:p>
      <w:pPr>
        <w:pStyle w:val="FigureCaption"/>
      </w:pPr>
      <w:r>
        <w:t xml:space="preserve">Figure 8.3: Predictive risk-modelling framework combining molecular, patient-level, and drug interaction features to produce calibrated risk estimates and signal prioritisation scores.</w:t>
      </w:r>
    </w:p>
    <w:p>
      <w:pPr>
        <w:pStyle w:val="Heading2"/>
      </w:pPr>
      <w:r>
        <w:t xml:space="preserve">8.3.5 Signal Prioritisation and Automated Triage</w:t>
      </w:r>
    </w:p>
    <w:p>
      <w:pPr>
        <w:pStyle w:val="Normal"/>
      </w:pPr>
      <w:r>
        <w:t xml:space="preserve">As detection systems generate ever larger numbers of candidate signals, the limiting resource ceases to be data and becomes expert time for evaluation. A surveillance system that emits thousands of alerts, most of them spurious, can paradoxically be less safe than a quieter one, because genuine signals drown in noise and reviewers lose trust in the alerts. Machine learning can address this by prioritising the workload, scoring candidate signals according to their likely validity and clinical importance so that safety teams focus first on the findings most likely to matter [24]. Such triage models combine statistical strength, biological plausibility, event seriousness, and novelty into a composite priority, and they can be trained on the historical outcomes of prior signal assessments so that they improve as the organisation accumulates experience [25]. Effective prioritisation reduces the risk that a critical signal is lost amid a flood of low-value alerts—a well-recognised failure mode that undermines the credibility and ultimately the safety value of any surveillance system [35]. Figure 8.3 illustrates how prioritisation scores feed into the risk-management decision layer, closing the loop between raw detection and considered action.</w:t>
      </w:r>
    </w:p>
    <w:p>
      <w:pPr>
        <w:pStyle w:val="Normal"/>
      </w:pPr>
      <w:r>
        <w:t xml:space="preserve">Prioritisation models introduce a subtle risk of their own that deserves explicit acknowledgement. Because they are frequently trained on the historical outcomes of past signal evaluations, they can inadvertently learn and perpetuate the blind spots of the humans whose decisions form their training data. If a certain class of signals was historically overlooked or dismissed, a model trained on that history may learn to deprioritise similar signals in the future, quietly institutionalising a past error and rendering it harder to detect precisely because it is now automated [24]. Guarding against this requires deliberate countermeasures: periodically auditing what the prioritisation model tends to rank low, deliberately sampling and reviewing a fraction of low-priority signals to check for missed events, and treating the prioritisation model itself as an object of ongoing evaluation rather than a fixed tool [25]. Prioritisation should sharpen human attention, not narrow it into the grooves worn by past practice.</w:t>
      </w:r>
    </w:p>
    <w:p>
      <w:pPr>
        <w:pStyle w:val="Heading2"/>
      </w:pPr>
      <w:r>
        <w:t xml:space="preserve">8.3.6 Integration into Risk Management and Regulatory Practice</w:t>
      </w:r>
    </w:p>
    <w:p>
      <w:pPr>
        <w:pStyle w:val="Normal"/>
      </w:pPr>
      <w:r>
        <w:t xml:space="preserve">The ultimate purpose of predictive pharmacovigilance is to inform action: label changes, targeted risk-minimisation measures, restricted distribution programmes, direct healthcare-professional communications, or, in extreme cases, market withdrawal. A prediction that never influences a decision has no protective value. Regulators worldwide have signalled cautious openness to AI in safety surveillance while emphasising the enduring need for transparency, robust validation, and clear human accountability [27]. The prevailing expectation, articulated in emerging regulatory guidance, is that AI systems used in pharmacovigilance be explainable to those who rely on them, that their performance be characterised across the relevant subpopulations rather than reported only in aggregate, and that their limitations and appropriate scope of use be clearly documented [16]. Figure 8.4 provides a conceptual map of the AI-augmented pharmacovigilance lifecycle, tracing the flow from multi-source data acquisition through detection, prediction, and prioritisation to risk-management decisions and regulatory reporting, and situating the human and institutional oversight that surrounds each stage.</w:t>
      </w:r>
    </w:p>
    <w:p>
      <w:pPr>
        <w:pStyle w:val="Normal"/>
      </w:pPr>
      <w:r>
        <w:t xml:space="preserve">Regulatory acceptance of AI in this domain is evolving through a deliberately incremental posture that mirrors the risk-based thinking regulators apply to medicines themselves. Applications that assist rather than decide—triaging cases, drafting narratives for human review, or flagging candidate signals for expert adjudication—face a comparatively low barrier, because a human remains firmly in the loop and accountable for the final determination [27]. Applications that would make or materially shape a safety decision with reduced human involvement face a far higher evidentiary bar, demanding rigorous validation, demonstrated robustness across populations, and transparent documentation of limitations [27]. This graduated approach is prudent: it allows the field to accumulate operational experience and build confidence with lower-risk uses before contemplating greater autonomy, and it keeps the locus of accountability unambiguous while the technology matures. Emerging regulatory reflection papers stress that the burden of demonstrating an AI system's fitness for purpose rests with those who deploy it, and that this demonstration must be maintained throughout the system's operational life rather than established once and assumed to persist [16]. Sponsors and regulators are, in effect, learning together how to govern a class of tools whose behaviour depends on data that itself changes over time.</w:t>
      </w:r>
    </w:p>
    <w:p>
      <w:pPr>
        <w:pStyle w:val="FigureImage"/>
      </w:pPr>
      <w:r>
        <w:drawing>
          <wp:inline xmlns:wp="http://schemas.openxmlformats.org/drawingml/2006/wordprocessingDrawing" distT="0" distB="0" distL="0" distR="0">
            <wp:extent cx="5486400" cy="3017520"/>
            <wp:effectExtent l="0" t="0" r="0" b="0"/>
            <wp:docPr id="1004" name="Figure_8_4_PV_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8_4_PV_Lifecycle.png"/>
                    <pic:cNvPicPr/>
                  </pic:nvPicPr>
                  <pic:blipFill>
                    <a:blip xmlns:r="http://schemas.openxmlformats.org/officeDocument/2006/relationships" r:embed="rIdImg4"/>
                    <a:stretch>
                      <a:fillRect/>
                    </a:stretch>
                  </pic:blipFill>
                  <pic:spPr>
                    <a:xfrm>
                      <a:off x="0" y="0"/>
                      <a:ext cx="5486400" cy="3017520"/>
                    </a:xfrm>
                    <a:prstGeom prst="rect">
                      <a:avLst/>
                    </a:prstGeom>
                  </pic:spPr>
                </pic:pic>
              </a:graphicData>
            </a:graphic>
          </wp:inline>
        </w:drawing>
      </w:r>
    </w:p>
    <w:p>
      <w:pPr>
        <w:pStyle w:val="FigureCaption"/>
      </w:pPr>
      <w:r>
        <w:t xml:space="preserve">Figure 8.4: Conceptual map of the AI-augmented pharmacovigilance lifecycle spanning data acquisition, detection, prediction, prioritisation, risk management, and cross-cutting governance.</w:t>
      </w:r>
    </w:p>
    <w:p>
      <w:pPr>
        <w:pStyle w:val="Heading2"/>
      </w:pPr>
      <w:r>
        <w:t xml:space="preserve">8.3.7 Challenges: Interpretability, Bias, Privacy, and Governance</w:t>
      </w:r>
    </w:p>
    <w:p>
      <w:pPr>
        <w:pStyle w:val="Normal"/>
      </w:pPr>
      <w:r>
        <w:t xml:space="preserve">Several cross-cutting challenges condition the responsible use of AI in pharmacovigilance and must be engineered into systems from the outset rather than bolted on afterwards. Interpretability is paramount: a safety decision that cannot be explained is difficult to defend clinically, scientifically, or legally, which has driven strong interest in explainable AI methods that expose the specific factors driving a model's output and allow a human expert to sanity-check the reasoning [12]. Algorithmic bias is an equally serious concern, because models trained on data that under-represents certain populations may systematically overlook safety issues in exactly those groups, thereby amplifying rather than reducing existing health inequities; the harm here is quiet and easily missed precisely because it falls on those already least visible in the data [35]. Data privacy and security constrain how sensitive patient-level information can be used and shared across institutions and borders, motivating privacy-preserving techniques such as federated learning that train models across many sites without ever centralising raw patient data [46]. Finally, robust governance—spanning rigorous model validation, ongoing performance monitoring for drift, version control, documentation, and unambiguous lines of accountability—is essential to sustain trust as these systems migrate from research prototypes into routine, consequential safety operations [45]. Figure 8.4 embeds these governance and oversight functions as a horizontal layer spanning the entire lifecycle, underscoring that they are not afterthoughts but structural prerequisites for legitimacy.</w:t>
      </w:r>
    </w:p>
    <w:p>
      <w:pPr>
        <w:pStyle w:val="Normal"/>
      </w:pPr>
      <w:r>
        <w:t xml:space="preserve">These four challenges are deeply interconnected, and progress on one often depends on progress on the others. Interpretability, for instance, is not merely a matter of user comfort; it is a precondition for detecting bias, because a model whose reasoning is opaque offers no foothold for discovering that it treats certain populations unfairly [12]. Privacy-preserving architectures such as federated learning, while protecting patient data, complicate validation and bias auditing precisely because the data never leaves its source and cannot be inspected centrally, forcing new techniques for evaluating models one has never directly observed operating on raw data [46]. Governance, finally, is the connective tissue that binds the others into a coherent practice: it defines who is accountable when a model errs, how models are versioned and rolled back, how performance is monitored over time, and how the inevitable failures are surfaced, investigated, and remedied rather than concealed [45]. A cautionary lesson from the broader clinical AI literature is that models which perform well in development can fail badly when deployed in settings that differ from their training environment, and that such failures may persist undetected without deliberate external validation and monitoring [45]. Pharmacovigilance, given the stakes involved, cannot afford to learn this lesson the hard way; it must build the monitoring in from the start.</w:t>
      </w:r>
    </w:p>
    <w:p>
      <w:pPr>
        <w:pStyle w:val="Normal"/>
      </w:pPr>
      <w:r>
        <w:t xml:space="preserve">Equity considerations warrant a final word of emphasis. Because safety signals emerge from data, populations that are underrepresented in the data—whether because they have less access to healthcare, are less likely to be included in registries, or communicate in languages poorly served by NLP tools—are at risk of having their adverse experiences systematically underdetected [35]. An intelligent pharmacovigilance system that inherits and amplifies these gaps would deliver its benefits unevenly, protecting the well-represented while leaving the marginalised exposed. Treating equity as a first-class objective—measuring detection performance separately across subpopulations, investing in multilingual and cross-cultural capabilities, and actively seeking out underrepresented voices—is therefore not an optional refinement but a condition of the field fulfilling its fundamental public-health mandate.</w:t>
      </w:r>
    </w:p>
    <w:p>
      <w:pPr>
        <w:pStyle w:val="Heading2"/>
      </w:pPr>
      <w:r>
        <w:t xml:space="preserve">8.3.8 Future Directions</w:t>
      </w:r>
    </w:p>
    <w:p>
      <w:pPr>
        <w:pStyle w:val="Normal"/>
      </w:pPr>
      <w:r>
        <w:t xml:space="preserve">Looking ahead, several trajectories appear both likely and desirable. The integration of genomic, proteomic, metabolomic, and continuous wearable-sensor data will enrich patient-level prediction and enable near-continuous, individualised safety monitoring that adapts as a patient's circumstances change. Generative and agentic AI systems may progressively automate larger portions of the case-processing and signal-evaluation workflow, provided that reliability, traceability, and accountability concerns are satisfactorily addressed and independently verified. Federated and privacy-preserving learning will expand the pool of usable data across institutions and jurisdictions while respecting patient rights and regulatory constraints. Above all, the field is converging on a hybrid vision in which artificial intelligence supplies scale, speed, and pattern discovery, while human experts supply judgement, causal reasoning, contextual wisdom, and ethical stewardship. Realising this vision will require sustained, good-faith collaboration among data scientists, clinicians, regulators, ethicists, and patients themselves, but the potential reward—a drug safety system that is simultaneously faster, more sensitive, more equitable, and genuinely proactive—more than justifies the effort involved.</w:t>
      </w:r>
    </w:p>
    <w:p>
      <w:pPr>
        <w:pStyle w:val="Normal"/>
      </w:pPr>
      <w:r>
        <w:t xml:space="preserve">Two further developments are likely to shape the coming decade. The first is the maturation of standards and shared infrastructure. As common data models, benchmark datasets, and validation protocols become more widely adopted, the field will move from bespoke, one-off implementations toward interoperable components that can be independently evaluated, compared, and improved [46]. This standardisation will lower the barrier to entry, enable meaningful benchmarking of competing methods, and make it far easier to distinguish genuine advances from unreproducible claims—a maturation that every scientific discipline eventually requires. The second is a shift in how success is measured. Early work in AI-driven pharmacovigilance was preoccupied with technical metrics such as classification accuracy on retrospective datasets, but the metric that ultimately matters is impact on patient outcomes: whether these systems detect genuine risks earlier, prevent avoidable harm, and do so equitably across populations. Demonstrating that impact demands prospective evaluation, thoughtfully designed studies, and a willingness to report negative results as candidly as positive ones [45]. As the field embraces this more demanding standard of evidence, artificial intelligence in pharmacovigilance will complete its passage from a promising technical novelty into a mature, accountable, and genuinely protective component of the medicines-safety system on which public health depends.</w:t>
      </w:r>
    </w:p>
    <w:p>
      <w:pPr>
        <w:pStyle w:val="Heading1"/>
      </w:pPr>
      <w:r>
        <w:t xml:space="preserve">8.4 Conclusion</w:t>
      </w:r>
    </w:p>
    <w:p>
      <w:pPr>
        <w:pStyle w:val="Normal"/>
      </w:pPr>
      <w:r>
        <w:t xml:space="preserve">Artificial intelligence is not a peripheral enhancement to pharmacovigilance but a transformative force reshaping its methods, its scope, and its ambitions. Across the three domains examined in this chapter—automated adverse reaction detection, signal detection from electronic health records and real-world data, and predictive post-marketing drug safety—AI directly addresses limitations that constrained the discipline for decades: the labour ceiling on manual case processing, the biases and blind spots of spontaneous reporting, and the fundamentally reactive posture of traditional surveillance. Natural language processing and multimodal models unlock the vast reservoir of unstructured and heterogeneous safety data that manual methods could never exhaust; machine learning applied to observational data enables active, population-scale surveillance with rigorous confounding control; and predictive modelling shifts the discipline from merely detecting harm to anticipating and preventing it.</w:t>
      </w:r>
    </w:p>
    <w:p>
      <w:pPr>
        <w:pStyle w:val="Normal"/>
      </w:pPr>
      <w:r>
        <w:t xml:space="preserve">Yet the same power that makes these methods valuable demands corresponding discipline in their use. Data quality, causal inference, interpretability, bias, privacy, and governance are not obstacles to be waved away but engineering requirements to be built into every system from conception. The evidence assembled throughout this chapter points consistently toward a hybrid model in which AI augments rather than supplants human expertise, and in which transparency and accountability are treated as design constraints rather than optional features to be considered later. Pursued in this spirit—with technical ambition matched by scientific and ethical rigour—intelligent pharmacovigilance promises a future in which patients are protected more swiftly, more comprehensively, and more equitably than has ever before been possible.</w:t>
      </w:r>
    </w:p>
    <w:p>
      <w:pPr>
        <w:pStyle w:val="Heading1"/>
      </w:pPr>
      <w:r>
        <w:t xml:space="preserve">References</w:t>
      </w:r>
    </w:p>
    <w:p>
      <w:pPr>
        <w:pStyle w:val="References"/>
      </w:pPr>
      <w:r>
        <w:t xml:space="preserve">[1] World Health Organization. The Importance of Pharmacovigilance: Safety Monitoring of Medicinal Products. Geneva: WHO Press; 2002.</w:t>
      </w:r>
    </w:p>
    <w:p>
      <w:pPr>
        <w:pStyle w:val="References"/>
      </w:pPr>
      <w:r>
        <w:t xml:space="preserve">[2] Lindquist M. VigiBase, the WHO Global ICSR Database System: Basic Facts. Drug Information Journal. 2008;42(5):409-419.</w:t>
      </w:r>
    </w:p>
    <w:p>
      <w:pPr>
        <w:pStyle w:val="References"/>
      </w:pPr>
      <w:r>
        <w:t xml:space="preserve">[3] Brown EG, Wood L, Wood S. The Medical Dictionary for Regulatory Activities (MedDRA). Drug Safety. 1999;20(2):109-117.</w:t>
      </w:r>
    </w:p>
    <w:p>
      <w:pPr>
        <w:pStyle w:val="References"/>
      </w:pPr>
      <w:r>
        <w:t xml:space="preserve">[4] Ghosh R, Kempf D, Pufko A, et al. Automation Opportunities in Pharmacovigilance: An Industry Survey. Pharmaceutical Medicine. 2020;34(1):7-18.</w:t>
      </w:r>
    </w:p>
    <w:p>
      <w:pPr>
        <w:pStyle w:val="References"/>
      </w:pPr>
      <w:r>
        <w:t xml:space="preserve">[5] Nadkarni PM, Ohno-Machado L, Chapman WW. Natural Language Processing: An Introduction. Journal of the American Medical Informatics Association. 2011;18(5):544-551.</w:t>
      </w:r>
    </w:p>
    <w:p>
      <w:pPr>
        <w:pStyle w:val="References"/>
      </w:pPr>
      <w:r>
        <w:t xml:space="preserve">[6] Friedman C, Alderson PO, Austin JH, et al. A General Natural-Language Text Processor for Clinical Radiology. Journal of the American Medical Informatics Association. 1994;1(2):161-174.</w:t>
      </w:r>
    </w:p>
    <w:p>
      <w:pPr>
        <w:pStyle w:val="References"/>
      </w:pPr>
      <w:r>
        <w:t xml:space="preserve">[7] Chapman WW, Bridewell W, Hanbury P, et al. A Simple Algorithm for Identifying Negated Findings and Diseases in Discharge Summaries. Journal of Biomedical Informatics. 2001;34(5):301-310.</w:t>
      </w:r>
    </w:p>
    <w:p>
      <w:pPr>
        <w:pStyle w:val="References"/>
      </w:pPr>
      <w:r>
        <w:t xml:space="preserve">[8] Uzuner O, South BR, Shen S, DuVall SL. 2010 i2b2/VA Challenge on Concepts, Assertions, and Relations in Clinical Text. Journal of the American Medical Informatics Association. 2011;18(5):552-556.</w:t>
      </w:r>
    </w:p>
    <w:p>
      <w:pPr>
        <w:pStyle w:val="References"/>
      </w:pPr>
      <w:r>
        <w:t xml:space="preserve">[9] Aramaki E, Miura Y, Tonoike M, et al. Extraction of Adverse Drug Effects from Clinical Records. Studies in Health Technology and Informatics. 2010;160:739-743.</w:t>
      </w:r>
    </w:p>
    <w:p>
      <w:pPr>
        <w:pStyle w:val="References"/>
      </w:pPr>
      <w:r>
        <w:t xml:space="preserve">[10] Jagannatha AN, Yu H. Bidirectional RNN for Medical Event Detection in Electronic Health Records. Proceedings of NAACL-HLT. 2016:473-482.</w:t>
      </w:r>
    </w:p>
    <w:p>
      <w:pPr>
        <w:pStyle w:val="References"/>
      </w:pPr>
      <w:r>
        <w:t xml:space="preserve">[11] Lee J, Yoon W, Kim S, et al. BioBERT: A Pre-Trained Biomedical Language Representation Model for Biomedical Text Mining. Bioinformatics. 2020;36(4):1234-1240.</w:t>
      </w:r>
    </w:p>
    <w:p>
      <w:pPr>
        <w:pStyle w:val="References"/>
      </w:pPr>
      <w:r>
        <w:t xml:space="preserve">[12] Alsentzer E, Murphy J, Boag W, et al. Publicly Available Clinical BERT Embeddings. Proceedings of the Clinical NLP Workshop. 2019:72-78.</w:t>
      </w:r>
    </w:p>
    <w:p>
      <w:pPr>
        <w:pStyle w:val="References"/>
      </w:pPr>
      <w:r>
        <w:t xml:space="preserve">[13] Wunnava S, Qin X, Kakar T, et al. Adverse Drug Event Detection from Electronic Health Records Using Hierarchical Recurrent Neural Networks. ACM Transactions on Computing for Healthcare. 2019;1(1):1-19.</w:t>
      </w:r>
    </w:p>
    <w:p>
      <w:pPr>
        <w:pStyle w:val="References"/>
      </w:pPr>
      <w:r>
        <w:t xml:space="preserve">[14] Luo Y, Thompson WK, Herr TM, et al. Natural Language Processing for EHR-Based Pharmacovigilance: A Structured Review. Drug Safety. 2017;40(11):1075-1089.</w:t>
      </w:r>
    </w:p>
    <w:p>
      <w:pPr>
        <w:pStyle w:val="References"/>
      </w:pPr>
      <w:r>
        <w:t xml:space="preserve">[15] Limsopatham N, Collier N. Normalising Medical Concepts in Social Media Texts by Learning Semantic Representation. Proceedings of the Association for Computational Linguistics. 2016:1014-1023.</w:t>
      </w:r>
    </w:p>
    <w:p>
      <w:pPr>
        <w:pStyle w:val="References"/>
      </w:pPr>
      <w:r>
        <w:t xml:space="preserve">[16] Singhal K, Azizi S, Tu T, et al. Large Language Models Encode Clinical Knowledge. Nature. 2023;620(7972):172-180.</w:t>
      </w:r>
    </w:p>
    <w:p>
      <w:pPr>
        <w:pStyle w:val="References"/>
      </w:pPr>
      <w:r>
        <w:t xml:space="preserve">[17] Sarker A, Ginn R, Nikfarjam A, et al. Utilizing Social Media Data for Pharmacovigilance: A Review. Journal of Biomedical Informatics. 2015;54:202-212.</w:t>
      </w:r>
    </w:p>
    <w:p>
      <w:pPr>
        <w:pStyle w:val="References"/>
      </w:pPr>
      <w:r>
        <w:t xml:space="preserve">[18] Golder S, Norman G, Loke YK. Systematic Review on the Prevalence, Frequency and Comparative Value of Adverse Events Data in Social Media. British Journal of Clinical Pharmacology. 2015;80(4):878-888.</w:t>
      </w:r>
    </w:p>
    <w:p>
      <w:pPr>
        <w:pStyle w:val="References"/>
      </w:pPr>
      <w:r>
        <w:t xml:space="preserve">[19] Nikfarjam A, Sarker A, O'Connor K, et al. Pharmacovigilance from Social Media: Mining Adverse Drug Reaction Mentions Using Sequence Labeling with Word Embedding Cluster Features. Journal of the American Medical Informatics Association. 2015;22(3):671-681.</w:t>
      </w:r>
    </w:p>
    <w:p>
      <w:pPr>
        <w:pStyle w:val="References"/>
      </w:pPr>
      <w:r>
        <w:t xml:space="preserve">[20] Huang K, Altosaar J, Ranganath R. ClinicalBERT: Modeling Clinical Notes and Predicting Hospital Readmission. arXiv preprint. 2019;arXiv:1904.05342.</w:t>
      </w:r>
    </w:p>
    <w:p>
      <w:pPr>
        <w:pStyle w:val="References"/>
      </w:pPr>
      <w:r>
        <w:t xml:space="preserve">[21] Acosta JN, Falcone GJ, Rajpurkar P, Topol EJ. Multimodal Biomedical AI. Nature Medicine. 2022;28(9):1773-1784.</w:t>
      </w:r>
    </w:p>
    <w:p>
      <w:pPr>
        <w:pStyle w:val="References"/>
      </w:pPr>
      <w:r>
        <w:t xml:space="preserve">[22] Bhardwaj R, Pilling M, Ross A, et al. Applications of Large Language Models in Pharmacovigilance Case Processing. Drug Safety. 2024;47(3):215-228.</w:t>
      </w:r>
    </w:p>
    <w:p>
      <w:pPr>
        <w:pStyle w:val="References"/>
      </w:pPr>
      <w:r>
        <w:t xml:space="preserve">[23] Ji Z, Lee N, Frieske R, et al. Survey of Hallucination in Natural Language Generation. ACM Computing Surveys. 2023;55(12):1-38.</w:t>
      </w:r>
    </w:p>
    <w:p>
      <w:pPr>
        <w:pStyle w:val="References"/>
      </w:pPr>
      <w:r>
        <w:t xml:space="preserve">[24] Harpaz R, DuMouchel W, Shah NH, et al. Novel Data-Mining Methodologies for Adverse Drug Event Discovery and Analysis. Clinical Pharmacology and Therapeutics. 2012;91(6):1010-1021.</w:t>
      </w:r>
    </w:p>
    <w:p>
      <w:pPr>
        <w:pStyle w:val="References"/>
      </w:pPr>
      <w:r>
        <w:t xml:space="preserve">[25] Bate A, Evans SJ. Quantitative Signal Detection Using Spontaneous ADR Reporting. Pharmacoepidemiology and Drug Safety. 2009;18(6):427-436.</w:t>
      </w:r>
    </w:p>
    <w:p>
      <w:pPr>
        <w:pStyle w:val="References"/>
      </w:pPr>
      <w:r>
        <w:t xml:space="preserve">[26] Comfort S, Perera S, Hudson Z, et al. Sorting Through the Safety Data Haystack: Using Machine Learning to Identify Individual Case Safety Reports in Social-Digital Media. Drug Safety. 2018;41(6):579-590.</w:t>
      </w:r>
    </w:p>
    <w:p>
      <w:pPr>
        <w:pStyle w:val="References"/>
      </w:pPr>
      <w:r>
        <w:t xml:space="preserve">[27] Ball R, Dal Pan G. "Artificial Intelligence" for Pharmacovigilance: Ready for Prime Time? Drug Safety. 2022;45(5):429-438.</w:t>
      </w:r>
    </w:p>
    <w:p>
      <w:pPr>
        <w:pStyle w:val="References"/>
      </w:pPr>
      <w:r>
        <w:t xml:space="preserve">[28] Hazell L, Shakir SA. Under-Reporting of Adverse Drug Reactions: A Systematic Review. Drug Safety. 2006;29(5):385-396.</w:t>
      </w:r>
    </w:p>
    <w:p>
      <w:pPr>
        <w:pStyle w:val="References"/>
      </w:pPr>
      <w:r>
        <w:t xml:space="preserve">[29] Sherman RE, Anderson SA, Dal Pan GJ, et al. Real-World Evidence—What Is It and What Can It Tell Us? New England Journal of Medicine. 2016;375(23):2293-2297.</w:t>
      </w:r>
    </w:p>
    <w:p>
      <w:pPr>
        <w:pStyle w:val="References"/>
      </w:pPr>
      <w:r>
        <w:t xml:space="preserve">[30] Coloma PM, Trifiro G, Patadia V, Sturkenboom M. Postmarketing Safety Surveillance: Where Does Signal Detection Using Electronic Healthcare Records Fit In? Drug Safety. 2013;36(3):183-197.</w:t>
      </w:r>
    </w:p>
    <w:p>
      <w:pPr>
        <w:pStyle w:val="References"/>
      </w:pPr>
      <w:r>
        <w:t xml:space="preserve">[31] Platt R, Brown JS, Robb M, et al. The FDA Sentinel Initiative—An Evolving National Resource. New England Journal of Medicine. 2018;379(22):2091-2093.</w:t>
      </w:r>
    </w:p>
    <w:p>
      <w:pPr>
        <w:pStyle w:val="References"/>
      </w:pPr>
      <w:r>
        <w:t xml:space="preserve">[32] Evans SJ, Waller PC, Davis S. Use of Proportional Reporting Ratios (PRRs) for Signal Generation from Spontaneous Adverse Drug Reaction Reports. Pharmacoepidemiology and Drug Safety. 2001;10(6):483-486.</w:t>
      </w:r>
    </w:p>
    <w:p>
      <w:pPr>
        <w:pStyle w:val="References"/>
      </w:pPr>
      <w:r>
        <w:t xml:space="preserve">[33] Bate A, Lindquist M, Edwards IR, et al. A Bayesian Neural Network Method for Adverse Drug Reaction Signal Generation. European Journal of Clinical Pharmacology. 1998;54(4):315-321.</w:t>
      </w:r>
    </w:p>
    <w:p>
      <w:pPr>
        <w:pStyle w:val="References"/>
      </w:pPr>
      <w:r>
        <w:t xml:space="preserve">[34] DuMouchel W. Bayesian Data Mining in Large Frequency Tables, with an Application to the FDA Spontaneous Reporting System. The American Statistician. 1999;53(3):177-190.</w:t>
      </w:r>
    </w:p>
    <w:p>
      <w:pPr>
        <w:pStyle w:val="References"/>
      </w:pPr>
      <w:r>
        <w:t xml:space="preserve">[35] Schuemie MJ, Ryan PB, DuMouchel W, et al. Interpreting Observational Studies: Why Empirical Calibration Is Needed to Correct p-Values. Statistics in Medicine. 2014;33(2):209-218.</w:t>
      </w:r>
    </w:p>
    <w:p>
      <w:pPr>
        <w:pStyle w:val="References"/>
      </w:pPr>
      <w:r>
        <w:t xml:space="preserve">[36] Reps JM, Schuemie MJ, Suchard MA, et al. Design and Implementation of a Standardized Framework to Generate and Evaluate Patient-Level Prediction Models. Journal of the American Medical Informatics Association. 2018;25(8):969-975.</w:t>
      </w:r>
    </w:p>
    <w:p>
      <w:pPr>
        <w:pStyle w:val="References"/>
      </w:pPr>
      <w:r>
        <w:t xml:space="preserve">[37] Whitaker HJ, Farrington CP, Spiessens B, Musonda P. Tutorial in Biostatistics: The Self-Controlled Case Series Method. Statistics in Medicine. 2006;25(10):1768-1797.</w:t>
      </w:r>
    </w:p>
    <w:p>
      <w:pPr>
        <w:pStyle w:val="References"/>
      </w:pPr>
      <w:r>
        <w:t xml:space="preserve">[38] Choi E, Bahadori MT, Searles E, et al. Multi-Layer Representation Learning for Medical Concepts. Proceedings of the ACM SIGKDD Conference. 2016:1495-1504.</w:t>
      </w:r>
    </w:p>
    <w:p>
      <w:pPr>
        <w:pStyle w:val="References"/>
      </w:pPr>
      <w:r>
        <w:t xml:space="preserve">[39] Zitnik M, Agrawal M, Leskovec J. Modeling Polypharmacy Side Effects with Graph Convolutional Networks. Bioinformatics. 2018;34(13):i457-i466.</w:t>
      </w:r>
    </w:p>
    <w:p>
      <w:pPr>
        <w:pStyle w:val="References"/>
      </w:pPr>
      <w:r>
        <w:t xml:space="preserve">[40] Kyriacou DN, Lewis RJ. Confounding by Indication in Clinical Research. JAMA. 2016;316(17):1818-1819.</w:t>
      </w:r>
    </w:p>
    <w:p>
      <w:pPr>
        <w:pStyle w:val="References"/>
      </w:pPr>
      <w:r>
        <w:t xml:space="preserve">[41] Schneeweiss S, Rassen JA, Glynn RJ, et al. High-Dimensional Propensity Score Adjustment in Studies of Treatment Effects Using Health Care Claims Data. Epidemiology. 2009;20(4):512-522.</w:t>
      </w:r>
    </w:p>
    <w:p>
      <w:pPr>
        <w:pStyle w:val="References"/>
      </w:pPr>
      <w:r>
        <w:t xml:space="preserve">[42] Hernan MA, Robins JM. Using Big Data to Emulate a Target Trial When a Randomized Trial Is Not Available. American Journal of Epidemiology. 2016;183(8):758-764.</w:t>
      </w:r>
    </w:p>
    <w:p>
      <w:pPr>
        <w:pStyle w:val="References"/>
      </w:pPr>
      <w:r>
        <w:t xml:space="preserve">[43] van der Laan MJ, Rose S. Targeted Learning: Causal Inference for Observational and Experimental Data. New York: Springer; 2011.</w:t>
      </w:r>
    </w:p>
    <w:p>
      <w:pPr>
        <w:pStyle w:val="References"/>
      </w:pPr>
      <w:r>
        <w:t xml:space="preserve">[44] Hripcsak G, Duke JD, Shah NH, et al. Observational Health Data Sciences and Informatics (OHDSI): Opportunities for Observational Researchers. Studies in Health Technology and Informatics. 2015;216:574-578.</w:t>
      </w:r>
    </w:p>
    <w:p>
      <w:pPr>
        <w:pStyle w:val="References"/>
      </w:pPr>
      <w:r>
        <w:t xml:space="preserve">[45] Overhage JM, Ryan PB, Reich CG, et al. Validation of a Common Data Model for Active Safety Surveillance Research. Journal of the American Medical Informatics Association. 2012;19(1):54-60.</w:t>
      </w:r>
    </w:p>
    <w:p>
      <w:pPr>
        <w:pStyle w:val="References"/>
      </w:pPr>
      <w:r>
        <w:t xml:space="preserve">[46] Voss EA, Makadia R, Matcho A, et al. Feasibility and Utility of Applications of the Common Data Model to Multiple, Disparate Observational Health Databases. Journal of the American Medical Informatics Association. 2015;22(3):553-564.</w:t>
      </w:r>
    </w:p>
    <w:p>
      <w:pPr>
        <w:pStyle w:val="References"/>
      </w:pPr>
      <w:r>
        <w:t xml:space="preserve">[47] Basile AO, Yahi A, Tatonetti NP. Artificial Intelligence for Drug Toxicity and Safety. Trends in Pharmacological Sciences. 2019;40(9):624-635.</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8_1_ADR_Detection_Pipeline.png"/>
  <Relationship Id="rIdImg2" Type="http://schemas.openxmlformats.org/officeDocument/2006/relationships/image" Target="media/Figure_8_2_Signal_Detection_Architecture.png"/>
  <Relationship Id="rIdImg3" Type="http://schemas.openxmlformats.org/officeDocument/2006/relationships/image" Target="media/Figure_8_3_Predictive_Risk_Framework.png"/>
  <Relationship Id="rIdImg4" Type="http://schemas.openxmlformats.org/officeDocument/2006/relationships/image" Target="media/Figure_8_4_PV_Lifecycle.png"/>
</Relationships>
</file>