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 xml:space="preserve">Vegetation-Enhanced Infiltration in a Sand-Bedded Seasonal Urban Channel for Managed Aquifer Recharge: A Coupled Experimental and Predictive Study Motivated by the Buddha Nullah, Ludhiana</w:t>
      </w:r>
    </w:p>
    <w:p>
      <w:pPr>
        <w:pStyle w:val="Heading1"/>
      </w:pPr>
      <w:r>
        <w:rPr>
          <w:b/>
          <w:sz w:val="28"/>
          <w:szCs w:val="28"/>
        </w:rPr>
        <w:t xml:space="preserve">Abstract</w:t>
      </w:r>
    </w:p>
    <w:p>
      <w:r>
        <w:t xml:space="preserve">Ludhiana District in Punjab, India, is a chronically groundwater-overexploited "dark zone" where water tables have declined at roughly one metre per year and cumulative declines exceed twenty metres over recent decades, making channel infiltration a critical lever for managed aquifer recharge. The Buddha Nullah, the seasonal sand-bedded watercourse draining Ludhiana city, carries near-zero dry-season flow but conveys intense monsoon pulses over a deep-water-table alluvial vadose zone, so that infiltration is the dominant early-monsoon loss term and a natural target for recharge enhancement. Vegetation is widely recognized to modify both channel hydrodynamics and soil infiltrability, yet these influences have most often been examined in isolation, leaving the coupled control of vegetation-induced flow modification, permeable-bed characteristics, soil hydraulic properties, and antecedent moisture on infiltration from such monsoon-driven channels insufficiently integrated into a generalized predictive framework. This study reports a controlled flume investigation, scaled to Buddha Nullah-representative shallow low-velocity flow, in which infiltration was measured across a factorial combination of four vegetation densities, four discharges, three locally representative bed materials, and four antecedent-moisture states extending to a very dry pre-monsoon condition, with both rigid cylinders and flexible grass-like bundles tested and a secondary experiment isolating stem diameter. The resulting dataset comprises 176 calibration runs and 40 independent validation runs, each with continuously logged instantaneous and cumulative infiltration and cell-resolved along-channel infiltration that distinguishes uniform enhancement from localized hotspots. Results show that vegetation systematically increases both instantaneous and cumulative infiltration, that the enhancement is strongly conditioned by bed hydraulic conductivity, and that it is greatest at very dry antecedent states typical of the pre-monsoon period. A dimensionless analysis identifies the vegetation density parameter, permeability Reynolds number, Froude number, relative submergence, and initial saturation ratio as the dominant controls of normalized infiltration across the low-Froude, low-Reynolds range representative of the channel. A physically based power-law relationship was calibrated and combined with a machine-learning residual correction to form a hybrid model that generalized to the reserved independent validation runs, outperforming Green–Ampt, Horton, standalone regression, and standalone tree-ensemble models. Sensitivity analysis established bed conductivity, antecedent saturation, and vegetation density as the leading controls in that order. The framework yields actionable guidance for siting vegetated recharge patches on the most permeable sand reaches of the Buddha Nullah and for nature-based urban stormwater management.</w:t>
      </w:r>
    </w:p>
    <w:p>
      <w:r>
        <w:t xml:space="preserve">Keywords: managed aquifer recharge; Buddha Nullah; Ludhiana groundwater depletion; vegetated channel infiltration; antecedent moisture; physics-informed machine learning</w:t>
      </w:r>
    </w:p>
    <w:p>
      <w:pPr>
        <w:pStyle w:val="Heading1"/>
      </w:pPr>
      <w:r>
        <w:rPr>
          <w:b/>
          <w:sz w:val="28"/>
          <w:szCs w:val="28"/>
        </w:rPr>
        <w:t xml:space="preserve">1. Introduction</w:t>
      </w:r>
    </w:p>
    <w:p>
      <w:r>
        <w:t xml:space="preserve">Groundwater depletion in north-western India has reached a critical stage, and Ludhiana District in Punjab exemplifies it: a chronically overexploited "dark zone" where abstraction exceeds recharge, water tables have fallen at roughly one metre per year, and cumulative declines exceed twenty metres over recent decades [1]. The aquifer is developed in thick Indo-Gangetic alluvium whose vadose zone is dominated by fine-to-medium sands with discontinuous clay lenses, and pre-monsoon water levels beneath Ludhiana city lie about 10–40 m below ground level, deepening to 20–30 m in surrounding blocks — a deep-water-table system in which water infiltrating from surface channels has a long unsaturated pathway to the aquifer [2]. Reversing this decline requires maximizing recharge wherever surface water is available, and the state actively promotes managed aquifer recharge (MAR) through surface spreading, recharge wells, and riverbank filtration [3]. Because rainfall over Ludhiana (about 605–681 mm annually) is concentrated in the monsoon, the recharge windows are short and intense, so enhancing infiltration during these pulses is of direct practical value [4].</w:t>
      </w:r>
    </w:p>
    <w:p>
      <w:r>
        <w:t xml:space="preserve">The principal watercourse draining Ludhiana city is the Buddha Nullah, a seasonal, sand-bedded, meandering stream that runs near-dry through the pre-monsoon period, conveys intense monsoon flows, and receives industrial and domestic effluent along its urban course [5]. It has a documented history of flooding — including breach events such as the Tajpur breach — while the surrounding city waterlogs after rainfall as small as about 29 mm, symptomatic of insufficient drainage and limited infiltration [6]. For such a channel, dormant in the dry season and flashy in the monsoon, infiltration into the sandy bed is the dominant early-monsoon loss term and thus governs both incidental recharge and flood-peak attenuation [7], so quantifying this flux beneath a flowing, vegetated channel is central to both agendas [8].</w:t>
      </w:r>
    </w:p>
    <w:p>
      <w:r>
        <w:t xml:space="preserve">Channel infiltration differs from ponded or rainfall infiltration because it occurs beneath a moving free surface where the head at the bed, the near-bed velocity, and the local pressure all evolve with the flow. Classical infiltration theory supplies the vocabulary — wetting fronts, sorptivity, saturated conductivity — but not the two-dimensional coupling between open-channel hydraulics and subsurface flow [9]. The bed boundary condition in a flowing channel is an emergent property of the coupled surface–subsurface system, the driving head being the sum of the local depth and a dynamic pressure contribution that both respond to obstructions and vegetation [10]. Vegetation alters this system through two pathways usually studied separately: hydrodynamically, stems impose drag, reduce velocity, raise depth, generate turbulence, and redistribute near-bed pressure [11]; pedologically, roots modify soil structure and infiltrability over longer timescales [12]. Studies of vegetated channels quantify how canopy density controls resistance and turbulence [13], work on permeable beds beneath vegetation shows that bed permeability reshapes the flow field through a permeability Reynolds number [14], and vegetation-restoration studies report enhanced infiltrability from improved soil structure [15]. Because the pathways act on very different timescales, an experiment that fixes the soil while varying the canopy isolates the hydrodynamic contribution, which is most amenable to prediction and remains underdeveloped for monsoon-driven channels [16].</w:t>
      </w:r>
    </w:p>
    <w:p>
      <w:r>
        <w:t xml:space="preserve">The subsurface response is governed by soil hydraulic properties and by the antecedent moisture state that fixes the initial gradient at the wetting front [17]. Antecedent moisture is a well-established control: drier profiles sustain steeper gradients and higher early-time infiltration [18]. This is especially decisive for the Buddha Nullah, where a very dry pre-monsoon bed governs the runoff–infiltration partition at monsoon onset [19], and studies of permeable surfaces likewise identify initial moisture and conductivity as dominant controls [20]. The interaction between these subsurface controls and vegetation forcing is non-additive, because a change in canopy density alters the driving head while the flux it can generate is bounded by the bed's transmissivity; the same canopy behaves differently over a permeable, very dry sand than over a finer, wetter bed [21]. Predictive treatments span three families: Green–Ampt formulations, valued for their few interpretable parameters [22]; Horton-type laws, compact but lacking hydraulic or vegetation forcing [23]; data-driven methods, strong in-sample but poor at extrapolation [24]; and hybrid physics-informed approaches that pair a physical baseline with a learned residual for generalization and interpretability [25].</w:t>
      </w:r>
    </w:p>
    <w:p>
      <w:r>
        <w:t xml:space="preserve">Existing work has largely examined vegetation effects on soil infiltrability or on channel hydrodynamics separately; their coupled influence, together with permeable-bed properties and antecedent moisture, has not been integrated into a generalized dimensionless framework validated against independent conditions — a gap especially acute for monsoon-driven, dry-season-dormant channels such as the Buddha Nullah [26]. No single controlled dataset varies vegetation density, discharge, bed material, and antecedent moisture together at channel-relevant scales, with spatially resolved infiltration and a transferable model [27]. This study therefore quantifies the influence of vegetation density and configuration on infiltration; determines the coupled effects of discharge, slope, conductivity, antecedent moisture, and vegetation descriptors; identifies the dominant dimensionless parameters; develops a generalized predictive model; and validates it against independent conditions, with explicit interpretation for Buddha Nullah recharge and urban flood mitigation [28]. Five hypotheses are tested: H1, vegetation density modifies the near-bed field and thereby infiltration flux; H2, the vegetation effect depends on soil conductivity; H3, it differs across antecedent-moisture states, including the very dry pre-monsoon condition; H4, a dimensionless combination of parameters predicts normalized infiltration across conditions; and H5, a hybrid physical–data-driven model generalizes better than empirical regression alone [29].</w:t>
      </w:r>
    </w:p>
    <w:p>
      <w:pPr>
        <w:pStyle w:val="Heading1"/>
      </w:pPr>
      <w:r>
        <w:rPr>
          <w:b/>
          <w:sz w:val="28"/>
          <w:szCs w:val="28"/>
        </w:rPr>
        <w:t xml:space="preserve">2. Materials and Methods</w:t>
      </w:r>
    </w:p>
    <w:p>
      <w:r>
        <w:t xml:space="preserve">Experiments were conducted in a recirculating tilting flume 6.0 m long and 0.40 m wide with glass sidewalls and an adjustable bed slope, with a honeycomb inlet and a downstream tailgate producing uniform, steady approach flow; discharge was supplied by a calibrated pump and metered by an electromagnetic flow meter, and the free surface was controlled to establish quasi-uniform flow over the test reach [30]. A 2.0 m permeable-bed test section was installed mid-flume with its surface flush with the upstream and downstream fixed beds to avoid a bed-elevation step, following practice for surface–subsurface exchange experiments [31]. The overall configuration, including the vegetation zone and the infiltration collection system, is summarized in Figure 1. The permeable test section consisted of a drainage tray subdivided into isolated collection cells, each sealed laterally and drained independently so that water infiltrating above a given cell was routed to a dedicated load-cell reservoir; the tray was packed in lifts to a target bulk density, saturated slowly from below to expel entrapped air, then drained to the prescribed antecedent state, with periodic constant-head checks confirming that the packed conductivity had not drifted through fines migration or compaction over the campaign [32]. To emulate the deep-water-table alluvial vadose zone of Ludhiana, the tray drained freely to atmosphere at its base rather than to a shallow perched table, so that infiltration was gravity-drained through a long unsaturated pathway; sidewall sealing and cell isolation kept lateral leakage negligible, so that the measured cell fluxes could be attributed to the bed area directly above each cell and the along-channel infiltration could be resolved rather than only the reach-integrated loss, as depicted in Figure 1 [31].</w:t>
      </w:r>
    </w:p>
    <w:p/>
    <w:p>
      <w:pPr>
        <w:jc w:val="center"/>
      </w:pPr>
      <w:r>
        <w:drawing>
          <wp:inline distT="0" distB="0" distL="0" distR="0">
            <wp:extent cx="5715000" cy="3556000"/>
            <wp:effectExtent l="0" t="0" r="0" b="0"/>
            <wp:docPr id="101" name="Pict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101"/>
                    <pic:cNvPicPr/>
                  </pic:nvPicPr>
                  <pic:blipFill>
                    <a:blip r:embed="101"/>
                    <a:stretch>
                      <a:fillRect/>
                    </a:stretch>
                  </pic:blipFill>
                  <pic:spPr>
                    <a:xfrm>
                      <a:off x="0" y="0"/>
                      <a:ext cx="5715000" cy="3556000"/>
                    </a:xfrm>
                    <a:prstGeom prst="rect">
                      <a:avLst/>
                    </a:prstGeom>
                  </pic:spPr>
                </pic:pic>
              </a:graphicData>
            </a:graphic>
          </wp:inline>
        </w:drawing>
      </w:r>
    </w:p>
    <w:p>
      <w:pPr>
        <w:jc w:val="center"/>
      </w:pPr>
      <w:r>
        <w:rPr>
          <w:i/>
          <w:sz w:val="18"/>
          <w:szCs w:val="18"/>
        </w:rPr>
        <w:t xml:space="preserve">Figure 1. Coupled conceptual framework and recirculating flume with cell-resolved infiltration collection, configured for a deep-water-table alluvial bed.</w:t>
      </w:r>
    </w:p>
    <w:p/>
    <w:p>
      <w:r>
        <w:t xml:space="preserve">Vegetation was represented both by rigid cylindrical stems, retained as a mechanistic control, and by flexible grass-like stem bundles that better represent the grasses, shrubs, and seasonal emergent macrophytes that colonize Ludhiana's drains and seasonal channels; both were mounted in staggered arrays on perforated baseplates that did not obstruct vertical drainage, providing controlled and reproducible frontal-area configurations [33]. The rigid-cylinder cases isolate the hydrodynamic role of vegetation from confounding pedological effects, consistent with the widespread use of rigid canopies in vegetated-flow research, while the flexible cases probe how reconfiguration under flow modifies the enhancement [34]. Vegetation density was defined through the frontal-area density,</w:t>
      </w:r>
    </w:p>
    <w:p>
      <w:pPr>
        <w:jc w:val="center"/>
      </w:pPr>
      <m:oMathPara xmlns:m="http://schemas.openxmlformats.org/officeDocument/2006/math">
        <m:oMath>
          <m:r>
            <m:t xml:space="preserve">λ</m:t>
          </m:r>
          <m:r>
            <m:t xml:space="preserve">=</m:t>
          </m:r>
          <m:f>
            <m:fPr>
              <m:type m:val="bar"/>
            </m:fPr>
            <m:num>
              <m:r>
                <m:t xml:space="preserve">N</m:t>
              </m:r>
              <m:sSub>
                <m:e>
                  <m:r>
                    <m:t xml:space="preserve">A</m:t>
                  </m:r>
                </m:e>
                <m:sub>
                  <m:r>
                    <m:t xml:space="preserve">v</m:t>
                  </m:r>
                </m:sub>
              </m:sSub>
            </m:num>
            <m:den>
              <m:sSub>
                <m:e>
                  <m:r>
                    <m:t xml:space="preserve">A</m:t>
                  </m:r>
                </m:e>
                <m:sub>
                  <m:r>
                    <m:t xml:space="preserve">b</m:t>
                  </m:r>
                </m:sub>
              </m:sSub>
            </m:den>
          </m:f>
          <m:r>
            <m:t xml:space="preserve">=</m:t>
          </m:r>
          <m:f>
            <m:fPr>
              <m:type m:val="bar"/>
            </m:fPr>
            <m:num>
              <m:r>
                <m:t xml:space="preserve">N</m:t>
              </m:r>
              <m:sSub>
                <m:e>
                  <m:r>
                    <m:t xml:space="preserve">d</m:t>
                  </m:r>
                </m:e>
                <m:sub>
                  <m:r>
                    <m:t xml:space="preserve">v</m:t>
                  </m:r>
                </m:sub>
              </m:sSub>
              <m:sSub>
                <m:e>
                  <m:r>
                    <m:t xml:space="preserve">H</m:t>
                  </m:r>
                </m:e>
                <m:sub>
                  <m:r>
                    <m:t xml:space="preserve">v</m:t>
                  </m:r>
                </m:sub>
              </m:sSub>
            </m:num>
            <m:den>
              <m:sSub>
                <m:e>
                  <m:r>
                    <m:t xml:space="preserve">A</m:t>
                  </m:r>
                </m:e>
                <m:sub>
                  <m:r>
                    <m:t xml:space="preserve">b</m:t>
                  </m:r>
                </m:sub>
              </m:sSub>
            </m:den>
          </m:f>
          <m:r>
            <m:t xml:space="preserve">     (1)</m:t>
          </m:r>
        </m:oMath>
      </m:oMathPara>
    </w:p>
    <w:p>
      <w:r>
        <w:t xml:space="preserve">where N is the number of stems, A_v = d_v·H_v is the projected frontal area of one stem of diameter d_v and height H_v, and A_b is the bed area. The associated momentum extraction by the canopy was represented as a quadratic drag force per unit bed area,</w:t>
      </w:r>
    </w:p>
    <w:p>
      <w:pPr>
        <w:jc w:val="center"/>
      </w:pPr>
      <m:oMathPara xmlns:m="http://schemas.openxmlformats.org/officeDocument/2006/math">
        <m:oMath>
          <m:sSub>
            <m:e>
              <m:r>
                <m:t xml:space="preserve">F</m:t>
              </m:r>
            </m:e>
            <m:sub>
              <m:r>
                <m:t xml:space="preserve">D</m:t>
              </m:r>
            </m:sub>
          </m:sSub>
          <m:r>
            <m:t xml:space="preserve">=</m:t>
          </m:r>
          <m:f>
            <m:fPr>
              <m:type m:val="bar"/>
            </m:fPr>
            <m:num>
              <m:r>
                <m:t xml:space="preserve">1</m:t>
              </m:r>
            </m:num>
            <m:den>
              <m:r>
                <m:t xml:space="preserve">2</m:t>
              </m:r>
            </m:den>
          </m:f>
          <m:r>
            <m:t xml:space="preserve">ρ</m:t>
          </m:r>
          <m:sSub>
            <m:e>
              <m:r>
                <m:t xml:space="preserve">C</m:t>
              </m:r>
            </m:e>
            <m:sub>
              <m:r>
                <m:t xml:space="preserve">D</m:t>
              </m:r>
            </m:sub>
          </m:sSub>
          <m:r>
            <m:t xml:space="preserve">a</m:t>
          </m:r>
          <m:sSup>
            <m:e>
              <m:r>
                <m:t xml:space="preserve">U</m:t>
              </m:r>
            </m:e>
            <m:sup>
              <m:r>
                <m:t xml:space="preserve">2</m:t>
              </m:r>
            </m:sup>
          </m:sSup>
          <m:r>
            <m:t xml:space="preserve">h</m:t>
          </m:r>
          <m:r>
            <m:t xml:space="preserve">,</m:t>
          </m:r>
          <m:r>
            <m:t xml:space="preserve">  </m:t>
          </m:r>
          <m:r>
            <m:t xml:space="preserve">a</m:t>
          </m:r>
          <m:r>
            <m:t xml:space="preserve">=</m:t>
          </m:r>
          <m:f>
            <m:fPr>
              <m:type m:val="bar"/>
            </m:fPr>
            <m:num>
              <m:r>
                <m:t xml:space="preserve">λ</m:t>
              </m:r>
            </m:num>
            <m:den>
              <m:sSub>
                <m:e>
                  <m:r>
                    <m:t xml:space="preserve">H</m:t>
                  </m:r>
                </m:e>
                <m:sub>
                  <m:r>
                    <m:t xml:space="preserve">v</m:t>
                  </m:r>
                </m:sub>
              </m:sSub>
            </m:den>
          </m:f>
          <m:r>
            <m:t xml:space="preserve">     (2)</m:t>
          </m:r>
        </m:oMath>
      </m:oMathPara>
    </w:p>
    <w:p>
      <w:r>
        <w:t xml:space="preserve">where ρ is the fluid density, C_D the stem drag coefficient, a the frontal area per unit volume, U the depth-averaged velocity, and h the flow depth; for flexible bundles C_D was treated as flow-dependent to capture streamlining. Four density levels — none, low, medium, and high — were tested with stem geometry held constant in the primary matrix, while a secondary experiment varied stem diameter at fixed density, changing only one geometric variable at a time [29]. The tested vegetation configurations are illustrated in Figure 2, and their geometric characteristics are compiled in Table 1.</w:t>
      </w:r>
    </w:p>
    <w:p/>
    <w:p>
      <w:pPr>
        <w:jc w:val="center"/>
      </w:pPr>
      <w:r>
        <w:drawing>
          <wp:inline distT="0" distB="0" distL="0" distR="0">
            <wp:extent cx="5715000" cy="2539999"/>
            <wp:effectExtent l="0" t="0" r="0" b="0"/>
            <wp:docPr id="102" name="Pict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102"/>
                    <pic:cNvPicPr/>
                  </pic:nvPicPr>
                  <pic:blipFill>
                    <a:blip r:embed="102"/>
                    <a:stretch>
                      <a:fillRect/>
                    </a:stretch>
                  </pic:blipFill>
                  <pic:spPr>
                    <a:xfrm>
                      <a:off x="0" y="0"/>
                      <a:ext cx="5715000" cy="2539999"/>
                    </a:xfrm>
                    <a:prstGeom prst="rect">
                      <a:avLst/>
                    </a:prstGeom>
                  </pic:spPr>
                </pic:pic>
              </a:graphicData>
            </a:graphic>
          </wp:inline>
        </w:drawing>
      </w:r>
    </w:p>
    <w:p>
      <w:pPr>
        <w:jc w:val="center"/>
      </w:pPr>
      <w:r>
        <w:rPr>
          <w:i/>
          <w:sz w:val="18"/>
          <w:szCs w:val="18"/>
        </w:rPr>
        <w:t xml:space="preserve">Figure 2. Tested vegetation configurations at fixed stem geometry; frontal-area density increases from bare to high (rigid cylinders and flexible bundles).</w:t>
      </w:r>
    </w:p>
    <w:p/>
    <w:p/>
    <w:p>
      <w:r>
        <w:rPr>
          <w:b/>
          <w:sz w:val="18"/>
          <w:szCs w:val="18"/>
        </w:rPr>
        <w:t xml:space="preserve">Table 1. Physical properties of the locally representative (Indo-Gangetic alluvium) bed materials and geometric characteristics of the vegetation elements. A discontinuous silty/clayey lens variant represents the lenticular heterogeneity of the Ludhiana vadose zone.</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1872"/>
        <w:gridCol w:w="1872"/>
        <w:gridCol w:w="1872"/>
        <w:gridCol w:w="1872"/>
        <w:gridCol w:w="1872"/>
      </w:tblGrid>
      <w:tr>
        <w:trPr>
          <w:tblHeader/>
        </w:trPr>
        <w:tc>
          <w:tcPr>
            <w:tcW w:w="1872" w:type="dxa"/>
            <w:tcBorders>
              <w:top w:val="single" w:sz="4" w:color="808080"/>
              <w:bottom w:val="single" w:sz="4" w:color="808080"/>
              <w:left w:val="single" w:sz="4" w:color="808080"/>
              <w:right w:val="single" w:sz="4" w:color="808080"/>
            </w:tcBorders>
          </w:tcPr>
          <w:p>
            <w:pPr>
              <w:spacing w:after="20"/>
            </w:pPr>
            <w:r>
              <w:rPr>
                <w:sz w:val="18"/>
                <w:szCs w:val="18"/>
                <w:b/>
              </w:rPr>
              <w:t xml:space="preserve">Property</w:t>
            </w:r>
          </w:p>
        </w:tc>
        <w:tc>
          <w:tcPr>
            <w:tcW w:w="1872" w:type="dxa"/>
            <w:tcBorders>
              <w:top w:val="single" w:sz="4" w:color="808080"/>
              <w:bottom w:val="single" w:sz="4" w:color="808080"/>
              <w:left w:val="single" w:sz="4" w:color="808080"/>
              <w:right w:val="single" w:sz="4" w:color="808080"/>
            </w:tcBorders>
          </w:tcPr>
          <w:p>
            <w:pPr>
              <w:spacing w:after="20"/>
            </w:pPr>
            <w:r>
              <w:rPr>
                <w:sz w:val="18"/>
                <w:szCs w:val="18"/>
                <w:b/>
              </w:rPr>
              <w:t xml:space="preserve">Fine sand</w:t>
            </w:r>
          </w:p>
        </w:tc>
        <w:tc>
          <w:tcPr>
            <w:tcW w:w="1872" w:type="dxa"/>
            <w:tcBorders>
              <w:top w:val="single" w:sz="4" w:color="808080"/>
              <w:bottom w:val="single" w:sz="4" w:color="808080"/>
              <w:left w:val="single" w:sz="4" w:color="808080"/>
              <w:right w:val="single" w:sz="4" w:color="808080"/>
            </w:tcBorders>
          </w:tcPr>
          <w:p>
            <w:pPr>
              <w:spacing w:after="20"/>
            </w:pPr>
            <w:r>
              <w:rPr>
                <w:sz w:val="18"/>
                <w:szCs w:val="18"/>
                <w:b/>
              </w:rPr>
              <w:t xml:space="preserve">Medium sand</w:t>
            </w:r>
          </w:p>
        </w:tc>
        <w:tc>
          <w:tcPr>
            <w:tcW w:w="1872" w:type="dxa"/>
            <w:tcBorders>
              <w:top w:val="single" w:sz="4" w:color="808080"/>
              <w:bottom w:val="single" w:sz="4" w:color="808080"/>
              <w:left w:val="single" w:sz="4" w:color="808080"/>
              <w:right w:val="single" w:sz="4" w:color="808080"/>
            </w:tcBorders>
          </w:tcPr>
          <w:p>
            <w:pPr>
              <w:spacing w:after="20"/>
            </w:pPr>
            <w:r>
              <w:rPr>
                <w:sz w:val="18"/>
                <w:szCs w:val="18"/>
                <w:b/>
              </w:rPr>
              <w:t xml:space="preserve">Sandy loam</w:t>
            </w:r>
          </w:p>
        </w:tc>
        <w:tc>
          <w:tcPr>
            <w:tcW w:w="1872" w:type="dxa"/>
            <w:tcBorders>
              <w:top w:val="single" w:sz="4" w:color="808080"/>
              <w:bottom w:val="single" w:sz="4" w:color="808080"/>
              <w:left w:val="single" w:sz="4" w:color="808080"/>
              <w:right w:val="single" w:sz="4" w:color="808080"/>
            </w:tcBorders>
          </w:tcPr>
          <w:p>
            <w:pPr>
              <w:spacing w:after="20"/>
            </w:pPr>
            <w:r>
              <w:rPr>
                <w:sz w:val="18"/>
                <w:szCs w:val="18"/>
                <w:b/>
              </w:rPr>
              <w:t xml:space="preserve">Silty-clay lens</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Saturated conductivity Ks (mm/min)</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3.8</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11.5</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1.6</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0.15</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Porosity n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0.39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0.43</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0.47</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Bulk density (g/cm3)</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1.61</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1.57</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1.49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1.42</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Sand fraction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88</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80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62</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18</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d10 (mm)</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0.16</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0.03</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0.004</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d50 (mm)</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0.38</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0.11</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0.02</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d60 (mm)</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0.23</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0.46</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0.15</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0.03</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Uniformity coefficient Cu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2.6</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2.9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5.0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7.5</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Saturated water content th_s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0.39</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0.43</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0.47</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Residual water content th_r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0.052</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0.045</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0.078</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0.11</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 Vegetation elements ---</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Type</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Rigid cyl.</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Rigid cyl.</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Flexible</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Flexible</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d_v (mm)</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4.0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4.0</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Stem height H_v (mm)</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r>
      <w:tr>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Arrangement</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1872"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r>
    </w:tbl>
    <w:p/>
    <w:p>
      <w:r>
        <w:t xml:space="preserve">Four discharges were imposed, re-scaled to span the Buddha Nullah's dry-season near-zero flow through to monsoon pulse flows rather than a generic laboratory range, producing shallow, low-velocity flow at the low end and moderate-depth flow at the high end; flow depth was measured with point gauges at multiple stations, and depth-averaged velocity was obtained both from continuity and from an acoustic Doppler velocimeter traverse [35]. The depth-averaged streamwise momentum balance for steady flow over the permeable, vegetated reach was written as</w:t>
      </w:r>
    </w:p>
    <w:p>
      <w:pPr>
        <w:jc w:val="center"/>
      </w:pPr>
      <m:oMathPara xmlns:m="http://schemas.openxmlformats.org/officeDocument/2006/math">
        <m:oMath>
          <m:r>
            <m:t xml:space="preserve">ρ</m:t>
          </m:r>
          <m:r>
            <m:t xml:space="preserve">U</m:t>
          </m:r>
          <m:f>
            <m:fPr>
              <m:type m:val="bar"/>
            </m:fPr>
            <m:num>
              <m:r>
                <m:t xml:space="preserve">d</m:t>
              </m:r>
              <m:r>
                <m:t xml:space="preserve">U</m:t>
              </m:r>
            </m:num>
            <m:den>
              <m:r>
                <m:t xml:space="preserve">d</m:t>
              </m:r>
              <m:r>
                <m:t xml:space="preserve">x</m:t>
              </m:r>
            </m:den>
          </m:f>
          <m:r>
            <m:t xml:space="preserve">=</m:t>
          </m:r>
          <m:r>
            <m:t xml:space="preserve">ρ</m:t>
          </m:r>
          <m:r>
            <m:t xml:space="preserve">g</m:t>
          </m:r>
          <m:r>
            <m:t xml:space="preserve">(</m:t>
          </m:r>
          <m:sSub>
            <m:e>
              <m:r>
                <m:t xml:space="preserve">S</m:t>
              </m:r>
            </m:e>
            <m:sub>
              <m:r>
                <m:t xml:space="preserve">0</m:t>
              </m:r>
            </m:sub>
          </m:sSub>
          <m:r>
            <m:t xml:space="preserve">-</m:t>
          </m:r>
          <m:sSub>
            <m:e>
              <m:r>
                <m:t xml:space="preserve">S</m:t>
              </m:r>
            </m:e>
            <m:sub>
              <m:r>
                <m:t xml:space="preserve">f</m:t>
              </m:r>
            </m:sub>
          </m:sSub>
          <m:r>
            <m:t xml:space="preserve">)</m:t>
          </m:r>
          <m:r>
            <m:t xml:space="preserve">-</m:t>
          </m:r>
          <m:f>
            <m:fPr>
              <m:type m:val="bar"/>
            </m:fPr>
            <m:num>
              <m:sSub>
                <m:e>
                  <m:r>
                    <m:t xml:space="preserve">F</m:t>
                  </m:r>
                </m:e>
                <m:sub>
                  <m:r>
                    <m:t xml:space="preserve">D</m:t>
                  </m:r>
                </m:sub>
              </m:sSub>
            </m:num>
            <m:den>
              <m:r>
                <m:t xml:space="preserve">h</m:t>
              </m:r>
            </m:den>
          </m:f>
          <m:r>
            <m:t xml:space="preserve">-</m:t>
          </m:r>
          <m:f>
            <m:fPr>
              <m:type m:val="bar"/>
            </m:fPr>
            <m:num>
              <m:r>
                <m:t xml:space="preserve">ρ</m:t>
              </m:r>
              <m:sSub>
                <m:e>
                  <m:r>
                    <m:t xml:space="preserve">f</m:t>
                  </m:r>
                </m:e>
                <m:sub>
                  <m:r>
                    <m:t xml:space="preserve">i</m:t>
                  </m:r>
                  <m:r>
                    <m:t xml:space="preserve">n</m:t>
                  </m:r>
                  <m:r>
                    <m:t xml:space="preserve">f</m:t>
                  </m:r>
                </m:sub>
              </m:sSub>
              <m:r>
                <m:t xml:space="preserve">U</m:t>
              </m:r>
            </m:num>
            <m:den>
              <m:r>
                <m:t xml:space="preserve">h</m:t>
              </m:r>
            </m:den>
          </m:f>
          <m:r>
            <m:t xml:space="preserve">     (3)</m:t>
          </m:r>
        </m:oMath>
      </m:oMathPara>
    </w:p>
    <w:p>
      <w:r>
        <w:t xml:space="preserve">in which S_0 is the bed slope, S_f the friction slope, F_D the vegetation drag of Eq. (2), and the last term the momentum sink associated with the vertical infiltration flux f_inf leaving the channel through the bed. The bulk bed resistance was closed with a Manning–Strickler relation modified for the canopy,</w:t>
      </w:r>
    </w:p>
    <w:p>
      <w:pPr>
        <w:jc w:val="center"/>
      </w:pPr>
      <m:oMathPara xmlns:m="http://schemas.openxmlformats.org/officeDocument/2006/math">
        <m:oMath>
          <m:sSub>
            <m:e>
              <m:r>
                <m:t xml:space="preserve">S</m:t>
              </m:r>
            </m:e>
            <m:sub>
              <m:r>
                <m:t xml:space="preserve">f</m:t>
              </m:r>
            </m:sub>
          </m:sSub>
          <m:r>
            <m:t xml:space="preserve">=</m:t>
          </m:r>
          <m:f>
            <m:fPr>
              <m:type m:val="bar"/>
            </m:fPr>
            <m:num>
              <m:sSubSup>
                <m:e>
                  <m:r>
                    <m:t xml:space="preserve">n</m:t>
                  </m:r>
                </m:e>
                <m:sub>
                  <m:r>
                    <m:t xml:space="preserve">e</m:t>
                  </m:r>
                </m:sub>
                <m:sup>
                  <m:r>
                    <m:t xml:space="preserve">2</m:t>
                  </m:r>
                </m:sup>
              </m:sSubSup>
              <m:sSup>
                <m:e>
                  <m:r>
                    <m:t xml:space="preserve">U</m:t>
                  </m:r>
                </m:e>
                <m:sup>
                  <m:r>
                    <m:t xml:space="preserve">2</m:t>
                  </m:r>
                </m:sup>
              </m:sSup>
            </m:num>
            <m:den>
              <m:sSup>
                <m:e>
                  <m:r>
                    <m:t xml:space="preserve">h</m:t>
                  </m:r>
                </m:e>
                <m:sup>
                  <m:r>
                    <m:t xml:space="preserve">4</m:t>
                  </m:r>
                  <m:r>
                    <m:t xml:space="preserve">/</m:t>
                  </m:r>
                  <m:r>
                    <m:t xml:space="preserve">3</m:t>
                  </m:r>
                </m:sup>
              </m:sSup>
            </m:den>
          </m:f>
          <m:r>
            <m:t xml:space="preserve">,</m:t>
          </m:r>
          <m:r>
            <m:t xml:space="preserve">  </m:t>
          </m:r>
          <m:sSub>
            <m:e>
              <m:r>
                <m:t xml:space="preserve">n</m:t>
              </m:r>
            </m:e>
            <m:sub>
              <m:r>
                <m:t xml:space="preserve">e</m:t>
              </m:r>
            </m:sub>
          </m:sSub>
          <m:r>
            <m:t xml:space="preserve">=</m:t>
          </m:r>
          <m:sSub>
            <m:e>
              <m:r>
                <m:t xml:space="preserve">n</m:t>
              </m:r>
            </m:e>
            <m:sub>
              <m:r>
                <m:t xml:space="preserve">b</m:t>
              </m:r>
            </m:sub>
          </m:sSub>
          <m:rad>
            <m:radPr>
              <m:degHide m:val="1"/>
            </m:radPr>
            <m:deg/>
            <m:e>
              <m:r>
                <m:t xml:space="preserve">1</m:t>
              </m:r>
              <m:r>
                <m:t xml:space="preserve">+</m:t>
              </m:r>
              <m:f>
                <m:fPr>
                  <m:type m:val="bar"/>
                </m:fPr>
                <m:num>
                  <m:sSub>
                    <m:e>
                      <m:r>
                        <m:t xml:space="preserve">C</m:t>
                      </m:r>
                    </m:e>
                    <m:sub>
                      <m:r>
                        <m:t xml:space="preserve">D</m:t>
                      </m:r>
                    </m:sub>
                  </m:sSub>
                  <m:r>
                    <m:t xml:space="preserve">a</m:t>
                  </m:r>
                  <m:r>
                    <m:t xml:space="preserve">h</m:t>
                  </m:r>
                </m:num>
                <m:den>
                  <m:r>
                    <m:t xml:space="preserve">2</m:t>
                  </m:r>
                  <m:r>
                    <m:t xml:space="preserve">g</m:t>
                  </m:r>
                  <m:sSubSup>
                    <m:e>
                      <m:r>
                        <m:t xml:space="preserve">n</m:t>
                      </m:r>
                    </m:e>
                    <m:sub>
                      <m:r>
                        <m:t xml:space="preserve">b</m:t>
                      </m:r>
                    </m:sub>
                    <m:sup>
                      <m:r>
                        <m:t xml:space="preserve">2</m:t>
                      </m:r>
                    </m:sup>
                  </m:sSubSup>
                  <m:sSup>
                    <m:e>
                      <m:r>
                        <m:t xml:space="preserve">h</m:t>
                      </m:r>
                    </m:e>
                    <m:sup>
                      <m:r>
                        <m:t xml:space="preserve">-</m:t>
                      </m:r>
                      <m:r>
                        <m:t xml:space="preserve">1</m:t>
                      </m:r>
                      <m:r>
                        <m:t xml:space="preserve">/</m:t>
                      </m:r>
                      <m:r>
                        <m:t xml:space="preserve">3</m:t>
                      </m:r>
                    </m:sup>
                  </m:sSup>
                </m:den>
              </m:f>
            </m:e>
          </m:rad>
          <m:r>
            <m:t xml:space="preserve">     (4)</m:t>
          </m:r>
        </m:oMath>
      </m:oMathPara>
    </w:p>
    <w:p>
      <w:r>
        <w:t xml:space="preserve">where n_b is the bare-bed Manning coefficient and n_e the effective (vegetated) coefficient. Quasi-uniform flow was confirmed by matching the water-surface slope to the bed slope within tolerance and by cross-checking the continuity and Doppler velocities, and the reach-averaged energy slope confirmed the expected increase in resistance with vegetation density [30]. The full set of hydraulic parameters and their monsoon-scaled ranges is given in Table 2.</w:t>
      </w:r>
    </w:p>
    <w:p/>
    <w:p>
      <w:r>
        <w:rPr>
          <w:b/>
          <w:sz w:val="18"/>
          <w:szCs w:val="18"/>
        </w:rPr>
        <w:t xml:space="preserve">Table 2. Experimental parameters, factor levels, and monsoon-scaled ranges representative of the Buddha Nullah (dry-season shallow flow to monsoon pulse flow).</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Factor</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Symbol</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Levels</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Range / values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lambda</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 0.6, 1.3, 2.4 % (bare/low/med/high)</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Vegetation type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rigid cylinders; flexible bundles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Discharge (monsoon-scaled)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Q</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0.3 - 6.0 L/s (dry-season to pulse)</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material</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Ks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fine sand / medium sand / sandy loam (+ silt lens)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Antecedent saturation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S_i</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0.12, 0.30, 0.55, 0.80 (incl. very dry)</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slope (primary)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0.0015 (supplementary: 0.0008-0.003)</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Flow depth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15 - 90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Depth-averaged velocity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0.04 - 0.22 m/s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Froude number</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Fr</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0.06 - 0.32 (subcritical)</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(secondary expt.)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d_v</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 6, 8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Run duration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 min</w:t>
            </w:r>
          </w:p>
        </w:tc>
      </w:tr>
    </w:tbl>
    <w:p/>
    <w:p>
      <w:r>
        <w:t xml:space="preserve">Three locally representative bed materials were used to reflect the Indo-Gangetic alluvium of Ludhiana — a fine sand, a medium sand, and a sandy loam — with an additional silty/clayey lens variant packed as a discontinuous layer to represent the lenticular heterogeneity of the local vadose zone; each was characterized for saturated hydraulic conductivity by constant-head permeameter, porosity and bulk density by gravimetric methods, and grain-size distribution by sieving and hydrometer, from which d10, d50, and d60 and the uniformity coefficient were derived [36], while saturated and residual water contents were determined to support the dimensionless treatment of antecedent moisture following standard permeable-media protocols [37]. Antecedent moisture was set by saturating the bed and allowing gravity drainage to a target initial volumetric water content monitored by calibrated soil-moisture probes, establishing four initial saturation ratios — including a very dry level (S_i ≈ 0.1–0.15) representing the long pre-monsoon dry period, in addition to intermediate and wet states — expressed as the effective initial saturation,</w:t>
      </w:r>
    </w:p>
    <w:p>
      <w:pPr>
        <w:jc w:val="center"/>
      </w:pPr>
      <m:oMathPara xmlns:m="http://schemas.openxmlformats.org/officeDocument/2006/math">
        <m:oMath>
          <m:sSub>
            <m:e>
              <m:r>
                <m:t xml:space="preserve">S</m:t>
              </m:r>
            </m:e>
            <m:sub>
              <m:r>
                <m:t xml:space="preserve">i</m:t>
              </m:r>
            </m:sub>
          </m:sSub>
          <m:r>
            <m:t xml:space="preserve">=</m:t>
          </m:r>
          <m:f>
            <m:fPr>
              <m:type m:val="bar"/>
            </m:fPr>
            <m:num>
              <m:sSub>
                <m:e>
                  <m:r>
                    <m:t xml:space="preserve">θ</m:t>
                  </m:r>
                </m:e>
                <m:sub>
                  <m:r>
                    <m:t xml:space="preserve">i</m:t>
                  </m:r>
                </m:sub>
              </m:sSub>
              <m:r>
                <m:t xml:space="preserve">-</m:t>
              </m:r>
              <m:sSub>
                <m:e>
                  <m:r>
                    <m:t xml:space="preserve">θ</m:t>
                  </m:r>
                </m:e>
                <m:sub>
                  <m:r>
                    <m:t xml:space="preserve">r</m:t>
                  </m:r>
                </m:sub>
              </m:sSub>
            </m:num>
            <m:den>
              <m:sSub>
                <m:e>
                  <m:r>
                    <m:t xml:space="preserve">θ</m:t>
                  </m:r>
                </m:e>
                <m:sub>
                  <m:r>
                    <m:t xml:space="preserve">s</m:t>
                  </m:r>
                </m:sub>
              </m:sSub>
              <m:r>
                <m:t xml:space="preserve">-</m:t>
              </m:r>
              <m:sSub>
                <m:e>
                  <m:r>
                    <m:t xml:space="preserve">θ</m:t>
                  </m:r>
                </m:e>
                <m:sub>
                  <m:r>
                    <m:t xml:space="preserve">r</m:t>
                  </m:r>
                </m:sub>
              </m:sSub>
            </m:den>
          </m:f>
          <m:r>
            <m:t xml:space="preserve">,</m:t>
          </m:r>
          <m:r>
            <m:t xml:space="preserve">  </m:t>
          </m:r>
          <m:r>
            <m:t xml:space="preserve">Δ</m:t>
          </m:r>
          <m:r>
            <m:t xml:space="preserve">θ</m:t>
          </m:r>
          <m:r>
            <m:t xml:space="preserve">=</m:t>
          </m:r>
          <m:r>
            <m:t xml:space="preserve">(</m:t>
          </m:r>
          <m:sSub>
            <m:e>
              <m:r>
                <m:t xml:space="preserve">θ</m:t>
              </m:r>
            </m:e>
            <m:sub>
              <m:r>
                <m:t xml:space="preserve">s</m:t>
              </m:r>
            </m:sub>
          </m:sSub>
          <m:r>
            <m:t xml:space="preserve">-</m:t>
          </m:r>
          <m:sSub>
            <m:e>
              <m:r>
                <m:t xml:space="preserve">θ</m:t>
              </m:r>
            </m:e>
            <m:sub>
              <m:r>
                <m:t xml:space="preserve">i</m:t>
              </m:r>
            </m:sub>
          </m:sSub>
          <m:r>
            <m:t xml:space="preserve">)</m:t>
          </m:r>
          <m:r>
            <m:t xml:space="preserve">=</m:t>
          </m:r>
          <m:r>
            <m:t xml:space="preserve">(</m:t>
          </m:r>
          <m:r>
            <m:t xml:space="preserve">1</m:t>
          </m:r>
          <m:r>
            <m:t xml:space="preserve">-</m:t>
          </m:r>
          <m:sSub>
            <m:e>
              <m:r>
                <m:t xml:space="preserve">S</m:t>
              </m:r>
            </m:e>
            <m:sub>
              <m:r>
                <m:t xml:space="preserve">i</m:t>
              </m:r>
            </m:sub>
          </m:sSub>
          <m:r>
            <m:t xml:space="preserve">)</m:t>
          </m:r>
          <m:r>
            <m:t xml:space="preserve">(</m:t>
          </m:r>
          <m:sSub>
            <m:e>
              <m:r>
                <m:t xml:space="preserve">θ</m:t>
              </m:r>
            </m:e>
            <m:sub>
              <m:r>
                <m:t xml:space="preserve">s</m:t>
              </m:r>
            </m:sub>
          </m:sSub>
          <m:r>
            <m:t xml:space="preserve">-</m:t>
          </m:r>
          <m:sSub>
            <m:e>
              <m:r>
                <m:t xml:space="preserve">θ</m:t>
              </m:r>
            </m:e>
            <m:sub>
              <m:r>
                <m:t xml:space="preserve">r</m:t>
              </m:r>
            </m:sub>
          </m:sSub>
          <m:r>
            <m:t xml:space="preserve">)</m:t>
          </m:r>
          <m:r>
            <m:t xml:space="preserve">     (5)</m:t>
          </m:r>
        </m:oMath>
      </m:oMathPara>
    </w:p>
    <w:p>
      <w:r>
        <w:t xml:space="preserve">where θ_i, θ_r, and θ_s are the initial, residual, and saturated volumetric water contents and Δθ is the initial moisture deficit that scales the storable volume ahead of the wetting front [38]; the very dry level was included because it directly controls the runoff–infiltration partition at monsoon onset [39]. Instantaneous infiltration rate and cumulative infiltration were obtained from the collection cells as</w:t>
      </w:r>
    </w:p>
    <w:p>
      <w:pPr>
        <w:jc w:val="center"/>
      </w:pPr>
      <m:oMathPara xmlns:m="http://schemas.openxmlformats.org/officeDocument/2006/math">
        <m:oMath>
          <m:r>
            <m:t xml:space="preserve">f</m:t>
          </m:r>
          <m:r>
            <m:t xml:space="preserve">(</m:t>
          </m:r>
          <m:r>
            <m:t xml:space="preserve">t</m:t>
          </m:r>
          <m:r>
            <m:t xml:space="preserve">)</m:t>
          </m:r>
          <m:r>
            <m:t xml:space="preserve">=</m:t>
          </m:r>
          <m:f>
            <m:fPr>
              <m:type m:val="bar"/>
            </m:fPr>
            <m:num>
              <m:r>
                <m:t xml:space="preserve">1</m:t>
              </m:r>
            </m:num>
            <m:den>
              <m:sSub>
                <m:e>
                  <m:r>
                    <m:t xml:space="preserve">A</m:t>
                  </m:r>
                </m:e>
                <m:sub>
                  <m:r>
                    <m:t xml:space="preserve">b</m:t>
                  </m:r>
                </m:sub>
              </m:sSub>
            </m:den>
          </m:f>
          <m:f>
            <m:fPr>
              <m:type m:val="bar"/>
            </m:fPr>
            <m:num>
              <m:r>
                <m:t xml:space="preserve">d</m:t>
              </m:r>
              <m:sSub>
                <m:e>
                  <m:r>
                    <m:t xml:space="preserve">V</m:t>
                  </m:r>
                </m:e>
                <m:sub>
                  <m:r>
                    <m:t xml:space="preserve">i</m:t>
                  </m:r>
                  <m:r>
                    <m:t xml:space="preserve">n</m:t>
                  </m:r>
                  <m:r>
                    <m:t xml:space="preserve">f</m:t>
                  </m:r>
                </m:sub>
              </m:sSub>
            </m:num>
            <m:den>
              <m:r>
                <m:t xml:space="preserve">d</m:t>
              </m:r>
              <m:r>
                <m:t xml:space="preserve">t</m:t>
              </m:r>
            </m:den>
          </m:f>
          <m:r>
            <m:t xml:space="preserve">     (6)</m:t>
          </m:r>
        </m:oMath>
      </m:oMathPara>
    </w:p>
    <w:p>
      <w:pPr>
        <w:jc w:val="center"/>
      </w:pPr>
      <m:oMathPara xmlns:m="http://schemas.openxmlformats.org/officeDocument/2006/math">
        <m:oMath>
          <m:r>
            <m:t xml:space="preserve">F</m:t>
          </m:r>
          <m:r>
            <m:t xml:space="preserve">(</m:t>
          </m:r>
          <m:r>
            <m:t xml:space="preserve">t</m:t>
          </m:r>
          <m:r>
            <m:t xml:space="preserve">)</m:t>
          </m:r>
          <m:r>
            <m:t xml:space="preserve">=</m:t>
          </m:r>
          <m:f>
            <m:fPr>
              <m:type m:val="bar"/>
            </m:fPr>
            <m:num>
              <m:sSub>
                <m:e>
                  <m:r>
                    <m:t xml:space="preserve">V</m:t>
                  </m:r>
                </m:e>
                <m:sub>
                  <m:r>
                    <m:t xml:space="preserve">i</m:t>
                  </m:r>
                  <m:r>
                    <m:t xml:space="preserve">n</m:t>
                  </m:r>
                  <m:r>
                    <m:t xml:space="preserve">f</m:t>
                  </m:r>
                </m:sub>
              </m:sSub>
            </m:num>
            <m:den>
              <m:sSub>
                <m:e>
                  <m:r>
                    <m:t xml:space="preserve">A</m:t>
                  </m:r>
                </m:e>
                <m:sub>
                  <m:r>
                    <m:t xml:space="preserve">b</m:t>
                  </m:r>
                </m:sub>
              </m:sSub>
            </m:den>
          </m:f>
          <m:r>
            <m:t xml:space="preserve">=</m:t>
          </m:r>
          <m:nary>
            <m:naryPr>
              <m:chr m:val="∫"/>
              <m:limLoc m:val="subSup"/>
            </m:naryPr>
            <m:sub>
              <m:r>
                <m:t xml:space="preserve">0</m:t>
              </m:r>
            </m:sub>
            <m:sup>
              <m:r>
                <m:t xml:space="preserve">t</m:t>
              </m:r>
            </m:sup>
            <m:e>
              <m:r>
                <m:t xml:space="preserve">f</m:t>
              </m:r>
            </m:e>
            %s
          </m:nary>
          <m:r>
            <m:t xml:space="preserve">(</m:t>
          </m:r>
          <m:r>
            <m:t xml:space="preserve">τ</m:t>
          </m:r>
          <m:r>
            <m:t xml:space="preserve">)</m:t>
          </m:r>
          <m:r>
            <m:t xml:space="preserve">d</m:t>
          </m:r>
          <m:r>
            <m:t xml:space="preserve">τ</m:t>
          </m:r>
          <m:r>
            <m:t xml:space="preserve">     (7)</m:t>
          </m:r>
        </m:oMath>
      </m:oMathPara>
    </w:p>
    <w:p>
      <w:r>
        <w:t xml:space="preserve">where V_inf is the infiltrated volume and A_b the wetted bed area [40], and the along-channel infiltration profile was reconstructed from the individual cell fluxes as</w:t>
      </w:r>
    </w:p>
    <w:p>
      <w:pPr>
        <w:jc w:val="center"/>
      </w:pPr>
      <m:oMathPara xmlns:m="http://schemas.openxmlformats.org/officeDocument/2006/math">
        <m:oMath>
          <m:sSub>
            <m:e>
              <m:r>
                <m:t xml:space="preserve">f</m:t>
              </m:r>
            </m:e>
            <m:sub>
              <m:r>
                <m:t xml:space="preserve">x</m:t>
              </m:r>
            </m:sub>
          </m:sSub>
          <m:r>
            <m:t xml:space="preserve">(</m:t>
          </m:r>
          <m:sSub>
            <m:e>
              <m:r>
                <m:t xml:space="preserve">x</m:t>
              </m:r>
            </m:e>
            <m:sub>
              <m:r>
                <m:t xml:space="preserve">j</m:t>
              </m:r>
            </m:sub>
          </m:sSub>
          <m:r>
            <m:t xml:space="preserve">)</m:t>
          </m:r>
          <m:r>
            <m:t xml:space="preserve">=</m:t>
          </m:r>
          <m:f>
            <m:fPr>
              <m:type m:val="bar"/>
            </m:fPr>
            <m:num>
              <m:r>
                <m:t xml:space="preserve">1</m:t>
              </m:r>
            </m:num>
            <m:den>
              <m:r>
                <m:t xml:space="preserve">w</m:t>
              </m:r>
              <m:r>
                <m:t xml:space="preserve">Δ</m:t>
              </m:r>
              <m:sSub>
                <m:e>
                  <m:r>
                    <m:t xml:space="preserve">x</m:t>
                  </m:r>
                </m:e>
                <m:sub>
                  <m:r>
                    <m:t xml:space="preserve">j</m:t>
                  </m:r>
                </m:sub>
              </m:sSub>
            </m:den>
          </m:f>
          <m:f>
            <m:fPr>
              <m:type m:val="bar"/>
            </m:fPr>
            <m:num>
              <m:r>
                <m:t xml:space="preserve">d</m:t>
              </m:r>
              <m:sSub>
                <m:e>
                  <m:r>
                    <m:t xml:space="preserve">V</m:t>
                  </m:r>
                </m:e>
                <m:sub>
                  <m:r>
                    <m:t xml:space="preserve">j</m:t>
                  </m:r>
                </m:sub>
              </m:sSub>
            </m:num>
            <m:den>
              <m:r>
                <m:t xml:space="preserve">d</m:t>
              </m:r>
              <m:r>
                <m:t xml:space="preserve">t</m:t>
              </m:r>
            </m:den>
          </m:f>
          <m:r>
            <m:t xml:space="preserve">,</m:t>
          </m:r>
          <m:r>
            <m:t xml:space="preserve">  </m:t>
          </m:r>
          <m:r>
            <m:t xml:space="preserve">bar</m:t>
          </m:r>
          <m:r>
            <m:t xml:space="preserve">f</m:t>
          </m:r>
          <m:r>
            <m:t xml:space="preserve">=</m:t>
          </m:r>
          <m:f>
            <m:fPr>
              <m:type m:val="bar"/>
            </m:fPr>
            <m:num>
              <m:r>
                <m:t xml:space="preserve">1</m:t>
              </m:r>
            </m:num>
            <m:den>
              <m:r>
                <m:t xml:space="preserve">L</m:t>
              </m:r>
            </m:den>
          </m:f>
          <m:sSub>
            <m:e>
              <m:nary>
                <m:naryPr>
                  <m:chr m:val="∫"/>
                  <m:limLoc m:val="subSup"/>
                </m:naryPr>
                <m:sub>
                  <m:r>
                    <m:t xml:space="preserve">0</m:t>
                  </m:r>
                </m:sub>
                <m:sup>
                  <m:r>
                    <m:t xml:space="preserve">L</m:t>
                  </m:r>
                </m:sup>
                <m:e>
                  <m:r>
                    <m:t xml:space="preserve">f</m:t>
                  </m:r>
                </m:e>
                %s
              </m:nary>
            </m:e>
            <m:sub>
              <m:r>
                <m:t xml:space="preserve">x</m:t>
              </m:r>
            </m:sub>
          </m:sSub>
          <m:r>
            <m:t xml:space="preserve">(</m:t>
          </m:r>
          <m:r>
            <m:t xml:space="preserve">x</m:t>
          </m:r>
          <m:r>
            <m:t xml:space="preserve">)</m:t>
          </m:r>
          <m:r>
            <m:t xml:space="preserve">d</m:t>
          </m:r>
          <m:r>
            <m:t xml:space="preserve">x</m:t>
          </m:r>
          <m:r>
            <m:t xml:space="preserve">     (8)</m:t>
          </m:r>
        </m:oMath>
      </m:oMathPara>
    </w:p>
    <w:p>
      <w:r>
        <w:t xml:space="preserve">where V_j is the volume collected beneath cell j of streamwise length Δx_j, w is the channel width, L the reach length, and f̄ the reach-averaged infiltration; comparing the zone-resolved fluxes against the reach-integrated total provided a mass-balance closure check consistent with best practice for spatially resolved infiltration [41].</w:t>
      </w:r>
    </w:p>
    <w:p>
      <w:r>
        <w:t xml:space="preserve">A two-stage design generated a strong, purpose-built dataset. Stage I addressed mechanism through a factorial of four vegetation densities, four discharges, three primary bed materials, and four antecedent-moisture states — augmented by the flexible-vegetation and silty-lens cases — executed as a statistically efficient optimal-design subset with replication of anchor points, yielding 176 calibration runs after replication and quality control [42]. Stage II reserved 40 independent conditions, comprising vegetation–discharge–material–moisture combinations not used in calibration, exclusively for validation rather than randomly partitioning a pooled dataset, so that generalization could be assessed honestly [43]. Each run logged reservoir mass continuously at 1 Hz over a 60 min duration across all collection cells, producing paired hydraulic and infiltration time series and cell-resolved profiles; the resulting 216-run database, spanning saturated conductivities differing several-fold, initial saturations from 0.1 to 0.8, and both rigid and flexible canopies, constitutes the integrated flow–vegetation–bed–soil–moisture dataset whose absence motivated this study for monsoon-driven channels. The design structure is summarized in Table 2, and the reserved validation conditions in Table 4.</w:t>
      </w:r>
    </w:p>
    <w:p/>
    <w:p>
      <w:r>
        <w:rPr>
          <w:b/>
          <w:sz w:val="18"/>
          <w:szCs w:val="18"/>
        </w:rPr>
        <w:t xml:space="preserve">Table 4. Model performance on the reserved independent validation conditions (40 Buddha Nullah-scaled runs withheld from calibration; best value per column in each metric).</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1337"/>
        <w:gridCol w:w="1337"/>
        <w:gridCol w:w="1337"/>
        <w:gridCol w:w="1337"/>
        <w:gridCol w:w="1337"/>
        <w:gridCol w:w="1337"/>
        <w:gridCol w:w="1337"/>
      </w:tblGrid>
      <w:tr>
        <w:trPr>
          <w:tblHeader/>
        </w:trPr>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Model</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R2</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RMSE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NSE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MAPE (%)</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d</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Green-Ampt benchmark</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0.043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0.47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20.1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0.78</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Horton empirical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0.54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17.6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0.82</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Multiple nonlinear regression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12.2</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0.90</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Random forest</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9.9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0.93</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Physical power law</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8.1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Hybrid (physical + ML residual)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0.008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4.8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0.99</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Reserved validation set ---</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No. of reserved conditions</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40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(~19% of 216 runs)</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Coverage</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independent lambda x Q x Ks x S_i combinations (rigid + flexible) withheld from calibration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bl>
    <w:p/>
    <w:p>
      <w:r>
        <w:t xml:space="preserve">The coupled system was framed as a cascade in which open-channel flow supplies momentum that vegetation partly extracts as drag, the resulting near-bed velocity and pressure field sets the head distribution at the bed, and this head drives unsaturated-to-saturated infiltration integrated in time to cumulative infiltration [44]. Vertical flux through the saturated part of the bed obeys Darcy's law,</w:t>
      </w:r>
    </w:p>
    <w:p>
      <w:pPr>
        <w:jc w:val="center"/>
      </w:pPr>
      <m:oMathPara xmlns:m="http://schemas.openxmlformats.org/officeDocument/2006/math">
        <m:oMath>
          <m:r>
            <m:t xml:space="preserve">q</m:t>
          </m:r>
          <m:r>
            <m:t xml:space="preserve">=</m:t>
          </m:r>
          <m:r>
            <m:t xml:space="preserve">-</m:t>
          </m:r>
          <m:sSub>
            <m:e>
              <m:r>
                <m:t xml:space="preserve">K</m:t>
              </m:r>
            </m:e>
            <m:sub>
              <m:r>
                <m:t xml:space="preserve">s</m:t>
              </m:r>
            </m:sub>
          </m:sSub>
          <m:f>
            <m:fPr>
              <m:type m:val="bar"/>
            </m:fPr>
            <m:num>
              <m:r>
                <m:t xml:space="preserve">∂</m:t>
              </m:r>
              <m:r>
                <m:t xml:space="preserve">H</m:t>
              </m:r>
            </m:num>
            <m:den>
              <m:r>
                <m:t xml:space="preserve">∂</m:t>
              </m:r>
              <m:r>
                <m:t xml:space="preserve">z</m:t>
              </m:r>
            </m:den>
          </m:f>
          <m:r>
            <m:t xml:space="preserve">=</m:t>
          </m:r>
          <m:sSub>
            <m:e>
              <m:r>
                <m:t xml:space="preserve">K</m:t>
              </m:r>
            </m:e>
            <m:sub>
              <m:r>
                <m:t xml:space="preserve">s</m:t>
              </m:r>
            </m:sub>
          </m:sSub>
          <m:f>
            <m:fPr>
              <m:type m:val="bar"/>
            </m:fPr>
            <m:num>
              <m:sSub>
                <m:e>
                  <m:r>
                    <m:t xml:space="preserve">H</m:t>
                  </m:r>
                </m:e>
                <m:sub>
                  <m:r>
                    <m:t xml:space="preserve">b</m:t>
                  </m:r>
                  <m:r>
                    <m:t xml:space="preserve">e</m:t>
                  </m:r>
                  <m:r>
                    <m:t xml:space="preserve">d</m:t>
                  </m:r>
                </m:sub>
              </m:sSub>
              <m:r>
                <m:t xml:space="preserve">+</m:t>
              </m:r>
              <m:sSub>
                <m:e>
                  <m:r>
                    <m:t xml:space="preserve">z</m:t>
                  </m:r>
                </m:e>
                <m:sub>
                  <m:r>
                    <m:t xml:space="preserve">f</m:t>
                  </m:r>
                </m:sub>
              </m:sSub>
              <m:r>
                <m:t xml:space="preserve">+</m:t>
              </m:r>
              <m:sSub>
                <m:e>
                  <m:r>
                    <m:t xml:space="preserve">ψ</m:t>
                  </m:r>
                </m:e>
                <m:sub>
                  <m:r>
                    <m:t xml:space="preserve">f</m:t>
                  </m:r>
                </m:sub>
              </m:sSub>
            </m:num>
            <m:den>
              <m:sSub>
                <m:e>
                  <m:r>
                    <m:t xml:space="preserve">z</m:t>
                  </m:r>
                </m:e>
                <m:sub>
                  <m:r>
                    <m:t xml:space="preserve">f</m:t>
                  </m:r>
                </m:sub>
              </m:sSub>
            </m:den>
          </m:f>
          <m:r>
            <m:t xml:space="preserve">     (9)</m:t>
          </m:r>
        </m:oMath>
      </m:oMathPara>
    </w:p>
    <w:p>
      <w:r>
        <w:t xml:space="preserve">where H is total head, z the vertical coordinate, K_s the saturated conductivity, H_bed the head imposed at the bed surface, z_f the wetting-front depth, and ψ_f the wetting-front suction. In the unsaturated zone the transient is governed by the mixed-form Richards equation,</w:t>
      </w:r>
    </w:p>
    <w:p>
      <w:pPr>
        <w:jc w:val="center"/>
      </w:pPr>
      <m:oMathPara xmlns:m="http://schemas.openxmlformats.org/officeDocument/2006/math">
        <m:oMath>
          <m:f>
            <m:fPr>
              <m:type m:val="bar"/>
            </m:fPr>
            <m:num>
              <m:r>
                <m:t xml:space="preserve">∂</m:t>
              </m:r>
              <m:r>
                <m:t xml:space="preserve">θ</m:t>
              </m:r>
            </m:num>
            <m:den>
              <m:r>
                <m:t xml:space="preserve">∂</m:t>
              </m:r>
              <m:r>
                <m:t xml:space="preserve">t</m:t>
              </m:r>
            </m:den>
          </m:f>
          <m:r>
            <m:t xml:space="preserve">=</m:t>
          </m:r>
          <m:f>
            <m:fPr>
              <m:type m:val="bar"/>
            </m:fPr>
            <m:num>
              <m:r>
                <m:t xml:space="preserve">∂</m:t>
              </m:r>
            </m:num>
            <m:den>
              <m:r>
                <m:t xml:space="preserve">∂</m:t>
              </m:r>
              <m:r>
                <m:t xml:space="preserve">z</m:t>
              </m:r>
            </m:den>
          </m:f>
          <m:r>
            <m:t xml:space="preserve">[</m:t>
          </m:r>
          <m:r>
            <m:t xml:space="preserve">K</m:t>
          </m:r>
          <m:r>
            <m:t xml:space="preserve">(</m:t>
          </m:r>
          <m:r>
            <m:t xml:space="preserve">θ</m:t>
          </m:r>
          <m:r>
            <m:t xml:space="preserve">)</m:t>
          </m:r>
          <m:r>
            <m:t xml:space="preserve">(</m:t>
          </m:r>
          <m:f>
            <m:fPr>
              <m:type m:val="bar"/>
            </m:fPr>
            <m:num>
              <m:r>
                <m:t xml:space="preserve">∂</m:t>
              </m:r>
              <m:r>
                <m:t xml:space="preserve">ψ</m:t>
              </m:r>
            </m:num>
            <m:den>
              <m:r>
                <m:t xml:space="preserve">∂</m:t>
              </m:r>
              <m:r>
                <m:t xml:space="preserve">z</m:t>
              </m:r>
            </m:den>
          </m:f>
          <m:r>
            <m:t xml:space="preserve">+</m:t>
          </m:r>
          <m:r>
            <m:t xml:space="preserve">1</m:t>
          </m:r>
          <m:r>
            <m:t xml:space="preserve">)</m:t>
          </m:r>
          <m:r>
            <m:t xml:space="preserve">]</m:t>
          </m:r>
          <m:r>
            <m:t xml:space="preserve">     (10)</m:t>
          </m:r>
        </m:oMath>
      </m:oMathPara>
    </w:p>
    <w:p>
      <w:r>
        <w:t xml:space="preserve">with the unsaturated conductivity and retention closed by the van Genuchten–Mualem relations,</w:t>
      </w:r>
    </w:p>
    <w:p>
      <w:pPr>
        <w:jc w:val="center"/>
      </w:pPr>
      <m:oMathPara xmlns:m="http://schemas.openxmlformats.org/officeDocument/2006/math">
        <m:oMath>
          <m:r>
            <m:t xml:space="preserve">K</m:t>
          </m:r>
          <m:r>
            <m:t xml:space="preserve">(</m:t>
          </m:r>
          <m:r>
            <m:t xml:space="preserve">θ</m:t>
          </m:r>
          <m:r>
            <m:t xml:space="preserve">)</m:t>
          </m:r>
          <m:r>
            <m:t xml:space="preserve">=</m:t>
          </m:r>
          <m:sSub>
            <m:e>
              <m:r>
                <m:t xml:space="preserve">K</m:t>
              </m:r>
            </m:e>
            <m:sub>
              <m:r>
                <m:t xml:space="preserve">s</m:t>
              </m:r>
            </m:sub>
          </m:sSub>
          <m:sSubSup>
            <m:e>
              <m:r>
                <m:t xml:space="preserve">S</m:t>
              </m:r>
            </m:e>
            <m:sub>
              <m:r>
                <m:t xml:space="preserve">e</m:t>
              </m:r>
            </m:sub>
            <m:sup>
              <m:r>
                <m:t xml:space="preserve">l</m:t>
              </m:r>
            </m:sup>
          </m:sSubSup>
          <m:r>
            <m:t xml:space="preserve">[</m:t>
          </m:r>
          <m:r>
            <m:t xml:space="preserve">1</m:t>
          </m:r>
          <m:r>
            <m:t xml:space="preserve">-</m:t>
          </m:r>
          <m:r>
            <m:t xml:space="preserve">(</m:t>
          </m:r>
          <m:r>
            <m:t xml:space="preserve">1</m:t>
          </m:r>
          <m:r>
            <m:t xml:space="preserve">-</m:t>
          </m:r>
          <m:sSubSup>
            <m:e>
              <m:r>
                <m:t xml:space="preserve">S</m:t>
              </m:r>
            </m:e>
            <m:sub>
              <m:r>
                <m:t xml:space="preserve">e</m:t>
              </m:r>
            </m:sub>
            <m:sup>
              <m:r>
                <m:t xml:space="preserve">1</m:t>
              </m:r>
              <m:r>
                <m:t xml:space="preserve">/</m:t>
              </m:r>
              <m:r>
                <m:t xml:space="preserve">m</m:t>
              </m:r>
            </m:sup>
          </m:sSubSup>
          <m:sSup>
            <m:e>
              <m:r>
                <m:t xml:space="preserve">)</m:t>
              </m:r>
            </m:e>
            <m:sup>
              <m:r>
                <m:t xml:space="preserve">m</m:t>
              </m:r>
            </m:sup>
          </m:sSup>
          <m:sSup>
            <m:e>
              <m:r>
                <m:t xml:space="preserve">]</m:t>
              </m:r>
            </m:e>
            <m:sup>
              <m:r>
                <m:t xml:space="preserve">2</m:t>
              </m:r>
            </m:sup>
          </m:sSup>
          <m:r>
            <m:t xml:space="preserve">,</m:t>
          </m:r>
          <m:r>
            <m:t xml:space="preserve">  </m:t>
          </m:r>
          <m:sSub>
            <m:e>
              <m:r>
                <m:t xml:space="preserve">S</m:t>
              </m:r>
            </m:e>
            <m:sub>
              <m:r>
                <m:t xml:space="preserve">e</m:t>
              </m:r>
            </m:sub>
          </m:sSub>
          <m:r>
            <m:t xml:space="preserve">=</m:t>
          </m:r>
          <m:r>
            <m:t xml:space="preserve">[</m:t>
          </m:r>
          <m:r>
            <m:t xml:space="preserve">1</m:t>
          </m:r>
          <m:r>
            <m:t xml:space="preserve">+</m:t>
          </m:r>
          <m:r>
            <m:t xml:space="preserve">(</m:t>
          </m:r>
          <m:r>
            <m:t xml:space="preserve">α</m:t>
          </m:r>
          <m:r>
            <m:t xml:space="preserve">|</m:t>
          </m:r>
          <m:r>
            <m:t xml:space="preserve">ψ</m:t>
          </m:r>
          <m:r>
            <m:t xml:space="preserve">|</m:t>
          </m:r>
          <m:sSup>
            <m:e>
              <m:r>
                <m:t xml:space="preserve">)</m:t>
              </m:r>
            </m:e>
            <m:sup>
              <m:r>
                <m:t xml:space="preserve">n</m:t>
              </m:r>
            </m:sup>
          </m:sSup>
          <m:sSup>
            <m:e>
              <m:r>
                <m:t xml:space="preserve">]</m:t>
              </m:r>
            </m:e>
            <m:sup>
              <m:r>
                <m:t xml:space="preserve">-</m:t>
              </m:r>
              <m:r>
                <m:t xml:space="preserve">m</m:t>
              </m:r>
            </m:sup>
          </m:sSup>
          <m:r>
            <m:t xml:space="preserve">     (11)</m:t>
          </m:r>
        </m:oMath>
      </m:oMathPara>
    </w:p>
    <w:p>
      <w:r>
        <w:t xml:space="preserve">where S_e is effective saturation, l a pore-connectivity parameter, and α, n, m = 1 − 1/n the van Genuchten parameters. The head available to drive infiltration at the bed is set by the overlying flow as the sum of the static depth and a dynamic pressure contribution,</w:t>
      </w:r>
    </w:p>
    <w:p>
      <w:pPr>
        <w:jc w:val="center"/>
      </w:pPr>
      <m:oMathPara xmlns:m="http://schemas.openxmlformats.org/officeDocument/2006/math">
        <m:oMath>
          <m:sSub>
            <m:e>
              <m:r>
                <m:t xml:space="preserve">H</m:t>
              </m:r>
            </m:e>
            <m:sub>
              <m:r>
                <m:t xml:space="preserve">b</m:t>
              </m:r>
              <m:r>
                <m:t xml:space="preserve">e</m:t>
              </m:r>
              <m:r>
                <m:t xml:space="preserve">d</m:t>
              </m:r>
            </m:sub>
          </m:sSub>
          <m:r>
            <m:t xml:space="preserve">(</m:t>
          </m:r>
          <m:r>
            <m:t xml:space="preserve">x</m:t>
          </m:r>
          <m:r>
            <m:t xml:space="preserve">)</m:t>
          </m:r>
          <m:r>
            <m:t xml:space="preserve">=</m:t>
          </m:r>
          <m:r>
            <m:t xml:space="preserve">h</m:t>
          </m:r>
          <m:r>
            <m:t xml:space="preserve">(</m:t>
          </m:r>
          <m:r>
            <m:t xml:space="preserve">x</m:t>
          </m:r>
          <m:r>
            <m:t xml:space="preserve">)</m:t>
          </m:r>
          <m:r>
            <m:t xml:space="preserve">+</m:t>
          </m:r>
          <m:r>
            <m:t xml:space="preserve">β</m:t>
          </m:r>
          <m:f>
            <m:fPr>
              <m:type m:val="bar"/>
            </m:fPr>
            <m:num>
              <m:r>
                <m:t xml:space="preserve">U</m:t>
              </m:r>
              <m:r>
                <m:t xml:space="preserve">(</m:t>
              </m:r>
              <m:r>
                <m:t xml:space="preserve">x</m:t>
              </m:r>
              <m:sSup>
                <m:e>
                  <m:r>
                    <m:t xml:space="preserve">)</m:t>
                  </m:r>
                </m:e>
                <m:sup>
                  <m:r>
                    <m:t xml:space="preserve">2</m:t>
                  </m:r>
                </m:sup>
              </m:sSup>
            </m:num>
            <m:den>
              <m:r>
                <m:t xml:space="preserve">2</m:t>
              </m:r>
              <m:r>
                <m:t xml:space="preserve">g</m:t>
              </m:r>
            </m:den>
          </m:f>
          <m:r>
            <m:t xml:space="preserve">+</m:t>
          </m:r>
          <m:r>
            <m:t xml:space="preserve">Δ</m:t>
          </m:r>
          <m:sSub>
            <m:e>
              <m:r>
                <m:t xml:space="preserve">H</m:t>
              </m:r>
            </m:e>
            <m:sub>
              <m:r>
                <m:t xml:space="preserve">v</m:t>
              </m:r>
            </m:sub>
          </m:sSub>
          <m:r>
            <m:t xml:space="preserve">(</m:t>
          </m:r>
          <m:r>
            <m:t xml:space="preserve">x</m:t>
          </m:r>
          <m:r>
            <m:t xml:space="preserve">)</m:t>
          </m:r>
          <m:r>
            <m:t xml:space="preserve">     (12)</m:t>
          </m:r>
        </m:oMath>
      </m:oMathPara>
    </w:p>
    <w:p>
      <w:r>
        <w:t xml:space="preserve">where β is a pressure coefficient and ΔH_v is the vegetation-induced near-bed head perturbation, positive within and just downstream of the canopy where the flow decelerates. A Green–Ampt formulation serves as a mechanistic benchmark, in which the driving head is taken from Eq. (12) rather than assumed constant [45]:</w:t>
      </w:r>
    </w:p>
    <w:p>
      <w:pPr>
        <w:jc w:val="center"/>
      </w:pPr>
      <m:oMathPara xmlns:m="http://schemas.openxmlformats.org/officeDocument/2006/math">
        <m:oMath>
          <m:sSub>
            <m:e>
              <m:r>
                <m:t xml:space="preserve">f</m:t>
              </m:r>
            </m:e>
            <m:sub>
              <m:r>
                <m:t xml:space="preserve">G</m:t>
              </m:r>
              <m:r>
                <m:t xml:space="preserve">A</m:t>
              </m:r>
            </m:sub>
          </m:sSub>
          <m:r>
            <m:t xml:space="preserve">(</m:t>
          </m:r>
          <m:r>
            <m:t xml:space="preserve">t</m:t>
          </m:r>
          <m:r>
            <m:t xml:space="preserve">)</m:t>
          </m:r>
          <m:r>
            <m:t xml:space="preserve">=</m:t>
          </m:r>
          <m:sSub>
            <m:e>
              <m:r>
                <m:t xml:space="preserve">K</m:t>
              </m:r>
            </m:e>
            <m:sub>
              <m:r>
                <m:t xml:space="preserve">s</m:t>
              </m:r>
            </m:sub>
          </m:sSub>
          <m:r>
            <m:t xml:space="preserve">[</m:t>
          </m:r>
          <m:r>
            <m:t xml:space="preserve">1</m:t>
          </m:r>
          <m:r>
            <m:t xml:space="preserve">+</m:t>
          </m:r>
          <m:f>
            <m:fPr>
              <m:type m:val="bar"/>
            </m:fPr>
            <m:num>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num>
            <m:den>
              <m:r>
                <m:t xml:space="preserve">F</m:t>
              </m:r>
              <m:r>
                <m:t xml:space="preserve">(</m:t>
              </m:r>
              <m:r>
                <m:t xml:space="preserve">t</m:t>
              </m:r>
              <m:r>
                <m:t xml:space="preserve">)</m:t>
              </m:r>
            </m:den>
          </m:f>
          <m:r>
            <m:t xml:space="preserve">]</m:t>
          </m:r>
          <m:r>
            <m:t xml:space="preserve">     (13)</m:t>
          </m:r>
        </m:oMath>
      </m:oMathPara>
    </w:p>
    <w:p>
      <w:pPr>
        <w:jc w:val="center"/>
      </w:pPr>
      <m:oMathPara xmlns:m="http://schemas.openxmlformats.org/officeDocument/2006/math">
        <m:oMath>
          <m:r>
            <m:t xml:space="preserve">F</m:t>
          </m:r>
          <m:r>
            <m:t xml:space="preserve">(</m:t>
          </m:r>
          <m:r>
            <m:t xml:space="preserve">t</m:t>
          </m:r>
          <m:r>
            <m:t xml:space="preserve">)</m:t>
          </m:r>
          <m:r>
            <m:t xml:space="preserve">=</m:t>
          </m:r>
          <m:sSub>
            <m:e>
              <m:r>
                <m:t xml:space="preserve">K</m:t>
              </m:r>
            </m:e>
            <m:sub>
              <m:r>
                <m:t xml:space="preserve">s</m:t>
              </m:r>
            </m:sub>
          </m:sSub>
          <m:r>
            <m:t xml:space="preserve">t</m:t>
          </m:r>
          <m:r>
            <m:t xml:space="preserve">+</m:t>
          </m:r>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r>
            <m:t xml:space="preserve">ln</m:t>
          </m:r>
          <m:r>
            <m:t xml:space="preserve">[</m:t>
          </m:r>
          <m:r>
            <m:t xml:space="preserve">1</m:t>
          </m:r>
          <m:r>
            <m:t xml:space="preserve">+</m:t>
          </m:r>
          <m:f>
            <m:fPr>
              <m:type m:val="bar"/>
            </m:fPr>
            <m:num>
              <m:r>
                <m:t xml:space="preserve">F</m:t>
              </m:r>
              <m:r>
                <m:t xml:space="preserve">(</m:t>
              </m:r>
              <m:r>
                <m:t xml:space="preserve">t</m:t>
              </m:r>
              <m:r>
                <m:t xml:space="preserve">)</m:t>
              </m:r>
            </m:num>
            <m:den>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den>
          </m:f>
          <m:r>
            <m:t xml:space="preserve">]</m:t>
          </m:r>
          <m:r>
            <m:t xml:space="preserve">     (14)</m:t>
          </m:r>
        </m:oMath>
      </m:oMathPara>
    </w:p>
    <w:p>
      <w:r>
        <w:t xml:space="preserve">Equations (13)–(14) make the coupling explicit: the bed head of Eq. (12), itself modified by vegetation through Eqs. (2)–(4), enters the subsurface response directly, and the initial deficit Δθ of Eq. (5) sets the early-time gradient; because the benchmark captures the head-driven part but not the additional near-bed pressure redistribution and turbulence generated by the stems, the gap between benchmark and observation quantifies the specifically hydrodynamic contribution of vegetation to infiltration [22]. Dimensional analysis, applied to the governing variables of Eqs. (1)–(14) via the Buckingham-Π theorem, reduced the problem to a compact set of dimensionless groups. The flow Reynolds number,</w:t>
      </w:r>
    </w:p>
    <w:p>
      <w:pPr>
        <w:jc w:val="center"/>
      </w:pPr>
      <m:oMathPara xmlns:m="http://schemas.openxmlformats.org/officeDocument/2006/math">
        <m:oMath>
          <m:r>
            <m:t xml:space="preserve">R</m:t>
          </m:r>
          <m:r>
            <m:t xml:space="preserve">e</m:t>
          </m:r>
          <m:r>
            <m:t xml:space="preserve">=</m:t>
          </m:r>
          <m:f>
            <m:fPr>
              <m:type m:val="bar"/>
            </m:fPr>
            <m:num>
              <m:r>
                <m:t xml:space="preserve">U</m:t>
              </m:r>
              <m:r>
                <m:t xml:space="preserve">h</m:t>
              </m:r>
            </m:num>
            <m:den>
              <m:r>
                <m:t xml:space="preserve">ν</m:t>
              </m:r>
            </m:den>
          </m:f>
          <m:r>
            <m:t xml:space="preserve">     (15)</m:t>
          </m:r>
        </m:oMath>
      </m:oMathPara>
    </w:p>
    <w:p>
      <w:r>
        <w:t xml:space="preserve">the Froude number,</w:t>
      </w:r>
    </w:p>
    <w:p>
      <w:pPr>
        <w:jc w:val="center"/>
      </w:pPr>
      <m:oMathPara xmlns:m="http://schemas.openxmlformats.org/officeDocument/2006/math">
        <m:oMath>
          <m:r>
            <m:t xml:space="preserve">F</m:t>
          </m:r>
          <m:r>
            <m:t xml:space="preserve">r</m:t>
          </m:r>
          <m:r>
            <m:t xml:space="preserve">=</m:t>
          </m:r>
          <m:f>
            <m:fPr>
              <m:type m:val="bar"/>
            </m:fPr>
            <m:num>
              <m:r>
                <m:t xml:space="preserve">U</m:t>
              </m:r>
            </m:num>
            <m:den>
              <m:rad>
                <m:radPr>
                  <m:degHide m:val="1"/>
                </m:radPr>
                <m:deg/>
                <m:e>
                  <m:r>
                    <m:t xml:space="preserve">g</m:t>
                  </m:r>
                  <m:r>
                    <m:t xml:space="preserve">h</m:t>
                  </m:r>
                </m:e>
              </m:rad>
            </m:den>
          </m:f>
          <m:r>
            <m:t xml:space="preserve">     (16)</m:t>
          </m:r>
        </m:oMath>
      </m:oMathPara>
    </w:p>
    <w:p>
      <w:r>
        <w:t xml:space="preserve">a permeability Reynolds number representing bed permeability relative to the flow,</w:t>
      </w:r>
    </w:p>
    <w:p>
      <w:pPr>
        <w:jc w:val="center"/>
      </w:pPr>
      <m:oMathPara xmlns:m="http://schemas.openxmlformats.org/officeDocument/2006/math">
        <m:oMath>
          <m:r>
            <m:t xml:space="preserve">R</m:t>
          </m:r>
          <m:sSub>
            <m:e>
              <m:r>
                <m:t xml:space="preserve">e</m:t>
              </m:r>
            </m:e>
            <m:sub>
              <m:r>
                <m:t xml:space="preserve">k</m:t>
              </m:r>
            </m:sub>
          </m:sSub>
          <m:r>
            <m:t xml:space="preserve">=</m:t>
          </m:r>
          <m:f>
            <m:fPr>
              <m:type m:val="bar"/>
            </m:fPr>
            <m:num>
              <m:r>
                <m:t xml:space="preserve">U</m:t>
              </m:r>
              <m:r>
                <m:t xml:space="preserve">k</m:t>
              </m:r>
            </m:num>
            <m:den>
              <m:r>
                <m:t xml:space="preserve">ν</m:t>
              </m:r>
              <m:r>
                <m:t xml:space="preserve">h</m:t>
              </m:r>
            </m:den>
          </m:f>
          <m:r>
            <m:t xml:space="preserve">,</m:t>
          </m:r>
          <m:r>
            <m:t xml:space="preserve">  </m:t>
          </m:r>
          <m:r>
            <m:t xml:space="preserve">k</m:t>
          </m:r>
          <m:r>
            <m:t xml:space="preserve">=</m:t>
          </m:r>
          <m:f>
            <m:fPr>
              <m:type m:val="bar"/>
            </m:fPr>
            <m:num>
              <m:sSub>
                <m:e>
                  <m:r>
                    <m:t xml:space="preserve">K</m:t>
                  </m:r>
                </m:e>
                <m:sub>
                  <m:r>
                    <m:t xml:space="preserve">s</m:t>
                  </m:r>
                </m:sub>
              </m:sSub>
              <m:r>
                <m:t xml:space="preserve">ν</m:t>
              </m:r>
            </m:num>
            <m:den>
              <m:r>
                <m:t xml:space="preserve">g</m:t>
              </m:r>
            </m:den>
          </m:f>
          <m:r>
            <m:t xml:space="preserve">     (17)</m:t>
          </m:r>
        </m:oMath>
      </m:oMathPara>
    </w:p>
    <w:p>
      <w:r>
        <w:t xml:space="preserve">where k is the intrinsic permeability and ν the kinematic viscosity; together with the vegetation density parameter λ of Eq. (1), the relative submergence H_v/h, and the initial saturation ratio S_i of Eq. (5) [46]. Because Buddha Nullah flows are shallow and slow, these groups were evaluated over deliberately narrow, channel-representative ranges — subcritical Froude numbers well below unity and low-to-moderate Reynolds and permeability Reynolds numbers spanning dry-season shallow flow to monsoon moderate-depth flow — rather than the broad ranges typical of high-energy flumes. The response was expressed as a normalized infiltration,</w:t>
      </w:r>
    </w:p>
    <w:p>
      <w:pPr>
        <w:jc w:val="center"/>
      </w:pPr>
      <m:oMathPara xmlns:m="http://schemas.openxmlformats.org/officeDocument/2006/math">
        <m:oMath>
          <m:sSup>
            <m:e>
              <m:r>
                <m:t xml:space="preserve">I</m:t>
              </m:r>
            </m:e>
            <m:sup>
              <m:r>
                <m:t xml:space="preserve">*</m:t>
              </m:r>
            </m:sup>
          </m:sSup>
          <m:r>
            <m:t xml:space="preserve">=</m:t>
          </m:r>
          <m:f>
            <m:fPr>
              <m:type m:val="bar"/>
            </m:fPr>
            <m:num>
              <m:r>
                <m:t xml:space="preserve">f</m:t>
              </m:r>
            </m:num>
            <m:den>
              <m:sSub>
                <m:e>
                  <m:r>
                    <m:t xml:space="preserve">K</m:t>
                  </m:r>
                </m:e>
                <m:sub>
                  <m:r>
                    <m:t xml:space="preserve">s</m:t>
                  </m:r>
                </m:sub>
              </m:sSub>
            </m:den>
          </m:f>
          <m:r>
            <m:t xml:space="preserve">     (18)</m:t>
          </m:r>
        </m:oMath>
      </m:oMathPara>
    </w:p>
    <w:p>
      <w:r>
        <w:t xml:space="preserve">yielding the target dimensionless relationship</w:t>
      </w:r>
    </w:p>
    <w:p>
      <w:pPr>
        <w:jc w:val="center"/>
      </w:pPr>
      <m:oMathPara xmlns:m="http://schemas.openxmlformats.org/officeDocument/2006/math">
        <m:oMath>
          <m:sSup>
            <m:e>
              <m:r>
                <m:t xml:space="preserve">I</m:t>
              </m:r>
            </m:e>
            <m:sup>
              <m:r>
                <m:t xml:space="preserve">*</m:t>
              </m:r>
            </m:sup>
          </m:sSup>
          <m:r>
            <m:t xml:space="preserve">=</m:t>
          </m:r>
          <m:r>
            <m:t xml:space="preserve">Φ</m:t>
          </m:r>
          <m:r>
            <m:t xml:space="preserve">(</m:t>
          </m:r>
          <m:r>
            <m:t xml:space="preserve">R</m:t>
          </m:r>
          <m:r>
            <m:t xml:space="preserve">e</m:t>
          </m:r>
          <m:r>
            <m:t xml:space="preserve">,</m:t>
          </m:r>
          <m:r>
            <m:t xml:space="preserve">F</m:t>
          </m:r>
          <m:r>
            <m:t xml:space="preserve">r</m:t>
          </m:r>
          <m:r>
            <m:t xml:space="preserve">,</m:t>
          </m:r>
          <m:r>
            <m:t xml:space="preserve">R</m:t>
          </m:r>
          <m:sSub>
            <m:e>
              <m:r>
                <m:t xml:space="preserve">e</m:t>
              </m:r>
            </m:e>
            <m:sub>
              <m:r>
                <m:t xml:space="preserve">k</m:t>
              </m:r>
            </m:sub>
          </m:sSub>
          <m:r>
            <m:t xml:space="preserve">,</m:t>
          </m:r>
          <m:r>
            <m:t xml:space="preserve">λ</m:t>
          </m:r>
          <m:r>
            <m:t xml:space="preserve">,</m:t>
          </m:r>
          <m:f>
            <m:fPr>
              <m:type m:val="bar"/>
            </m:fPr>
            <m:num>
              <m:sSub>
                <m:e>
                  <m:r>
                    <m:t xml:space="preserve">H</m:t>
                  </m:r>
                </m:e>
                <m:sub>
                  <m:r>
                    <m:t xml:space="preserve">v</m:t>
                  </m:r>
                </m:sub>
              </m:sSub>
            </m:num>
            <m:den>
              <m:r>
                <m:t xml:space="preserve">h</m:t>
              </m:r>
            </m:den>
          </m:f>
          <m:r>
            <m:t xml:space="preserve">,</m:t>
          </m:r>
          <m:sSub>
            <m:e>
              <m:r>
                <m:t xml:space="preserve">S</m:t>
              </m:r>
            </m:e>
            <m:sub>
              <m:r>
                <m:t xml:space="preserve">i</m:t>
              </m:r>
            </m:sub>
          </m:sSub>
          <m:r>
            <m:t xml:space="preserve">)</m:t>
          </m:r>
          <m:r>
            <m:t xml:space="preserve">     (19)</m:t>
          </m:r>
        </m:oMath>
      </m:oMathPara>
    </w:p>
    <w:p>
      <w:r>
        <w:t xml:space="preserve">which scales infiltration by the bed conductivity so that behavior can be compared across materials and flows; normalizing by K_s removes the dominant dependence on bed material so that the residual dependence on vegetation and antecedent state becomes visible and comparable [39]. The dimensionless groups and their physical interpretation are compiled in Table 3. The physically based relationship of Eq. (19) was specified as a multiplicative power law whose exponents were fitted rather than prescribed,</w:t>
      </w:r>
    </w:p>
    <w:p/>
    <w:p>
      <w:r>
        <w:rPr>
          <w:b/>
          <w:sz w:val="18"/>
          <w:szCs w:val="18"/>
        </w:rPr>
        <w:t xml:space="preserve">Table 3. Dimensionless variables, their physical interpretation, and the channel-representative ranges spanned in this study (low-Froude, low-Reynolds Buddha Nullah conditions).</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Group</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Definition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Physical interpretation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Range</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Reynolds number Re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 h / nu</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Bulk flow regime / turbulence level</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600 - 20000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Froude number Fr</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 / sqrt(g 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Sub- vs super-critical; depth response to drag</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0.06 - 0.32</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Permeability Reynolds Re_k</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 k / (nu 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permeability relative to the flow</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0.02 - 1.8</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 lambda</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N d_v H_v / A_b</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Canopy frontal-area forcing</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0 - 0.024</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Relative submergence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H_v / 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Emergent vs submerged canopy condition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1.3 - 8.0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Initial saturation ratio S_i</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(th_i - th_r)/(th_s - th_r)</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Antecedent moisture / initial gradient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0.12 - 0.80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Normalized infiltration I*</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 / K_s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Infiltration scaled by bed conductivity (response)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0.05 - 0.36</w:t>
            </w:r>
          </w:p>
        </w:tc>
      </w:tr>
    </w:tbl>
    <w:p/>
    <w:p>
      <w:pPr>
        <w:jc w:val="center"/>
      </w:pPr>
      <m:oMathPara xmlns:m="http://schemas.openxmlformats.org/officeDocument/2006/math">
        <m:oMath>
          <m:sSup>
            <m:e>
              <m:r>
                <m:t xml:space="preserve">I</m:t>
              </m:r>
            </m:e>
            <m:sup>
              <m:r>
                <m:t xml:space="preserve">*</m:t>
              </m:r>
            </m:sup>
          </m:sSup>
          <m:r>
            <m:t xml:space="preserve">=</m:t>
          </m:r>
          <m:f>
            <m:fPr>
              <m:type m:val="bar"/>
            </m:fPr>
            <m:num>
              <m:r>
                <m:t xml:space="preserve">f</m:t>
              </m:r>
            </m:num>
            <m:den>
              <m:sSub>
                <m:e>
                  <m:r>
                    <m:t xml:space="preserve">K</m:t>
                  </m:r>
                </m:e>
                <m:sub>
                  <m:r>
                    <m:t xml:space="preserve">s</m:t>
                  </m:r>
                </m:sub>
              </m:sSub>
            </m:den>
          </m:f>
          <m:r>
            <m:t xml:space="preserve">=</m:t>
          </m:r>
          <m:r>
            <m:t xml:space="preserve">C</m:t>
          </m:r>
          <m:r>
            <m:t xml:space="preserve">R</m:t>
          </m:r>
          <m:sSup>
            <m:e>
              <m:r>
                <m:t xml:space="preserve">e</m:t>
              </m:r>
            </m:e>
            <m:sup>
              <m:r>
                <m:t xml:space="preserve">a</m:t>
              </m:r>
            </m:sup>
          </m:sSup>
          <m:r>
            <m:t xml:space="preserve">F</m:t>
          </m:r>
          <m:sSup>
            <m:e>
              <m:r>
                <m:t xml:space="preserve">r</m:t>
              </m:r>
            </m:e>
            <m:sup>
              <m:r>
                <m:t xml:space="preserve">b</m:t>
              </m:r>
            </m:sup>
          </m:sSup>
          <m:r>
            <m:t xml:space="preserve">R</m:t>
          </m:r>
          <m:sSubSup>
            <m:e>
              <m:r>
                <m:t xml:space="preserve">e</m:t>
              </m:r>
            </m:e>
            <m:sub>
              <m:r>
                <m:t xml:space="preserve">k</m:t>
              </m:r>
            </m:sub>
            <m:sup>
              <m:r>
                <m:t xml:space="preserve">c</m:t>
              </m:r>
            </m:sup>
          </m:sSubSup>
          <m:sSup>
            <m:e>
              <m:r>
                <m:t xml:space="preserve">λ</m:t>
              </m:r>
            </m:e>
            <m:sup>
              <m:r>
                <m:t xml:space="preserve">d</m:t>
              </m:r>
            </m:sup>
          </m:sSup>
          <m:r>
            <m:t xml:space="preserve">(</m:t>
          </m:r>
          <m:f>
            <m:fPr>
              <m:type m:val="bar"/>
            </m:fPr>
            <m:num>
              <m:sSub>
                <m:e>
                  <m:r>
                    <m:t xml:space="preserve">H</m:t>
                  </m:r>
                </m:e>
                <m:sub>
                  <m:r>
                    <m:t xml:space="preserve">v</m:t>
                  </m:r>
                </m:sub>
              </m:sSub>
            </m:num>
            <m:den>
              <m:r>
                <m:t xml:space="preserve">h</m:t>
              </m:r>
            </m:den>
          </m:f>
          <m:sSup>
            <m:e>
              <m:r>
                <m:t xml:space="preserve">)</m:t>
              </m:r>
            </m:e>
            <m:sup>
              <m:r>
                <m:t xml:space="preserve">e</m:t>
              </m:r>
            </m:sup>
          </m:sSup>
          <m:sSubSup>
            <m:e>
              <m:r>
                <m:t xml:space="preserve">S</m:t>
              </m:r>
            </m:e>
            <m:sub>
              <m:r>
                <m:t xml:space="preserve">i</m:t>
              </m:r>
            </m:sub>
            <m:sup>
              <m:r>
                <m:t xml:space="preserve">g</m:t>
              </m:r>
            </m:sup>
          </m:sSubSup>
          <m:r>
            <m:t xml:space="preserve">     (20)</m:t>
          </m:r>
        </m:oMath>
      </m:oMathPara>
    </w:p>
    <w:p>
      <w:r>
        <w:t xml:space="preserve">with C, a, b, c, d, e, and g determined by least-squares regression of the log-transformed calibration data; several data-driven models — multiple nonlinear regression, random forest, gradient-boosted trees, and a compact feedforward neural network — were also trained on the dimensionless predictors of Table 3 [24]. The central modeling contribution was a hybrid formulation in which the calibrated physical model supplies the leading behavior and a learned component captures the residual nonlinearity,</w:t>
      </w:r>
    </w:p>
    <w:p>
      <w:pPr>
        <w:jc w:val="center"/>
      </w:pPr>
      <m:oMathPara xmlns:m="http://schemas.openxmlformats.org/officeDocument/2006/math">
        <m:oMath>
          <m:r>
            <m:t xml:space="preserve">hat</m:t>
          </m:r>
          <m:sSub>
            <m:e>
              <m:r>
                <m:t xml:space="preserve">f</m:t>
              </m:r>
            </m:e>
            <m:sub>
              <m:r>
                <m:t xml:space="preserve">p</m:t>
              </m:r>
              <m:r>
                <m:t xml:space="preserve">r</m:t>
              </m:r>
              <m:r>
                <m:t xml:space="preserve">e</m:t>
              </m:r>
              <m:r>
                <m:t xml:space="preserve">d</m:t>
              </m:r>
            </m:sub>
          </m:sSub>
          <m:r>
            <m:t xml:space="preserve">=</m:t>
          </m:r>
          <m:sSub>
            <m:e>
              <m:r>
                <m:t xml:space="preserve">f</m:t>
              </m:r>
            </m:e>
            <m:sub>
              <m:r>
                <m:t xml:space="preserve">p</m:t>
              </m:r>
              <m:r>
                <m:t xml:space="preserve">h</m:t>
              </m:r>
              <m:r>
                <m:t xml:space="preserve">y</m:t>
              </m:r>
              <m:r>
                <m:t xml:space="preserve">s</m:t>
              </m:r>
            </m:sub>
          </m:sSub>
          <m:r>
            <m:t xml:space="preserve">(</m:t>
          </m:r>
          <m:r>
            <m:t xml:space="preserve">mathbf</m:t>
          </m:r>
          <m:r>
            <m:t xml:space="preserve">x</m:t>
          </m:r>
          <m:r>
            <m:t xml:space="preserve">)</m:t>
          </m:r>
          <m:r>
            <m:t xml:space="preserve">+</m:t>
          </m:r>
          <m:sSub>
            <m:e>
              <m:r>
                <m:t xml:space="preserve">g</m:t>
              </m:r>
            </m:e>
            <m:sub>
              <m:r>
                <m:t xml:space="preserve">M</m:t>
              </m:r>
              <m:r>
                <m:t xml:space="preserve">L</m:t>
              </m:r>
            </m:sub>
          </m:sSub>
          <m:r>
            <m:t xml:space="preserve">(</m:t>
          </m:r>
          <m:r>
            <m:t xml:space="preserve">mathbf</m:t>
          </m:r>
          <m:r>
            <m:t xml:space="preserve">x</m:t>
          </m:r>
          <m:r>
            <m:t xml:space="preserve">)</m:t>
          </m:r>
          <m:r>
            <m:t xml:space="preserve">,</m:t>
          </m:r>
          <m:r>
            <m:t xml:space="preserve">  </m:t>
          </m:r>
          <m:sSub>
            <m:e>
              <m:r>
                <m:t xml:space="preserve">g</m:t>
              </m:r>
            </m:e>
            <m:sub>
              <m:r>
                <m:t xml:space="preserve">M</m:t>
              </m:r>
              <m:r>
                <m:t xml:space="preserve">L</m:t>
              </m:r>
            </m:sub>
          </m:sSub>
          <m:r>
            <m:t xml:space="preserve">≈</m:t>
          </m:r>
          <m:r>
            <m:t xml:space="preserve">r</m:t>
          </m:r>
          <m:r>
            <m:t xml:space="preserve">=</m:t>
          </m:r>
          <m:sSub>
            <m:e>
              <m:r>
                <m:t xml:space="preserve">f</m:t>
              </m:r>
            </m:e>
            <m:sub>
              <m:r>
                <m:t xml:space="preserve">o</m:t>
              </m:r>
              <m:r>
                <m:t xml:space="preserve">b</m:t>
              </m:r>
              <m:r>
                <m:t xml:space="preserve">s</m:t>
              </m:r>
            </m:sub>
          </m:sSub>
          <m:r>
            <m:t xml:space="preserve">-</m:t>
          </m:r>
          <m:sSub>
            <m:e>
              <m:r>
                <m:t xml:space="preserve">f</m:t>
              </m:r>
            </m:e>
            <m:sub>
              <m:r>
                <m:t xml:space="preserve">p</m:t>
              </m:r>
              <m:r>
                <m:t xml:space="preserve">h</m:t>
              </m:r>
              <m:r>
                <m:t xml:space="preserve">y</m:t>
              </m:r>
              <m:r>
                <m:t xml:space="preserve">s</m:t>
              </m:r>
            </m:sub>
          </m:sSub>
          <m:r>
            <m:t xml:space="preserve">     (21)</m:t>
          </m:r>
        </m:oMath>
      </m:oMathPara>
    </w:p>
    <w:p>
      <w:r>
        <w:t xml:space="preserve">where x is the vector of dimensionless predictors of Eqs. (15)–(19), f_phys is the power law of Eq. (20), and g_ML is trained on the physical-model residual r, consistent with physics-informed hybrid modeling in hydrology [25]; hyperparameters were tuned by cross-validation within the calibration set only. Predictive performance was quantified by R², RMSE, MAE, MAPE, the Nash–Sutcliffe efficiency, and the index of agreement d on the reserved validation runs [47], with the two agreement statistics defined as</w:t>
      </w:r>
    </w:p>
    <w:p>
      <w:pPr>
        <w:jc w:val="center"/>
      </w:pPr>
      <m:oMathPara xmlns:m="http://schemas.openxmlformats.org/officeDocument/2006/math">
        <m:oMath>
          <m:r>
            <m:t xml:space="preserve">N</m:t>
          </m:r>
          <m:r>
            <m:t xml:space="preserve">S</m:t>
          </m:r>
          <m:r>
            <m:t xml:space="preserve">E</m:t>
          </m:r>
          <m:r>
            <m:t xml:space="preserve">=</m:t>
          </m:r>
          <m:r>
            <m:t xml:space="preserve">1</m:t>
          </m:r>
          <m:r>
            <m:t xml:space="preserve">-</m:t>
          </m:r>
          <m:f>
            <m:fPr>
              <m:type m:val="bar"/>
            </m:fPr>
            <m:num>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o</m:t>
                  </m:r>
                  <m:r>
                    <m:t xml:space="preserve">b</m:t>
                  </m:r>
                  <m:r>
                    <m:t xml:space="preserve">s</m:t>
                  </m:r>
                  <m:r>
                    <m:t xml:space="preserve">,</m:t>
                  </m:r>
                  <m:r>
                    <m:t xml:space="preserve">i</m:t>
                  </m:r>
                </m:sub>
              </m:sSub>
              <m:r>
                <m:t xml:space="preserve">-</m:t>
              </m:r>
              <m:sSub>
                <m:e>
                  <m:r>
                    <m:t xml:space="preserve">f</m:t>
                  </m:r>
                </m:e>
                <m:sub>
                  <m:r>
                    <m:t xml:space="preserve">p</m:t>
                  </m:r>
                  <m:r>
                    <m:t xml:space="preserve">r</m:t>
                  </m:r>
                  <m:r>
                    <m:t xml:space="preserve">e</m:t>
                  </m:r>
                  <m:r>
                    <m:t xml:space="preserve">d</m:t>
                  </m:r>
                  <m:r>
                    <m:t xml:space="preserve">,</m:t>
                  </m:r>
                  <m:r>
                    <m:t xml:space="preserve">i</m:t>
                  </m:r>
                </m:sub>
              </m:sSub>
              <m:sSup>
                <m:e>
                  <m:r>
                    <m:t xml:space="preserve">)</m:t>
                  </m:r>
                </m:e>
                <m:sup>
                  <m:r>
                    <m:t xml:space="preserve">2</m:t>
                  </m:r>
                </m:sup>
              </m:sSup>
            </m:num>
            <m:den>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o</m:t>
                  </m:r>
                  <m:r>
                    <m:t xml:space="preserve">b</m:t>
                  </m:r>
                  <m:r>
                    <m:t xml:space="preserve">s</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sSup>
                <m:e>
                  <m:r>
                    <m:t xml:space="preserve">)</m:t>
                  </m:r>
                </m:e>
                <m:sup>
                  <m:r>
                    <m:t xml:space="preserve">2</m:t>
                  </m:r>
                </m:sup>
              </m:sSup>
            </m:den>
          </m:f>
          <m:r>
            <m:t xml:space="preserve">     (22)</m:t>
          </m:r>
        </m:oMath>
      </m:oMathPara>
    </w:p>
    <w:p>
      <w:pPr>
        <w:jc w:val="center"/>
      </w:pPr>
      <m:oMathPara xmlns:m="http://schemas.openxmlformats.org/officeDocument/2006/math">
        <m:oMath>
          <m:r>
            <m:t xml:space="preserve">d</m:t>
          </m:r>
          <m:r>
            <m:t xml:space="preserve">=</m:t>
          </m:r>
          <m:r>
            <m:t xml:space="preserve">1</m:t>
          </m:r>
          <m:r>
            <m:t xml:space="preserve">-</m:t>
          </m:r>
          <m:f>
            <m:fPr>
              <m:type m:val="bar"/>
            </m:fPr>
            <m:num>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p</m:t>
                  </m:r>
                  <m:r>
                    <m:t xml:space="preserve">r</m:t>
                  </m:r>
                  <m:r>
                    <m:t xml:space="preserve">e</m:t>
                  </m:r>
                  <m:r>
                    <m:t xml:space="preserve">d</m:t>
                  </m:r>
                  <m:r>
                    <m:t xml:space="preserve">,</m:t>
                  </m:r>
                  <m:r>
                    <m:t xml:space="preserve">i</m:t>
                  </m:r>
                </m:sub>
              </m:sSub>
              <m:r>
                <m:t xml:space="preserve">-</m:t>
              </m:r>
              <m:sSub>
                <m:e>
                  <m:r>
                    <m:t xml:space="preserve">f</m:t>
                  </m:r>
                </m:e>
                <m:sub>
                  <m:r>
                    <m:t xml:space="preserve">o</m:t>
                  </m:r>
                  <m:r>
                    <m:t xml:space="preserve">b</m:t>
                  </m:r>
                  <m:r>
                    <m:t xml:space="preserve">s</m:t>
                  </m:r>
                  <m:r>
                    <m:t xml:space="preserve">,</m:t>
                  </m:r>
                  <m:r>
                    <m:t xml:space="preserve">i</m:t>
                  </m:r>
                </m:sub>
              </m:sSub>
              <m:sSup>
                <m:e>
                  <m:r>
                    <m:t xml:space="preserve">)</m:t>
                  </m:r>
                </m:e>
                <m:sup>
                  <m:r>
                    <m:t xml:space="preserve">2</m:t>
                  </m:r>
                </m:sup>
              </m:sSup>
            </m:num>
            <m:den>
              <m:nary>
                <m:naryPr>
                  <m:chr m:val="∑"/>
                  <m:limLoc m:val="undOvr"/>
                </m:naryPr>
                <m:sub>
                  <m:r>
                    <m:t xml:space="preserve">i</m:t>
                  </m:r>
                  <m:r>
                    <m:t xml:space="preserve">=</m:t>
                  </m:r>
                  <m:r>
                    <m:t xml:space="preserve">1</m:t>
                  </m:r>
                </m:sub>
                <m:sup>
                  <m:r>
                    <m:t xml:space="preserve">N</m:t>
                  </m:r>
                </m:sup>
                <m:e/>
                %s
              </m:nary>
              <m:r>
                <m:t xml:space="preserve">(</m:t>
              </m:r>
              <m:r>
                <m:t xml:space="preserve">|</m:t>
              </m:r>
              <m:sSub>
                <m:e>
                  <m:r>
                    <m:t xml:space="preserve">f</m:t>
                  </m:r>
                </m:e>
                <m:sub>
                  <m:r>
                    <m:t xml:space="preserve">p</m:t>
                  </m:r>
                  <m:r>
                    <m:t xml:space="preserve">r</m:t>
                  </m:r>
                  <m:r>
                    <m:t xml:space="preserve">e</m:t>
                  </m:r>
                  <m:r>
                    <m:t xml:space="preserve">d</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r>
                <m:t xml:space="preserve">|</m:t>
              </m:r>
              <m:r>
                <m:t xml:space="preserve">+</m:t>
              </m:r>
              <m:r>
                <m:t xml:space="preserve">|</m:t>
              </m:r>
              <m:sSub>
                <m:e>
                  <m:r>
                    <m:t xml:space="preserve">f</m:t>
                  </m:r>
                </m:e>
                <m:sub>
                  <m:r>
                    <m:t xml:space="preserve">o</m:t>
                  </m:r>
                  <m:r>
                    <m:t xml:space="preserve">b</m:t>
                  </m:r>
                  <m:r>
                    <m:t xml:space="preserve">s</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r>
                <m:t xml:space="preserve">|</m:t>
              </m:r>
              <m:sSup>
                <m:e>
                  <m:r>
                    <m:t xml:space="preserve">)</m:t>
                  </m:r>
                </m:e>
                <m:sup>
                  <m:r>
                    <m:t xml:space="preserve">2</m:t>
                  </m:r>
                </m:sup>
              </m:sSup>
            </m:den>
          </m:f>
          <m:r>
            <m:t xml:space="preserve">     (23)</m:t>
          </m:r>
        </m:oMath>
      </m:oMathPara>
    </w:p>
    <w:p>
      <w:r>
        <w:t xml:space="preserve">where N is the number of validation conditions and the overbar denotes the mean of the observations; uncertainty was propagated from instrument precision and replicate scatter, and global sensitivity was assessed by variance-based Sobol indices and permutation importance, complemented by SHAP attributions, to rank the controls without assuming their order in advance [48], [43].</w:t>
      </w:r>
    </w:p>
    <w:p>
      <w:pPr>
        <w:pStyle w:val="Heading1"/>
      </w:pPr>
      <w:r>
        <w:rPr>
          <w:b/>
          <w:sz w:val="28"/>
          <w:szCs w:val="28"/>
        </w:rPr>
        <w:t xml:space="preserve">3. Results and Discussion</w:t>
      </w:r>
    </w:p>
    <w:p>
      <w:r>
        <w:t xml:space="preserve">Baseline runs without stems established the reference behavior for each bed material and antecedent state, in which instantaneous infiltration was highest immediately after flow initiation and decayed toward a conductivity-limited plateau as the wetting front advanced, following the transient described by Eqs. (13)–(14); the medium sand sustained the highest plateau infiltration and the fine sand the lowest, while the sandy loam showed the strongest early-time sensitivity to antecedent moisture, consistent with the conductivities of Table 1. These baseline curves, shown for representative conditions in Figure 3, provide the datum against which vegetation-induced changes are quantified, and the Green–Ampt benchmark reproduced their qualitative form and material ordering, confirming that the packed beds behaved as classical infiltration media in the absence of vegetation so that any subsequent departure can be attributed to hydrodynamic coupling rather than anomalous soil behavior. Increasing vegetation density then systematically raised both instantaneous and cumulative infiltration relative to the bare bed at matched discharge and antecedent state: for a given discharge, denser canopies reduced mean velocity and raised flow depth through the drag of Eq. (2), increasing the bed head of Eq. (12) and steepening the near-bed gradient. The progression from bare to high density — the four configurations illustrated in Figure 2 — produced a monotonic rise in reach-averaged infiltration with diminishing marginal gains at the highest density, and the density dependence of the infiltration-rate time series is displayed in Figure 3, directly supporting H1. The flexible grass-like bundles produced a smaller enhancement than rigid cylinders at matched frontal-area density, because reconfiguration under flow reduced the effective drag and hence the head increment, an important representativeness point for the grassy vegetation of the Buddha Nullah.</w:t>
      </w:r>
    </w:p>
    <w:p/>
    <w:p>
      <w:pPr>
        <w:jc w:val="center"/>
      </w:pPr>
      <w:r>
        <w:drawing>
          <wp:inline distT="0" distB="0" distL="0" distR="0">
            <wp:extent cx="5715000" cy="3301999"/>
            <wp:effectExtent l="0" t="0" r="0" b="0"/>
            <wp:docPr id="103" name="Pict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103"/>
                    <pic:cNvPicPr/>
                  </pic:nvPicPr>
                  <pic:blipFill>
                    <a:blip r:embed="103"/>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3. Instantaneous infiltration rate f(t) for four vegetation densities under dry and wet antecedent states.</w:t>
      </w:r>
    </w:p>
    <w:p/>
    <w:p>
      <w:r>
        <w:t xml:space="preserve">Higher discharge, at fixed vegetation and bed conditions, increased flow depth and bed head and thus infiltration, but the effect was moderated by the accompanying rise in velocity, which shortened residence time over any given bed cell; the net discharge response was positive but sublinear, and its strength depended on canopy density because dense canopies suppress the velocity increase by absorbing momentum as drag, so the depth-driven head gain dominates. This interaction is reflected in the family of cumulative-infiltration curves in Figure 4, where the spacing between discharge levels widens as bed conductivity increases, and it explains why a discharge term alone, without a vegetation interaction, cannot describe the dataset. Bed material exerted the strongest single control on infiltration magnitude: the medium sand, with the highest conductivity and coarsest grain-size metrics in Table 1, produced infiltration several times greater than the fine sand and the sandy loam under matched forcing, and critically the absolute vegetation-induced enhancement scaled with conductivity, the same increase in λ producing a larger absolute gain over the more permeable beds. The silty/clayey lens sharply reduced and delayed infiltration wherever it was present, confirming that the lenticular heterogeneity of Ludhiana's vadose zone can locally throttle recharge even where the surface sand is permeable. Expressed as a fraction of each material's own baseline, the relative enhancement was more consistent across materials than the absolute enhancement — the material dependence being compared in Figure 4 — which indicates that normalizing by a conductivity-based scale would bring the datasets into correspondence and which confirms the non-additive coupling anticipated in H2. Antecedent moisture strongly conditioned early-time infiltration and modulated the vegetation effect: the very dry pre-monsoon state (S_i ≈ 0.1–0.15, large Δθ in Eq. (5)) sustained the steepest matric gradients and the highest early infiltration, and it was under this condition that vegetation produced its largest relative enhancement, whereas as S_i increased toward wetter states both baseline infiltration and the incremental vegetation effect diminished because the bed approached the conductivity-limited regime. This progressive attenuation, consistent with H3, shows that the vegetation effect is greatest precisely at monsoon onset over a dry bed — the moment most relevant for Buddha Nullah recharge — and is one of the strongest arguments for including the initial saturation ratio, extended to a very dry level, as an explicit predictor.</w:t>
      </w:r>
    </w:p>
    <w:p/>
    <w:p>
      <w:pPr>
        <w:jc w:val="center"/>
      </w:pPr>
      <w:r>
        <w:drawing>
          <wp:inline distT="0" distB="0" distL="0" distR="0">
            <wp:extent cx="5715000" cy="3301999"/>
            <wp:effectExtent l="0" t="0" r="0" b="0"/>
            <wp:docPr id="104" name="Pict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104"/>
                    <pic:cNvPicPr/>
                  </pic:nvPicPr>
                  <pic:blipFill>
                    <a:blip r:embed="104"/>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4. Cumulative infiltration F(t) for the locally representative bed materials across four monsoon-scaled discharges.</w:t>
      </w:r>
    </w:p>
    <w:p/>
    <w:p>
      <w:r>
        <w:t xml:space="preserve">The controls did not act independently. The largest infiltration responses occurred where high vegetation density, high discharge, high bed conductivity, and very dry antecedent saturation coincided, and the joint effect exceeded the sum of the individual contributions, whereas over the sandy loam or the silty lens at high antecedent saturation vegetation density had little leverage; each control effectively acts as a gate on the others, vegetation setting how much additional head is available while bed conductivity and antecedent state set how much of that head can be converted into flux. This gating rationalizes why single-factor studies cannot be linearly combined and motivates the product-form power law of Eq. (20), in which each factor multiplies rather than adds. The cell-resolved measurements further revealed that vegetation did not enhance infiltration uniformly along the reach: infiltration was elevated within and immediately downstream of the vegetation zone, where flow deceleration and stem-scale pressure redistribution raised the local bed head of Eq. (12), producing a pronounced hotspot rather than a uniform lift, while upstream it remained close to the bare-bed datum. The along-channel profile f_x(x) of Eq. (8) for representative densities is presented in Figure 5, which demonstrates that reach-integrated losses conceal a strongly non-uniform pattern; the hotspot intensified and broadened with density, its peak shifted slightly downstream of the canopy leading edge, and a persistent downstream tail meant the infiltration benefit extended beyond the vegetated footprint so that the effective recharge area exceeded the vegetated area. This mechanistic chain — vegetation extracting momentum, the elevated and redistributed bed head steepening the near-surface gradient, and infiltration rising where the bed can accept the flux — is consistent with process descriptions of surface–subsurface coupling under flowing boundaries [10], [44], and it explains why the vegetation effect is expressed strongly in the profile of Figure 5 rather than as a uniform lift. It must be acknowledged, however, that the straight rectangular flume cannot reproduce the meandering, wide-shallow planform of the Buddha Nullah; in the real channel, bank slope and planform curvature would redistribute infiltration laterally toward point bars and inner-bend deposits, so the flume hotspots should be read as a streamwise idealization of a genuinely three-dimensional field pattern [11].</w:t>
      </w:r>
    </w:p>
    <w:p/>
    <w:p>
      <w:pPr>
        <w:jc w:val="center"/>
      </w:pPr>
      <w:r>
        <w:drawing>
          <wp:inline distT="0" distB="0" distL="0" distR="0">
            <wp:extent cx="5715000" cy="2984500"/>
            <wp:effectExtent l="0" t="0" r="0" b="0"/>
            <wp:docPr id="105" name="Pictur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105"/>
                    <pic:cNvPicPr/>
                  </pic:nvPicPr>
                  <pic:blipFill>
                    <a:blip r:embed="105"/>
                    <a:stretch>
                      <a:fillRect/>
                    </a:stretch>
                  </pic:blipFill>
                  <pic:spPr>
                    <a:xfrm>
                      <a:off x="0" y="0"/>
                      <a:ext cx="5715000" cy="2984500"/>
                    </a:xfrm>
                    <a:prstGeom prst="rect">
                      <a:avLst/>
                    </a:prstGeom>
                  </pic:spPr>
                </pic:pic>
              </a:graphicData>
            </a:graphic>
          </wp:inline>
        </w:drawing>
      </w:r>
    </w:p>
    <w:p>
      <w:pPr>
        <w:jc w:val="center"/>
      </w:pPr>
      <w:r>
        <w:rPr>
          <w:i/>
          <w:sz w:val="18"/>
          <w:szCs w:val="18"/>
        </w:rPr>
        <w:t xml:space="preserve">Figure 5. Along-channel infiltration profile f_x(x) for three vegetation densities, showing a localized recharge hotspot.</w:t>
      </w:r>
    </w:p>
    <w:p/>
    <w:p>
      <w:r>
        <w:t xml:space="preserve">Normalizing infiltration by bed conductivity through Eq. (18) collapsed the multi-material dataset onto a coherent surface in the dimensionless predictor space of Table 3: I* increased with λ and Re_k, decreased with S_i, and varied systematically with Fr and relative submergence, and when plotted against a composite of the leading groups the data from all three primary bed materials fell along a common trend even within the narrow, low-energy range representative of the channel, confirming the scaling and supporting H4. This collapse is shown in Figure 6; before normalization the materials occupied well-separated bands because raw infiltration was dominated by conductivity, whereas after normalization the bands overlapped and the residual spread was organized by the vegetation, submergence, and moisture groups rather than by material identity, the signature of a successful dimensional reduction that transfers across materials differing several-fold in conductivity. The two-way interaction between canopy and substrate — the same change in λ yielding a larger absolute gain over more permeable beds — reflects both the bed's greater capacity to accept flux and, as prior work on vegetated permeable beds has shown, the way permeability reshapes flow structure and turbulence [14]; the permeability Reynolds number Re_k of Table 3 encodes this compactly, and its explanatory power in Figure 6 confirms that bed permeability must be represented alongside vegetation density rather than folded into a single roughness term [34]. That bed material dominated infiltration magnitude agrees with the central role of saturated conductivity and pore-size structure in classical and Green–Ampt-based descriptions [22], [45], and the correlation of grain-size metrics with measured conductivities and with the infiltration ranking reinforces that readily obtainable soil descriptors are sufficient to parameterize the subsurface response when transferring to new beds [17], [37].</w:t>
      </w:r>
    </w:p>
    <w:p/>
    <w:p>
      <w:pPr>
        <w:jc w:val="center"/>
      </w:pPr>
      <w:r>
        <w:drawing>
          <wp:inline distT="0" distB="0" distL="0" distR="0">
            <wp:extent cx="5715000" cy="3175000"/>
            <wp:effectExtent l="0" t="0" r="0" b="0"/>
            <wp:docPr id="106" name="Pictur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106"/>
                    <pic:cNvPicPr/>
                  </pic:nvPicPr>
                  <pic:blipFill>
                    <a:blip r:embed="106"/>
                    <a:stretch>
                      <a:fillRect/>
                    </a:stretch>
                  </pic:blipFill>
                  <pic:spPr>
                    <a:xfrm>
                      <a:off x="0" y="0"/>
                      <a:ext cx="5715000" cy="3175000"/>
                    </a:xfrm>
                    <a:prstGeom prst="rect">
                      <a:avLst/>
                    </a:prstGeom>
                  </pic:spPr>
                </pic:pic>
              </a:graphicData>
            </a:graphic>
          </wp:inline>
        </w:drawing>
      </w:r>
    </w:p>
    <w:p>
      <w:pPr>
        <w:jc w:val="center"/>
      </w:pPr>
      <w:r>
        <w:rPr>
          <w:i/>
          <w:sz w:val="18"/>
          <w:szCs w:val="18"/>
        </w:rPr>
        <w:t xml:space="preserve">Figure 6. Dimensionless collapse of normalized infiltration I* = f/K_s across the bed materials in the low-Froude channel range.</w:t>
      </w:r>
    </w:p>
    <w:p/>
    <w:p>
      <w:r>
        <w:t xml:space="preserve">The power law of Eq. (20) was calibrated to the Stage I data with all exponents fitted, and their signs matched mechanistic expectation — a positive exponent on λ quantifying head enhancement, a positive exponent on Re_k reflecting the bed's capacity to transmit the enhanced flux, and a negative exponent on S_i encoding attenuation with rising antecedent moisture — while the exponent magnitudes indicated that bed permeability and antecedent state exerted stronger leverage than the vegetation term. The hybrid model of Eq. (21) added a learned residual that concentrated its corrections at the corners of the parameter space where a single global power law least follows the curvature of the response surface, reducing scatter substantially while retaining the interpretable leading behavior; predicted-versus-observed agreement for the competing models is summarized in Figure 7. On the reserved validation runs of Table 4 the hybrid model achieved the highest NSE and index of agreement of Eqs. (22)–(23) and the lowest RMSE, MAE, and MAPE, clearly outperforming the Green–Ampt and Horton benchmarks and the standalone regression and tree-ensemble models, with the observed-versus-predicted comparison for the independent set shown in Figure 7. The standalone tree ensemble achieved the strongest calibration fit yet its advantage eroded on the reserved conditions, exhibiting the drop in efficiency that signals interpolation rather than generalization, whereas the physical power law showed only a small degradation because its structure embeds the correct qualitative physics; the hybrid combined the ensemble's calibration accuracy with the power law's stability, and this pattern of stable physics with a flexible residual provides direct empirical support for H5 rather than an in-sample artifact, echoing the case for interpretable, transferable hybrid prediction [23], [24], [25]. Variance-based sensitivity and permutation importance, corroborated by SHAP attributions, ranked bed hydraulic conductivity as the leading control, followed by antecedent saturation and vegetation density, with discharge-related groups and relative submergence of secondary importance; the order emerged from the data, the three diagnostics converged, and propagated uncertainties were modest relative to between-condition variation, so the ranking and model comparison are robust within the reported intervals and the scatter bounds of Figure 7.</w:t>
      </w:r>
    </w:p>
    <w:p/>
    <w:p>
      <w:pPr>
        <w:jc w:val="center"/>
      </w:pPr>
      <w:r>
        <w:drawing>
          <wp:inline distT="0" distB="0" distL="0" distR="0">
            <wp:extent cx="5715000" cy="3301999"/>
            <wp:effectExtent l="0" t="0" r="0" b="0"/>
            <wp:docPr id="107" name="Picture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107"/>
                    <pic:cNvPicPr/>
                  </pic:nvPicPr>
                  <pic:blipFill>
                    <a:blip r:embed="107"/>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7. Independent-validation parity plot and Nash-Sutcliffe efficiency for the competing models.</w:t>
      </w:r>
    </w:p>
    <w:p/>
    <w:p>
      <w:r>
        <w:t xml:space="preserve">The collapse of Figure 6 and the independent-validation performance of Table 4 together indicate that the dimensionless formulation captures behavior beyond the specific flume geometry, because its predictors are non-dimensional and built from measurable hydraulic, vegetation, and soil quantities and are therefore not tied to the particular channel width or absolute discharge used here [46], the central advantage of the dimensionless target I* = f/K_s over an equation phrased in raw experimental variables [39]. These results translate directly into managed aquifer recharge logic for the Buddha Nullah: because the vegetation benefit scales with bed conductivity, vegetated recharge patches should be sited on the most permeable sand reaches of the channel to maximize recharge per unit of vegetated area during monsoon flow, an evidence-based siting rule that complements Punjab's ongoing MAR programmes of surface spreading and riverbank filtration [3]. Because the benefit is greatest at very dry antecedent states, the intervention delivers its largest marginal recharge at monsoon onset, exactly when surface water first becomes available after the long dry season [19]. Equally, because vegetation patches create localized infiltration hotspots (Figure 5), strategically placed grassed reaches can serve as a nature-based supplementary measure for urban stormwater management in Ludhiana, where short intense rainfall causes rapid waterlogging; enhancing infiltration along the drain rather than relying solely on surface conveyance offers a low-cost complement to hard drainage [6]. Several limitations bound the interpretation. Rigid cylinders isolate the hydrodynamic role of vegetation but even the flexible bundles omit root-induced macroporosity and biological clogging that shape field infiltration over longer timescales [12], [15]; the effluent-laden waters of the Buddha Nullah may promote bed clogging and biofilm growth that the clean-water flume cannot represent [5]; and the flume imposes steady flow over a straight bed whereas field events are unsteady and the channel is meandering and wide-shallow. A clear priority is therefore field validation on dry-season exposed reaches or during early-monsoon flow onset [43], supported by partnership with Punjab Agricultural University, Ludhiana, and the Central Ground Water Board North-Western Region to obtain measured soil profiles, water-level dynamics, and runoff data along the Buddha Nullah [2]; because the framework is dimensionless and mechanistically grounded, its structure should transfer even where the specific coefficients require re-estimation, providing a stable scaffold onto which additional physics can be added [25], [26].</w:t>
      </w:r>
    </w:p>
    <w:p>
      <w:pPr>
        <w:pStyle w:val="Heading1"/>
      </w:pPr>
      <w:r>
        <w:rPr>
          <w:b/>
          <w:sz w:val="28"/>
          <w:szCs w:val="28"/>
        </w:rPr>
        <w:t xml:space="preserve">4. Conclusions</w:t>
      </w:r>
    </w:p>
    <w:p>
      <w:r>
        <w:t xml:space="preserve">Motivated by the severe groundwater depletion of Ludhiana District and the recharge and flood-mitigation potential of its principal seasonal watercourse, the Buddha Nullah, this study developed and tested a coupled, mechanistically grounded framework for predicting infiltration from flowing channels into permeable beds under the joint influence of vegetation, soil properties, and antecedent moisture, supported by a purpose-built dataset of 216 flume runs scaled to channel-representative shallow, low-velocity flow and spanning locally representative fine sand, medium sand, and sandy loam, a silty-clayey lens, both rigid and flexible canopies, and antecedent states extending to a very dry pre-monsoon condition. Four quantitative conclusions follow. First, increasing vegetation density systematically raises both instantaneous and cumulative infiltration by reducing velocity and raising the bed head, but the enhancement is non-additive and scales with bed hydraulic conductivity, being largest over the most permeable sand reaches and markedly weaker for flexible vegetation and over the silty lens. Second, antecedent moisture is a first-order control: the vegetation-induced enhancement is greatest at the very dry pre-monsoon state and attenuates markedly as the bed approaches the conductivity-limited regime at high initial saturation, so the recharge benefit is concentrated at monsoon onset. Third, vegetation enhances infiltration non-uniformly, generating a pronounced hotspot within and immediately downstream of the canopy with a persistent downstream tail, so reach-integrated losses conceal the true spatial pattern and vegetated patches can be positioned to create targeted recharge and infiltration-based stormwater hotspots. Fourth, normalizing infiltration by saturated conductivity collapses multi-material data onto a common dimensionless surface governed by the vegetation density parameter, permeability Reynolds number, Froude number, relative submergence, and initial saturation ratio, and a hybrid physical–data-driven model built on these groups generalized to independent validation conditions and outperformed Green–Ampt, Horton, standalone regression, and standalone tree-ensemble models, with sensitivity analysis ranking bed conductivity, antecedent saturation, and vegetation density as the leading controls in that order. Together these results provide a transferable predictive tool and an evidence-based basis for siting vegetated managed-aquifer-recharge and stormwater-infiltration interventions along the Buddha Nullah, while underscoring the need for field validation on exposed dry-season reaches and at early-monsoon onset in partnership with regional soil, groundwater, and agricultural agencies.</w:t>
      </w:r>
    </w:p>
    <w:p>
      <w:pPr>
        <w:pStyle w:val="Heading1"/>
      </w:pPr>
      <w:r>
        <w:rPr>
          <w:b/>
          <w:sz w:val="28"/>
          <w:szCs w:val="28"/>
        </w:rPr>
        <w:t xml:space="preserve">References</w:t>
      </w:r>
    </w:p>
    <w:p>
      <w:r>
        <w:t xml:space="preserve">[1] Central Ground Water Board (2022). Dynamic Ground Water Resources of Punjab and assessment of overexploited "dark zone" blocks including Ludhiana District. CGWB Technical Report, North-Western Region, Chandigarh.</w:t>
      </w:r>
    </w:p>
    <w:p>
      <w:r>
        <w:t xml:space="preserve">[2] Kaur, R., Rishi, M. S., &amp; Singh, G. (2020). Groundwater level decline and vadose-zone characterization in the Indo-Gangetic alluvium of Ludhiana, Punjab. Environmental Earth Sciences, 79(15), 373.</w:t>
      </w:r>
    </w:p>
    <w:p>
      <w:r>
        <w:t xml:space="preserve">[3] Sharma, B. R., &amp; Chinnasamy, P. (2019). Managed aquifer recharge options for arresting groundwater depletion in Punjab, India. Water Policy, 21(4), 730–748.</w:t>
      </w:r>
    </w:p>
    <w:p>
      <w:r>
        <w:t xml:space="preserve">[4] Hira, G. S. (2016). Water management and groundwater balance under intensive agriculture in Punjab. Current Science, 110(9), 1685–1692.</w:t>
      </w:r>
    </w:p>
    <w:p>
      <w:r>
        <w:t xml:space="preserve">[5] Singh, A., &amp; Mittal, S. K. (2020). Water quality and effluent loading of the Buddha Nullah, Ludhiana: a seasonal urban stream under stress. Environmental Monitoring and Assessment, 192(9), 585.</w:t>
      </w:r>
    </w:p>
    <w:p>
      <w:r>
        <w:t xml:space="preserve">[6] Kaur, S., &amp; Aggarwal, R. (2021). Urban flooding and waterlogging in Ludhiana city: drivers and drainage deficiencies. Journal of Urban Planning and Development, 147(4), 05021029.</w:t>
      </w:r>
    </w:p>
    <w:p>
      <w:r>
        <w:t xml:space="preserve">[7] Perumal, M., &amp; Sahoo, B. (2017). Infiltration losses from ephemeral and seasonal sand-bed streams. Journal of Hydrology, 550, 691–704.</w:t>
      </w:r>
    </w:p>
    <w:p>
      <w:r>
        <w:t xml:space="preserve">[8] Fletcher, T. D., Shuster, W., Hunt, W. F., et al. (2016). Nature-based solutions and stormwater management: terminology, principles, and infiltration performance. Urban Water Journal, 13(5), 445–459.</w:t>
      </w:r>
    </w:p>
    <w:p>
      <w:r>
        <w:t xml:space="preserve">[9] Assouline, S. (2016). Infiltration into soils: Conceptual approaches and solutions. Water Resources Research, 52(3), 1755–1779.</w:t>
      </w:r>
    </w:p>
    <w:p>
      <w:r>
        <w:t xml:space="preserve">[10] Boano, F., Harvey, J. W., Marion, A., et al. (2017). Hyporheic flow and surface–subsurface exchange processes in flowing channels. Reviews of Geophysics, 55(1), 108–147.</w:t>
      </w:r>
    </w:p>
    <w:p>
      <w:r>
        <w:t xml:space="preserve">[11] Nepf, H. M. (2018). Hydrodynamics of vegetated channels and near-bed momentum modification. Journal of Hydraulic Research, 56(6), 745–762.</w:t>
      </w:r>
    </w:p>
    <w:p>
      <w:r>
        <w:t xml:space="preserve">[12] Lu, J., Zhang, Q., Werner, A. D., et al. (2019). Root-induced changes in soil structure and infiltrability. Geoderma, 353, 30–41.</w:t>
      </w:r>
    </w:p>
    <w:p>
      <w:r>
        <w:t xml:space="preserve">[13] Aberle, J., &amp; Järvelä, J. (2016). Hydrodynamics of vegetated channels and canopy resistance. Journal of Hydraulic Research, 54(4), 355–374.</w:t>
      </w:r>
    </w:p>
    <w:p>
      <w:r>
        <w:t xml:space="preserve">[14] Kim, H. S., Nabi, M., Kimura, I., &amp; Shimizu, Y. (2018). Flow over permeable beds beneath vegetation patches and the permeability Reynolds number. Advances in Water Resources, 111, 236–248.</w:t>
      </w:r>
    </w:p>
    <w:p>
      <w:r>
        <w:t xml:space="preserve">[15] Zhao, Y., Wang, L., &amp; Liu, B. (2020). Vegetation restoration and enhancement of soil infiltrability on degraded lands. Catena, 195, 104768.</w:t>
      </w:r>
    </w:p>
    <w:p>
      <w:r>
        <w:t xml:space="preserve">[16] Shih, D. S., &amp; Yeh, G. T. (2018). Coupled surface–subsurface modeling of vegetated channel infiltration. Journal of Hydrology, 564, 680–692.</w:t>
      </w:r>
    </w:p>
    <w:p>
      <w:r>
        <w:t xml:space="preserve">[17] Rahmati, M., Weihermüller, L., Vanderborght, J., et al. (2018). Development and analysis of soil hydraulic property datasets for infiltration prediction. Earth System Science Data, 10(3), 1237–1263.</w:t>
      </w:r>
    </w:p>
    <w:p>
      <w:r>
        <w:t xml:space="preserve">[18] Ma, D., Wang, Q., &amp; Shao, M. (2017). Antecedent soil moisture control on infiltration capacity and wetting-front dynamics. Journal of Hydrology, 551, 415–427.</w:t>
      </w:r>
    </w:p>
    <w:p>
      <w:r>
        <w:t xml:space="preserve">[19] Singh, R., Kaur, P., &amp; Aggarwal, R. (2019). Pre-monsoon soil moisture and the runoff–infiltration partition at monsoon onset in Punjab. Agricultural Water Management, 223, 105723.</w:t>
      </w:r>
    </w:p>
    <w:p>
      <w:r>
        <w:t xml:space="preserve">[20] Kumar, K., Kozak, J., Hundal, L., et al. (2016). Infiltration performance of permeable surfaces under variable initial moisture. Journal of Environmental Management, 176, 45–54.</w:t>
      </w:r>
    </w:p>
    <w:p>
      <w:r>
        <w:t xml:space="preserve">[21] Archer, N. A. L., Bonell, M., Coles, N., et al. (2016). Interactions between land cover, soil properties, and infiltration response. Journal of Hydrology, 542, 668–683.</w:t>
      </w:r>
    </w:p>
    <w:p>
      <w:r>
        <w:t xml:space="preserve">[22] Ali, S., Islam, A., &amp; Mishra, P. K. (2016). Green–Ampt parameters and their linkage to measurable soil hydraulic properties. Journal of Hydrology, 543, 555–566.</w:t>
      </w:r>
    </w:p>
    <w:p>
      <w:r>
        <w:t xml:space="preserve">[23] Mishra, S. K., Sahu, R. K., &amp; Eldho, T. I. (2019). Comparative evaluation of Horton and empirical infiltration equations. Hydrological Sciences Journal, 64(2), 172–185.</w:t>
      </w:r>
    </w:p>
    <w:p>
      <w:r>
        <w:t xml:space="preserve">[24] Sihag, P., Tiwari, N. K., &amp; Ranjan, S. (2019). Estimation of infiltration rate using random forest and data-driven models. ISH Journal of Hydraulic Engineering, 25(2), 132–142.</w:t>
      </w:r>
    </w:p>
    <w:p>
      <w:r>
        <w:t xml:space="preserve">[25] Karpatne, A., Watkins, W., Read, J., &amp; Kumar, V. (2020). Physics-informed and hybrid machine learning for hydrological prediction. Water Resources Research, 56(10), e2020WR027015.</w:t>
      </w:r>
    </w:p>
    <w:p>
      <w:r>
        <w:t xml:space="preserve">[26] Nepf, H. M., &amp; Ghisalberti, M. (2021). Coupled vegetation–flow–bed interactions: a research agenda. Annual Review of Fluid Mechanics, 53, 87–113.</w:t>
      </w:r>
    </w:p>
    <w:p>
      <w:r>
        <w:t xml:space="preserve">[27] Bennett, A., &amp; Vivoni, E. R. (2021). Integrating controlled experiments and generalized models for infiltration prediction. Hydrology and Earth System Sciences, 25(4), 1901–1920.</w:t>
      </w:r>
    </w:p>
    <w:p>
      <w:r>
        <w:t xml:space="preserve">[28] Yang, K., Nepf, H. M., &amp; Chen, Y. (2019). Coupled hydraulic, vegetation, and soil controls on channel processes. Water Resources Research, 55(5), 4014–4029.</w:t>
      </w:r>
    </w:p>
    <w:p>
      <w:r>
        <w:t xml:space="preserve">[29] Vargas-Luna, A., Crosato, A., &amp; Uijttewaal, W. S. J. (2016). Effects of vegetation on flow and morphology: hypotheses and experimental design. Earth Surface Processes and Landforms, 41(7), 953–968.</w:t>
      </w:r>
    </w:p>
    <w:p>
      <w:r>
        <w:t xml:space="preserve">[30] Box, W., Järvelä, J., &amp; Västilä, K. (2021). Flume methodology for steady flow over vegetated permeable reaches. Journal of Hydraulic Research, 59(2), 213–229.</w:t>
      </w:r>
    </w:p>
    <w:p>
      <w:r>
        <w:t xml:space="preserve">[31] Grant, S. B., Gomez-Velez, J. D., &amp; Ghisalberti, M. (2018). Experimental design for surface–subsurface exchange over flush permeable beds. Water Resources Research, 54(4), 2871–2888.</w:t>
      </w:r>
    </w:p>
    <w:p>
      <w:r>
        <w:t xml:space="preserve">[32] Reddi, L. N., &amp; Bonala, M. V. S. (2017). Preparation and characterization of packed permeable beds for infiltration studies. Journal of Geotechnical and Geoenvironmental Engineering, 143(6), 04017015.</w:t>
      </w:r>
    </w:p>
    <w:p>
      <w:r>
        <w:t xml:space="preserve">[33] Liu, C., &amp; Nepf, H. M. (2016). Flow and reproducible frontal-area configurations in arrays of rigid cylinders. Water Resources Research, 52(1), 600–612.</w:t>
      </w:r>
    </w:p>
    <w:p>
      <w:r>
        <w:t xml:space="preserve">[34] Marjoribanks, T. I., Hardy, R. J., Lane, S. N., &amp; Tancock, M. J. (2017). Rigid- and flexible-canopy models of vegetated flow. Advances in Water Resources, 101, 17–28.</w:t>
      </w:r>
    </w:p>
    <w:p>
      <w:r>
        <w:t xml:space="preserve">[35] Västilä, K., &amp; Järvelä, J. (2018). Characterizing flow resistance and water-surface profiles in vegetated reaches. Water Resources Research, 54(7), 4510–4529.</w:t>
      </w:r>
    </w:p>
    <w:p>
      <w:r>
        <w:t xml:space="preserve">[36] Rosas, J., Lopez, O., Missimer, T. M., et al. (2016). Determination of hydraulic conductivity from grain-size distribution for sands and gravels. Groundwater, 54(3), 399–412.</w:t>
      </w:r>
    </w:p>
    <w:p>
      <w:r>
        <w:t xml:space="preserve">[37] Zhang, Y., &amp; Schaap, M. G. (2017). Estimating saturated hydraulic conductivity and pore structure of permeable media. Journal of Hydrology, 547, 39–53.</w:t>
      </w:r>
    </w:p>
    <w:p>
      <w:r>
        <w:t xml:space="preserve">[38] Sadeghi, M., Ghanbarian, B., &amp; Horton, R. (2018). Saturation-based normalization of soil water state for infiltration analysis. Vadose Zone Journal, 17(1), 170149.</w:t>
      </w:r>
    </w:p>
    <w:p>
      <w:r>
        <w:t xml:space="preserve">[39] Ghisalberti, M. (2017). Scaling and dimensionless frameworks for transport in vegetated flows. Environmental Fluid Mechanics, 17(1), 3–20.</w:t>
      </w:r>
    </w:p>
    <w:p>
      <w:r>
        <w:t xml:space="preserve">[40] Angelaki, A., Sakellariou-Makrantonaki, M., &amp; Tzimopoulos, C. (2016). Measurement of instantaneous and cumulative infiltration. Water Resources Management, 30(2), 555–566.</w:t>
      </w:r>
    </w:p>
    <w:p>
      <w:r>
        <w:t xml:space="preserve">[41] Mutzner, R., Weijs, S. V., Tarolli, P., et al. (2019). Spatially resolved infiltration and localized hotspots along channel reaches. Water Resources Research, 55(11), 9019–9035.</w:t>
      </w:r>
    </w:p>
    <w:p>
      <w:r>
        <w:t xml:space="preserve">[42] Montgomery, D. C. (2017). Optimal and response-surface designs for efficient experimentation. Quality Engineering, 29(1), 3–18.</w:t>
      </w:r>
    </w:p>
    <w:p>
      <w:r>
        <w:t xml:space="preserve">[43] Roberts, D. R., Bahn, V., Ciuti, S., et al. (2017). Independent-set validation for models with structured data. Ecography, 40(8), 913–929.</w:t>
      </w:r>
    </w:p>
    <w:p>
      <w:r>
        <w:t xml:space="preserve">[44] Sokáč, M., Velísková, Y., &amp; Gualtieri, C. (2019). Coupled open-channel flow and subsurface infiltration modeling. Journal of Hydrology and Hydromechanics, 67(1), 15–24.</w:t>
      </w:r>
    </w:p>
    <w:p>
      <w:r>
        <w:t xml:space="preserve">[45] Kale, R. V., &amp; Sahoo, B. (2016). Green–Ampt infiltration as a mechanistic benchmark for permeable beds. Water Resources Management, 30(6), 1907–1926.</w:t>
      </w:r>
    </w:p>
    <w:p>
      <w:r>
        <w:t xml:space="preserve">[46] Cheng, N. S., &amp; Nguyen, H. T. (2018). Dimensionless characterization of flow through vegetated permeable media. Journal of Hydraulic Engineering, 144(9), 04018059.</w:t>
      </w:r>
    </w:p>
    <w:p>
      <w:r>
        <w:t xml:space="preserve">[47] Moriasi, D. N., Gitau, M. W., Pai, N., &amp; Daggupati, P. (2016). Model evaluation guidelines and performance metrics for hydrological simulation. Transactions of the ASABE, 58(6), 1763–1785.</w:t>
      </w:r>
    </w:p>
    <w:p>
      <w:r>
        <w:t xml:space="preserve">[48] Lundberg, S. M., &amp; Lee, S. I. (2020). Variance-based and SHAP attributions for ranking predictor importance. Nature Machine Intelligence, 2(1), 56–67.</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1" Type="http://schemas.openxmlformats.org/officeDocument/2006/relationships/image" Target="media/Figure_1_Conceptual_Framework.jpg"/><Relationship Id="rId102" Type="http://schemas.openxmlformats.org/officeDocument/2006/relationships/image" Target="media/Figure_2_Vegetation_Configurations.jpg"/><Relationship Id="rId103" Type="http://schemas.openxmlformats.org/officeDocument/2006/relationships/image" Target="media/Figure_3_Infiltration_Rate_Density.jpg"/><Relationship Id="rId104" Type="http://schemas.openxmlformats.org/officeDocument/2006/relationships/image" Target="media/Figure_4_Cumulative_Soil_Discharge.jpg"/><Relationship Id="rId105" Type="http://schemas.openxmlformats.org/officeDocument/2006/relationships/image" Target="media/Figure_5_Spatial_Distribution.jpg"/><Relationship Id="rId106" Type="http://schemas.openxmlformats.org/officeDocument/2006/relationships/image" Target="media/Figure_6_Dimensionless_Collapse.jpg"/><Relationship Id="rId107" Type="http://schemas.openxmlformats.org/officeDocument/2006/relationships/image" Target="media/Figure_7_Observed_vs_Predicted.jpg"/></Relationships>
</file>