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b/>
          <w:sz w:val="32"/>
        </w:rPr>
        <w:t>Adaptive Living Systems and Computational Ecology in Regenerative Tourism Infrastructure: A Transdisciplinary Framework for Bio-Integrated Spatial Design</w:t>
      </w:r>
    </w:p>
    <w:p>
      <w:pPr>
        <w:pBdr>
          <w:bottom w:val="single" w:sz="6" w:space="1" w:color="000000"/>
        </w:pBdr>
      </w:pPr>
    </w:p>
    <w:p>
      <w:pPr>
        <w:pStyle w:val="Heading2"/>
        <w:spacing w:before="240" w:after="120"/>
      </w:pPr>
      <w:r>
        <w:rPr>
          <w:b/>
          <w:sz w:val="28"/>
        </w:rPr>
        <w:t>Abstract</w:t>
      </w:r>
    </w:p>
    <w:p>
      <w:pPr>
        <w:spacing w:after="120"/>
        <w:jc w:val="both"/>
      </w:pPr>
      <w:r>
        <w:rPr>
          <w:sz w:val="22"/>
        </w:rPr>
        <w:t xml:space="preserve">This chapter introduces a transdisciplinary strategy for the design of bio-integrated tourism that sheds light on making architecture/landscape systems adaptive and regenerative that can engage in an ecological exchange with the natural environments they accommodate. Instead of rigid constraints of sustainable tourism paradigms based on the minimization of harm, the study explores possibilities of computational interaction of living systems (biological materials, responsive organisms, and ecological processes) with the tourism infrastructure for achieving net positive environmental impacts [3, 4]. A mixed methods approach fusing computational model, biomimetic design analysis and multi-site case study evaluation, the chapter explores three case studies of exciting projects that have been implemented at different scales in implementing bio-integration, such as: an Australian arid zone living-skin facade system for visitor centres, an algorithmically optimized interface between the mangrove and the tourism in the Maldives, and a mycelium-based resort structure in Costa Rica [5]. Results show that bio-integrated solutions can drive measurable ecosystem service benefits (+23-47% compared to conventional construction), improve the quality of the visitor experience and have increased economic sustainability over time [6]. Finally, the chapter suggests a Bio-Integration Maturity Model (BIMM) to help practitioners and policy makers to understand, compare and develop the level of sustainability of tourism infrastructure on a continuum ranging from passive sustainability to active ecological regeneration [7].</w:t>
      </w:r>
    </w:p>
    <w:p>
      <w:pPr>
        <w:spacing w:before="100" w:after="200"/>
      </w:pPr>
      <w:r>
        <w:rPr>
          <w:b/>
          <w:sz w:val="20"/>
        </w:rPr>
        <w:t>Keywords: </w:t>
      </w:r>
      <w:r>
        <w:rPr>
          <w:i/>
          <w:sz w:val="20"/>
        </w:rPr>
        <w:t>bio-integrated design, regenerative tourism, living systems architecture, computational ecology, biomimetic infrastructure, ecological reciprocity, adaptive building systems</w:t>
      </w:r>
    </w:p>
    <w:p>
      <w:pPr>
        <w:pBdr>
          <w:bottom w:val="single" w:sz="6" w:space="1" w:color="000000"/>
        </w:pBdr>
      </w:pPr>
    </w:p>
    <w:p>
      <w:pPr>
        <w:pStyle w:val="Heading2"/>
        <w:spacing w:before="240" w:after="120"/>
      </w:pPr>
      <w:r>
        <w:rPr>
          <w:b/>
          <w:sz w:val="28"/>
        </w:rPr>
        <w:t>1. Introduction</w:t>
      </w:r>
    </w:p>
    <w:p>
      <w:pPr>
        <w:spacing w:after="120"/>
        <w:jc w:val="both"/>
      </w:pPr>
      <w:r>
        <w:rPr>
          <w:sz w:val="22"/>
        </w:rPr>
        <w:t xml:space="preserve">There is a paradox that the destination landscapes and tourism systems that draw the visitors are slowly being claimed by the very systems which are built for the purposes of tourism and are degrading the landscapes themselves [2,3]. Conventional methods within the tourism sector have mostly been focused on impact mitigation, by cutting energy use, minimizing waste and keeping the ecological footprint to a minimum, but these efforts, however good in intent, have largely been extractive in nature when applied to living systems. They do not reverse the rate of degradation, but instead allow it to run at a slower speed, creating so-called "less bad" rather than true "restorative" results [4].</w:t>
      </w:r>
    </w:p>
    <w:p>
      <w:pPr>
        <w:spacing w:after="120"/>
        <w:jc w:val="both"/>
      </w:pPr>
      <w:r>
        <w:rPr>
          <w:sz w:val="22"/>
        </w:rPr>
        <w:t xml:space="preserve">Tourist infrastructure in this chapter is not destiny placed on a landscape, but an actor engaged in landscape processes – the shift of paradigm from sustainability-as-mitigation to regenerative bio-integration is advocated. Building on recent advances in living systems engineering [5], computational morphogenesis [6] and indigenous ecological knowledge systems [7], the research proposes a transdisciplinary approach to the concept of the tourism architecture and landscape design as adaptive and metabolically active materials that are continuously confronted with hosts' systems and exchange their material and energetic outputs.</w:t>
      </w:r>
    </w:p>
    <w:p>
      <w:pPr>
        <w:pStyle w:val="Heading3"/>
        <w:spacing w:before="200" w:after="100"/>
      </w:pPr>
      <w:r>
        <w:rPr>
          <w:b/>
          <w:sz w:val="24"/>
        </w:rPr>
        <w:t>1.1 Research Aims and Questions</w:t>
      </w:r>
    </w:p>
    <w:p>
      <w:pPr>
        <w:spacing w:after="120"/>
        <w:jc w:val="both"/>
      </w:pPr>
      <w:r>
        <w:rPr>
          <w:sz w:val="22"/>
        </w:rPr>
        <w:t xml:space="preserve">The main objective of this research is to develop a both theoretical and empirical proven bio-integrated tourism design model for creating a built infrastructure that can actively support the ecological health instead of being just a mitigation for ecological damage. This aim is realised by the three guiding research questions;</w:t>
      </w:r>
    </w:p>
    <w:p>
      <w:pPr>
        <w:spacing w:after="120"/>
        <w:jc w:val="both"/>
      </w:pPr>
      <w:r>
        <w:rPr>
          <w:sz w:val="22"/>
        </w:rPr>
        <w:t xml:space="preserve">What is the architectural way of incorporating living systems—whether those be mycelial networks, photosynthetic organisms, microbial communities and plant assemblages—into the tourism body of works, to enable their adaptation and the regulation of their own growth and deployment as intrinsic adaptive and regulating agents rather than an ornamental or superficial appearance?</w:t>
      </w:r>
    </w:p>
    <w:p>
      <w:pPr>
        <w:spacing w:after="120"/>
        <w:jc w:val="both"/>
      </w:pPr>
      <w:r>
        <w:rPr>
          <w:sz w:val="22"/>
        </w:rPr>
        <w:t xml:space="preserve">How can computational frameworks and algorithmic design methodologies help optimize bio-integrated systems for ecological functionality, structural safety and experience quality for visitors?</w:t>
      </w:r>
    </w:p>
    <w:p>
      <w:pPr>
        <w:spacing w:after="120"/>
        <w:jc w:val="both"/>
      </w:pPr>
      <w:r>
        <w:rPr>
          <w:sz w:val="22"/>
        </w:rPr>
        <w:t xml:space="preserve">How far does 'Bio-integrated tourism' project actions go towards tangible improvements in the provision of services of ecosystems as compared to more traditional sustainable construction approaches and which design parameters have the greatest impact?</w:t>
      </w:r>
    </w:p>
    <w:p>
      <w:pPr>
        <w:pStyle w:val="Heading3"/>
        <w:spacing w:before="200" w:after="100"/>
      </w:pPr>
      <w:r>
        <w:rPr>
          <w:b/>
          <w:sz w:val="24"/>
        </w:rPr>
        <w:t>1.2 Scope and Significance</w:t>
      </w:r>
    </w:p>
    <w:p>
      <w:pPr>
        <w:spacing w:after="120"/>
        <w:jc w:val="both"/>
      </w:pPr>
      <w:r>
        <w:rPr>
          <w:sz w:val="22"/>
        </w:rPr>
        <w:t xml:space="preserve">But what makes this question so relevant is not just for tourism, but also to the broader questions of shaping the built environment through architectural theory, engineering the relationship of human beings and nature and the fundamental questions of what is happening to the "body" of architecture under these circumstances. The shift from degenerative towards regenerative practice demands more than new technological innovations, but a rethinking of the interaction of human settlement and living systems [8]. As tourism infrastructure is frequently sited within or near ecologically high-value zones, it is a key moment of impact and one that offers a pilot project in which regenerative design can be expanded and incorporated into mainstream architecture.</w:t>
      </w:r>
    </w:p>
    <w:p>
      <w:pPr>
        <w:spacing w:after="120"/>
        <w:jc w:val="both"/>
      </w:pPr>
      <w:r>
        <w:rPr>
          <w:sz w:val="22"/>
        </w:rPr>
        <w:t xml:space="preserve">The chapter adds to the growing body of work on the subject of bio-integrated design [9] by describing some of the projects that are working in the field, creating the computational tools for optimising design, and introducing a scalable assessment framework. This research represents a bridge between speculative bio-design and the pragmatic aspects of the development of tourism infrastructure that features economic considerations, regulatory issues and visitor expectations, which have so far been largely a subject of laboratory-scale demonstrations or made-up theories.</w:t>
      </w:r>
    </w:p>
    <w:p>
      <w:pPr>
        <w:pStyle w:val="Heading3"/>
        <w:spacing w:before="200" w:after="100"/>
      </w:pPr>
      <w:r>
        <w:rPr>
          <w:b/>
          <w:sz w:val="24"/>
        </w:rPr>
        <w:t>1.3 Chapter Organization</w:t>
      </w:r>
    </w:p>
    <w:p>
      <w:pPr>
        <w:spacing w:after="120"/>
        <w:jc w:val="both"/>
      </w:pPr>
      <w:r>
        <w:rPr>
          <w:sz w:val="22"/>
        </w:rPr>
        <w:t xml:space="preserve">Overall the chapter assumes the following structure of six sections. Section 2 explores theoretical and empirical context by investigating the state of the art in regenerative design theory, living systems architecture as well as computational ecology. Section 3 describes the mixed-methods research methodology utilized, computational modeling protocols, and the criteria used for case studies and the assessment metrics. In Section 4 the findings from the three geographically and typologically diverse case studies are reported. The implications, limitations and the proposed Bio-Integration Maturity Model are discussed in Section 5, alongside the economic performance analysis. The book brings knowledge gained and future research and practice to a close in section 6.</w:t>
      </w:r>
    </w:p>
    <w:p>
      <w:pPr>
        <w:pBdr>
          <w:bottom w:val="single" w:sz="6" w:space="1" w:color="000000"/>
        </w:pBdr>
      </w:pPr>
    </w:p>
    <w:p>
      <w:pPr>
        <w:pStyle w:val="Heading2"/>
        <w:spacing w:before="240" w:after="120"/>
      </w:pPr>
      <w:r>
        <w:rPr>
          <w:b/>
          <w:sz w:val="28"/>
        </w:rPr>
        <w:t>2. Context: Theoretical Foundations and Current State of Knowledge</w:t>
      </w:r>
    </w:p>
    <w:p>
      <w:pPr>
        <w:pStyle w:val="Heading3"/>
        <w:spacing w:before="200" w:after="100"/>
      </w:pPr>
      <w:r>
        <w:rPr>
          <w:b/>
          <w:sz w:val="24"/>
        </w:rPr>
        <w:t>2.1 From Sustainable to Regenerative Tourism Design</w:t>
      </w:r>
    </w:p>
    <w:p>
      <w:pPr>
        <w:spacing w:after="120"/>
        <w:jc w:val="both"/>
      </w:pPr>
      <w:r>
        <w:rPr>
          <w:sz w:val="22"/>
        </w:rPr>
        <w:t xml:space="preserve">This change in thinking has occurred over the span of time in tourism architecture from ignorance to minimisation, and now to a new paradigm of regeneration. Early generation green building methods that were developed, consolidated in green certification programs like LEED and BREEAM, were primarily concerned with achievements for operational efficiency – lowering energy, water and material use compared to a "business-as-usual" standard [10]. These frameworks brought tangible environmental impacts but brought sustainability back to a logic, which is reducing contribution to the damage or alteration of one of the essential aspects of design [11].</w:t>
      </w:r>
    </w:p>
    <w:p>
      <w:pPr>
        <w:spacing w:after="120"/>
        <w:jc w:val="both"/>
      </w:pPr>
      <w:r>
        <w:rPr>
          <w:sz w:val="22"/>
        </w:rPr>
        <w:t xml:space="preserve">Second generation methods emerged to take the approach of lifecycle thinking, cradle to cradle material flows, and introducing a new dimension of time as well as materials into the environmental assessment [12]. These developments recognized that efficiency of operation was not enough but proceeded to think of buildings as passive artefacts – what they were built from and how they functioned – on which the environmental performance could be improved by optimal selection of materials and systems engineering. The building itself stayed a passive artefact, a compartment for human habitation, placed on, but not in ecological systems.</w:t>
      </w:r>
    </w:p>
    <w:p>
      <w:pPr>
        <w:spacing w:after="120"/>
        <w:jc w:val="both"/>
      </w:pPr>
      <w:r>
        <w:rPr>
          <w:sz w:val="22"/>
        </w:rPr>
        <w:t xml:space="preserve">The regenerative design paradigm, set out by Lyle [13], Mang and Reed [8] and du Plessis [14] is a qualitative shift from this way of thinking. Rather than simply minimising negative effects of design, regenerative design creates positive ecological outcomes such as the restoration of degraded ecosystems, growing biodiversity, increasing soil carbon and improving hydrological integrity. As a part of the tourism context, regenerative practice reconfigures tourist infrastructure as an enabling mechanism for ecological restoration and not a compromise between economic "must" and environmental protection [15].</w:t>
      </w:r>
    </w:p>
    <w:p>
      <w:pPr>
        <w:spacing w:after="120"/>
        <w:jc w:val="both"/>
      </w:pPr>
      <w:r>
        <w:rPr>
          <w:sz w:val="22"/>
        </w:rPr>
        <w:t xml:space="preserve">Realizing the principles for regeneration, however, has been difficult. The critics have criticized that despite of the intention towards regeneration, there has not been a strong framework for quantifying the ecological contribution, meaning that it is merely a marketing term for the achievement of "conventional sustainability" but with a more colorful of nuanced title [16]. Bio-integrated design developed in this chapter, however, will help to fill this void by detailing specific ways that built infrastructure can engage in ecological processes and offering metrics to measure how much and how well it does so.</w:t>
      </w:r>
    </w:p>
    <w:p>
      <w:pPr>
        <w:spacing w:before="200" w:after="100"/>
      </w:pPr>
      <w:r>
        <w:rPr>
          <w:b/>
          <w:sz w:val="22"/>
        </w:rPr>
        <w:t>Figure 1: Conceptual Framework — Evolution from Sustainable to Regenerative Bio-Integrated Tourism Design</w:t>
      </w:r>
    </w:p>
    <w:p>
      <w:pPr>
        <w:pStyle w:val="CodeBlock"/>
      </w:pPr>
      <w:r>
        <w:rPr>
          <w:rFonts w:ascii="Courier New" w:hAnsi="Courier New"/>
          <w:sz w:val="18"/>
        </w:rPr>
        <w:t xml:space="preserve">    ENVIRONMENTAL IMPACT SPECTRUM OF TOURISM INFRASTRUCTURE</w:t>
      </w:r>
    </w:p>
    <w:p>
      <w:pPr>
        <w:pStyle w:val="CodeBlock"/>
      </w:pPr>
      <w:r>
        <w:rPr>
          <w:rFonts w:ascii="Courier New" w:hAnsi="Courier New"/>
          <w:sz w:val="18"/>
        </w:rPr>
        <w:t xml:space="preserve">    =========================================================</w:t>
      </w:r>
    </w:p>
    <w:p>
      <w:pPr>
        <w:pStyle w:val="CodeBlock"/>
      </w:pPr>
      <w:r>
        <w:rPr>
          <w:rFonts w:ascii="Courier New" w:hAnsi="Courier New"/>
          <w:sz w:val="18"/>
        </w:rPr>
        <w:t xml:space="preserve"/>
      </w:r>
    </w:p>
    <w:p>
      <w:pPr>
        <w:pStyle w:val="CodeBlock"/>
      </w:pPr>
      <w:r>
        <w:rPr>
          <w:rFonts w:ascii="Courier New" w:hAnsi="Courier New"/>
          <w:sz w:val="18"/>
        </w:rPr>
        <w:t xml:space="preserve">    DEGENERATIVE          SUSTAINABLE              REGENERATIVE</w:t>
      </w:r>
    </w:p>
    <w:p>
      <w:pPr>
        <w:pStyle w:val="CodeBlock"/>
      </w:pPr>
      <w:r>
        <w:rPr>
          <w:rFonts w:ascii="Courier New" w:hAnsi="Courier New"/>
          <w:sz w:val="18"/>
        </w:rPr>
        <w:t xml:space="preserve">    (Conventional)        (Green Building)         (Bio-Integrated)</w:t>
      </w:r>
    </w:p>
    <w:p>
      <w:pPr>
        <w:pStyle w:val="CodeBlock"/>
      </w:pPr>
      <w:r>
        <w:rPr>
          <w:rFonts w:ascii="Courier New" w:hAnsi="Courier New"/>
          <w:sz w:val="18"/>
        </w:rPr>
        <w:t xml:space="preserve">         |                     |                        |</w:t>
      </w:r>
    </w:p>
    <w:p>
      <w:pPr>
        <w:pStyle w:val="CodeBlock"/>
      </w:pPr>
      <w:r>
        <w:rPr>
          <w:rFonts w:ascii="Courier New" w:hAnsi="Courier New"/>
          <w:sz w:val="18"/>
        </w:rPr>
        <w:t xml:space="preserve">         v                     v                        v</w:t>
      </w:r>
    </w:p>
    <w:p>
      <w:pPr>
        <w:pStyle w:val="CodeBlock"/>
      </w:pPr>
      <w:r>
        <w:rPr>
          <w:rFonts w:ascii="Courier New" w:hAnsi="Courier New"/>
          <w:sz w:val="18"/>
        </w:rPr>
        <w:t xml:space="preserve"/>
      </w:r>
    </w:p>
    <w:p>
      <w:pPr>
        <w:pStyle w:val="CodeBlock"/>
      </w:pPr>
      <w:r>
        <w:rPr>
          <w:rFonts w:ascii="Courier New" w:hAnsi="Courier New"/>
          <w:sz w:val="18"/>
        </w:rPr>
        <w:t xml:space="preserve">    +-----------+        +-----------+           +-----------+</w:t>
      </w:r>
    </w:p>
    <w:p>
      <w:pPr>
        <w:pStyle w:val="CodeBlock"/>
      </w:pPr>
      <w:r>
        <w:rPr>
          <w:rFonts w:ascii="Courier New" w:hAnsi="Courier New"/>
          <w:sz w:val="18"/>
        </w:rPr>
        <w:t xml:space="preserve">    | EXTRACTIVE|        | MITIGATING|           |RESTORATIVE|</w:t>
      </w:r>
    </w:p>
    <w:p>
      <w:pPr>
        <w:pStyle w:val="CodeBlock"/>
      </w:pPr>
      <w:r>
        <w:rPr>
          <w:rFonts w:ascii="Courier New" w:hAnsi="Courier New"/>
          <w:sz w:val="18"/>
        </w:rPr>
        <w:t xml:space="preserve">    |           |        |           |           |           |</w:t>
      </w:r>
    </w:p>
    <w:p>
      <w:pPr>
        <w:pStyle w:val="CodeBlock"/>
      </w:pPr>
      <w:r>
        <w:rPr>
          <w:rFonts w:ascii="Courier New" w:hAnsi="Courier New"/>
          <w:sz w:val="18"/>
        </w:rPr>
        <w:t xml:space="preserve">    | - Depletes|        | - Reduces |           | - Restores|</w:t>
      </w:r>
    </w:p>
    <w:p>
      <w:pPr>
        <w:pStyle w:val="CodeBlock"/>
      </w:pPr>
      <w:r>
        <w:rPr>
          <w:rFonts w:ascii="Courier New" w:hAnsi="Courier New"/>
          <w:sz w:val="18"/>
        </w:rPr>
        <w:t xml:space="preserve">    |   resources        |   harm    |           |   ecosystems</w:t>
      </w:r>
    </w:p>
    <w:p>
      <w:pPr>
        <w:pStyle w:val="CodeBlock"/>
      </w:pPr>
      <w:r>
        <w:rPr>
          <w:rFonts w:ascii="Courier New" w:hAnsi="Courier New"/>
          <w:sz w:val="18"/>
        </w:rPr>
        <w:t xml:space="preserve">    | - Degrades|        | - Minimizes           | - Enhances|</w:t>
      </w:r>
    </w:p>
    <w:p>
      <w:pPr>
        <w:pStyle w:val="CodeBlock"/>
      </w:pPr>
      <w:r>
        <w:rPr>
          <w:rFonts w:ascii="Courier New" w:hAnsi="Courier New"/>
          <w:sz w:val="18"/>
        </w:rPr>
        <w:t xml:space="preserve">    |   habitat |        |   footprint           |   biodiversity</w:t>
      </w:r>
    </w:p>
    <w:p>
      <w:pPr>
        <w:pStyle w:val="CodeBlock"/>
      </w:pPr>
      <w:r>
        <w:rPr>
          <w:rFonts w:ascii="Courier New" w:hAnsi="Courier New"/>
          <w:sz w:val="18"/>
        </w:rPr>
        <w:t xml:space="preserve">    | - Pollutes|        | - Offsets |           | - Sequesters</w:t>
      </w:r>
    </w:p>
    <w:p>
      <w:pPr>
        <w:pStyle w:val="CodeBlock"/>
      </w:pPr>
      <w:r>
        <w:rPr>
          <w:rFonts w:ascii="Courier New" w:hAnsi="Courier New"/>
          <w:sz w:val="18"/>
        </w:rPr>
        <w:t xml:space="preserve">    |   systems |        |   impacts |           |   carbon  |</w:t>
      </w:r>
    </w:p>
    <w:p>
      <w:pPr>
        <w:pStyle w:val="CodeBlock"/>
      </w:pPr>
      <w:r>
        <w:rPr>
          <w:rFonts w:ascii="Courier New" w:hAnsi="Courier New"/>
          <w:sz w:val="18"/>
        </w:rPr>
        <w:t xml:space="preserve">    +-----------+        +-----------+           +-----------+</w:t>
      </w:r>
    </w:p>
    <w:p>
      <w:pPr>
        <w:pStyle w:val="CodeBlock"/>
      </w:pPr>
      <w:r>
        <w:rPr>
          <w:rFonts w:ascii="Courier New" w:hAnsi="Courier New"/>
          <w:sz w:val="18"/>
        </w:rPr>
        <w:t xml:space="preserve">         |                     |                        |</w:t>
      </w:r>
    </w:p>
    <w:p>
      <w:pPr>
        <w:pStyle w:val="CodeBlock"/>
      </w:pPr>
      <w:r>
        <w:rPr>
          <w:rFonts w:ascii="Courier New" w:hAnsi="Courier New"/>
          <w:sz w:val="18"/>
        </w:rPr>
        <w:t xml:space="preserve">         |    FIRST            |    SECOND              |    THIRD</w:t>
      </w:r>
    </w:p>
    <w:p>
      <w:pPr>
        <w:pStyle w:val="CodeBlock"/>
      </w:pPr>
      <w:r>
        <w:rPr>
          <w:rFonts w:ascii="Courier New" w:hAnsi="Courier New"/>
          <w:sz w:val="18"/>
        </w:rPr>
        <w:t xml:space="preserve">         |    GENERATION       |    GENERATION          |    GENERATION</w:t>
      </w:r>
    </w:p>
    <w:p>
      <w:pPr>
        <w:pStyle w:val="CodeBlock"/>
      </w:pPr>
      <w:r>
        <w:rPr>
          <w:rFonts w:ascii="Courier New" w:hAnsi="Courier New"/>
          <w:sz w:val="18"/>
        </w:rPr>
        <w:t xml:space="preserve">         |                     |                        |</w:t>
      </w:r>
    </w:p>
    <w:p>
      <w:pPr>
        <w:pStyle w:val="CodeBlock"/>
      </w:pPr>
      <w:r>
        <w:rPr>
          <w:rFonts w:ascii="Courier New" w:hAnsi="Courier New"/>
          <w:sz w:val="18"/>
        </w:rPr>
        <w:t xml:space="preserve">         v                     v                        v</w:t>
      </w:r>
    </w:p>
    <w:p>
      <w:pPr>
        <w:pStyle w:val="CodeBlock"/>
      </w:pPr>
      <w:r>
        <w:rPr>
          <w:rFonts w:ascii="Courier New" w:hAnsi="Courier New"/>
          <w:sz w:val="18"/>
        </w:rPr>
        <w:t xml:space="preserve">    NET NEGATIVE          NET ZERO               NET POSITIVE</w:t>
      </w:r>
    </w:p>
    <w:p>
      <w:pPr>
        <w:pStyle w:val="CodeBlock"/>
      </w:pPr>
      <w:r>
        <w:rPr>
          <w:rFonts w:ascii="Courier New" w:hAnsi="Courier New"/>
          <w:sz w:val="18"/>
        </w:rPr>
        <w:t xml:space="preserve">    ECOLOGICAL            ECOLOGICAL             ECOLOGICAL</w:t>
      </w:r>
    </w:p>
    <w:p>
      <w:pPr>
        <w:pStyle w:val="CodeBlock"/>
      </w:pPr>
      <w:r>
        <w:rPr>
          <w:rFonts w:ascii="Courier New" w:hAnsi="Courier New"/>
          <w:sz w:val="18"/>
        </w:rPr>
        <w:t xml:space="preserve">    CONTRIBUTION          CONTRIBUTION           CONTRIBUTION</w:t>
      </w:r>
    </w:p>
    <w:p>
      <w:pPr>
        <w:pStyle w:val="CodeBlock"/>
      </w:pPr>
      <w:r>
        <w:rPr>
          <w:rFonts w:ascii="Courier New" w:hAnsi="Courier New"/>
          <w:sz w:val="18"/>
        </w:rPr>
        <w:t xml:space="preserve">    (-100% to -50%)       (-10% to 0%)           (+23% to +247%)</w:t>
      </w:r>
    </w:p>
    <w:p>
      <w:pPr>
        <w:pStyle w:val="CodeBlock"/>
      </w:pPr>
      <w:r>
        <w:rPr>
          <w:rFonts w:ascii="Courier New" w:hAnsi="Courier New"/>
          <w:sz w:val="18"/>
        </w:rPr>
        <w:t xml:space="preserve"/>
      </w:r>
    </w:p>
    <w:p>
      <w:pPr>
        <w:pStyle w:val="CodeBlock"/>
      </w:pPr>
      <w:r>
        <w:rPr>
          <w:rFonts w:ascii="Courier New" w:hAnsi="Courier New"/>
          <w:sz w:val="18"/>
        </w:rPr>
        <w:t xml:space="preserve">    ====================== DESIGN PARADIGM SHIFT ======================</w:t>
      </w:r>
    </w:p>
    <w:p>
      <w:pPr>
        <w:pStyle w:val="CodeBlock"/>
      </w:pPr>
      <w:r>
        <w:rPr>
          <w:rFonts w:ascii="Courier New" w:hAnsi="Courier New"/>
          <w:sz w:val="18"/>
        </w:rPr>
        <w:t xml:space="preserve"/>
      </w:r>
    </w:p>
    <w:p>
      <w:pPr>
        <w:pStyle w:val="CodeBlock"/>
      </w:pPr>
      <w:r>
        <w:rPr>
          <w:rFonts w:ascii="Courier New" w:hAnsi="Courier New"/>
          <w:sz w:val="18"/>
        </w:rPr>
        <w:t xml:space="preserve">    Building as:          Building as:            Building as:</w:t>
      </w:r>
    </w:p>
    <w:p>
      <w:pPr>
        <w:pStyle w:val="CodeBlock"/>
      </w:pPr>
      <w:r>
        <w:rPr>
          <w:rFonts w:ascii="Courier New" w:hAnsi="Courier New"/>
          <w:sz w:val="18"/>
        </w:rPr>
        <w:t xml:space="preserve">    INERT OBJECT          EFFICIENT MACHINE       LIVING ORGANISM</w:t>
      </w:r>
    </w:p>
    <w:p>
      <w:pPr>
        <w:pStyle w:val="CodeBlock"/>
      </w:pPr>
      <w:r>
        <w:rPr>
          <w:rFonts w:ascii="Courier New" w:hAnsi="Courier New"/>
          <w:sz w:val="18"/>
        </w:rPr>
        <w:t xml:space="preserve">    (placed ON            (optimized FOR          (integrated WITH</w:t>
      </w:r>
    </w:p>
    <w:p>
      <w:pPr>
        <w:pStyle w:val="CodeBlock"/>
      </w:pPr>
      <w:r>
        <w:rPr>
          <w:rFonts w:ascii="Courier New" w:hAnsi="Courier New"/>
          <w:sz w:val="18"/>
        </w:rPr>
        <w:t xml:space="preserve">     landscape)            environment)            ecosystem)</w:t>
      </w:r>
    </w:p>
    <w:p>
      <w:pPr>
        <w:pStyle w:val="CodeBlock"/>
      </w:pPr>
      <w:r>
        <w:rPr>
          <w:rFonts w:ascii="Courier New" w:hAnsi="Courier New"/>
          <w:sz w:val="18"/>
        </w:rPr>
        <w:t xml:space="preserve"/>
      </w:r>
    </w:p>
    <w:p>
      <w:pPr>
        <w:pStyle w:val="CodeBlock"/>
      </w:pPr>
      <w:r>
        <w:rPr>
          <w:rFonts w:ascii="Courier New" w:hAnsi="Courier New"/>
          <w:sz w:val="18"/>
        </w:rPr>
        <w:t xml:space="preserve">    Key Metrics:          Key Metrics:            Key Metrics:</w:t>
      </w:r>
    </w:p>
    <w:p>
      <w:pPr>
        <w:pStyle w:val="CodeBlock"/>
      </w:pPr>
      <w:r>
        <w:rPr>
          <w:rFonts w:ascii="Courier New" w:hAnsi="Courier New"/>
          <w:sz w:val="18"/>
        </w:rPr>
        <w:t xml:space="preserve">    - Energy use          - LEED/BREEAM score     - Ecosystem services</w:t>
      </w:r>
    </w:p>
    <w:p>
      <w:pPr>
        <w:pStyle w:val="CodeBlock"/>
      </w:pPr>
      <w:r>
        <w:rPr>
          <w:rFonts w:ascii="Courier New" w:hAnsi="Courier New"/>
          <w:sz w:val="18"/>
        </w:rPr>
        <w:t xml:space="preserve">    - Waste output        - Carbon footprint      - Species richness</w:t>
      </w:r>
    </w:p>
    <w:p>
      <w:pPr>
        <w:pStyle w:val="CodeBlock"/>
      </w:pPr>
      <w:r>
        <w:rPr>
          <w:rFonts w:ascii="Courier New" w:hAnsi="Courier New"/>
          <w:sz w:val="18"/>
        </w:rPr>
        <w:t xml:space="preserve">    - Resource            - Water efficiency      - Carbon sequestration</w:t>
      </w:r>
    </w:p>
    <w:p>
      <w:pPr>
        <w:pStyle w:val="CodeBlock"/>
      </w:pPr>
      <w:r>
        <w:rPr>
          <w:rFonts w:ascii="Courier New" w:hAnsi="Courier New"/>
          <w:sz w:val="18"/>
        </w:rPr>
        <w:t xml:space="preserve">      consumption         - Material lifecycle    - Habitat connectivity</w:t>
      </w:r>
    </w:p>
    <w:p>
      <w:pPr>
        <w:pStyle w:val="CodeBlock"/>
      </w:pPr>
      <w:r>
        <w:rPr>
          <w:rFonts w:ascii="Courier New" w:hAnsi="Courier New"/>
          <w:sz w:val="18"/>
        </w:rPr>
        <w:t xml:space="preserve">                                                  - Visitor experience</w:t>
      </w:r>
    </w:p>
    <w:p>
      <w:pPr>
        <w:pStyle w:val="CodeBlock"/>
      </w:pPr>
      <w:r>
        <w:rPr>
          <w:rFonts w:ascii="Courier New" w:hAnsi="Courier New"/>
          <w:sz w:val="18"/>
        </w:rPr>
        <w:t xml:space="preserve"/>
      </w:r>
    </w:p>
    <w:p>
      <w:pPr>
        <w:pStyle w:val="CodeBlock"/>
      </w:pPr>
      <w:r>
        <w:rPr>
          <w:rFonts w:ascii="Courier New" w:hAnsi="Courier New"/>
          <w:sz w:val="18"/>
        </w:rPr>
        <w:t xml:space="preserve">    Temporal Behavior:    Temporal Behavior:      Temporal Behavior:</w:t>
      </w:r>
    </w:p>
    <w:p>
      <w:pPr>
        <w:pStyle w:val="CodeBlock"/>
      </w:pPr>
      <w:r>
        <w:rPr>
          <w:rFonts w:ascii="Courier New" w:hAnsi="Courier New"/>
          <w:sz w:val="18"/>
        </w:rPr>
        <w:t xml:space="preserve">    DEGRADES over time    MAINTAINS over time     IMPROVES over time</w:t>
      </w:r>
    </w:p>
    <w:p>
      <w:pPr>
        <w:spacing w:before="100" w:after="200"/>
      </w:pPr>
      <w:r>
        <w:rPr>
          <w:i/>
          <w:sz w:val="20"/>
        </w:rPr>
        <w:t xml:space="preserve">Figure 1 illustrates the paradigm shift from conventional degenerative tourism infrastructure through sustainable (mitigating) design to the regenerative bio-integrated approach advocated in this chapter. The net ecological contribution ranges from strongly negative (conventional) through near-zero (sustainable) to demonstrably positive (+23% to +247%, as quantified in the case studies). The fundamental reconceptualization is of the building itself: from inert object to efficient machine to living organism [8, 14, 15].</w:t>
      </w:r>
    </w:p>
    <w:p>
      <w:pPr>
        <w:pStyle w:val="Heading3"/>
        <w:spacing w:before="200" w:after="100"/>
      </w:pPr>
      <w:r>
        <w:rPr>
          <w:b/>
          <w:sz w:val="24"/>
        </w:rPr>
        <w:t>2.2 Living Systems Architecture: Biological Materials and Adaptive Organisms</w:t>
      </w:r>
    </w:p>
    <w:p>
      <w:pPr>
        <w:spacing w:after="120"/>
        <w:jc w:val="both"/>
      </w:pPr>
      <w:r>
        <w:rPr>
          <w:sz w:val="22"/>
        </w:rPr>
        <w:t xml:space="preserve">Twenty years ago, living organisms were still in the conceptual stage when it came to integrating with architectural systems, but in the past decade they have become a reality. Early theories, such as Frazer's theory of evolutionary architecture [17] and Steadman's theory of architectural use of biological analogy [18] that came before these, set the stage for theoretical paradigms, and the new so many material innovations since then made it possible to realise those ideas at ever larger scales.</w:t>
      </w:r>
    </w:p>
    <w:p>
      <w:pPr>
        <w:spacing w:after="120"/>
        <w:jc w:val="both"/>
      </w:pPr>
      <w:r>
        <w:rPr>
          <w:sz w:val="22"/>
        </w:rPr>
        <w:t xml:space="preserve">Mycelium-based composites may be one of the largest state-of-the-art categories of living building materials. Both Haneef et al [19] and Jones et al [20] conducted research on the ability of fungal mycelia to be grown on agro-wastes to make structural panels with compression strengths similar to conventional insulation materials, whilst sequestering carbon and benignly biodegrading at end of life. Producers like Ecovative Design and BIOHM have commercialised mycelium composite manufacture and explored its application in architecture, highlighting the biological activity of the mycelial network, which is able to continue metabolising in the building envelope, processing the air, humidity and air flow by transpiration [21].</w:t>
      </w:r>
    </w:p>
    <w:p>
      <w:pPr>
        <w:spacing w:after="120"/>
        <w:jc w:val="both"/>
      </w:pPr>
      <w:r>
        <w:rPr>
          <w:sz w:val="22"/>
        </w:rPr>
        <w:t xml:space="preserve">Photosynthetic building systems utilize algae and cyanobacteria components active on the facades. A bioreactor facade using microalgae was successfully demonstrated at the BIQ House in Hamburg (2013), where the constructive shading of the façade by the growing algae biomass and the CO₂ uptake from the ambient air succeeded side by side in the panels that allow daylight to pass through [22]. Since then, developments by the group of Arup in SolarLeaf technology and research groups at academia have greatly refined the integration of algae with facades to get energy yields of 30-50 kWh/m²/year with preserving the biological viability of the algae across all seasons and various climates [23].</w:t>
      </w:r>
    </w:p>
    <w:p>
      <w:pPr>
        <w:spacing w:after="120"/>
        <w:jc w:val="both"/>
      </w:pPr>
      <w:r>
        <w:rPr>
          <w:sz w:val="22"/>
        </w:rPr>
        <w:t xml:space="preserve">The Living Root Bridges of Khasi and Jaintia are examples of biological structuring of construction that have been created by the native people of Meghalaya, India over many centuries, but which defies western theory of the separation of biological and built systems [24]. Built using the aerial roots of Ficus elastica grown from bank to bank across the river gorge, they become stronger over time, a trait opposite that of traditional building techniques, which erode as soon as they are erected. These traditional systems of knowledge also prove that bio-integration is more of a cultural practice than just a technology and that it is still being practised after many years and is a long term sustainability practice.</w:t>
      </w:r>
    </w:p>
    <w:p>
      <w:pPr>
        <w:pStyle w:val="Heading3"/>
        <w:spacing w:before="200" w:after="100"/>
      </w:pPr>
      <w:r>
        <w:rPr>
          <w:b/>
          <w:sz w:val="24"/>
        </w:rPr>
        <w:t>2.3 Computational Frameworks for Ecological Design</w:t>
      </w:r>
    </w:p>
    <w:p>
      <w:pPr>
        <w:spacing w:after="120"/>
        <w:jc w:val="both"/>
      </w:pPr>
      <w:r>
        <w:rPr>
          <w:sz w:val="22"/>
        </w:rPr>
        <w:t xml:space="preserve">The use of computational techniques for the design of bio-integrated design can be divided into three major subfields: Generative approaches, enabling the design of form by emulating the methods observed in nature, Agent-based modelling techniques, for modelling interactions between organisms and infrastructure, and machine learning techniques, for predictions on ecological performance.</w:t>
      </w:r>
    </w:p>
    <w:p>
      <w:pPr>
        <w:spacing w:after="120"/>
        <w:jc w:val="both"/>
      </w:pPr>
      <w:r>
        <w:rPr>
          <w:sz w:val="22"/>
        </w:rPr>
        <w:t xml:space="preserve">A significant amount of application has been recently produced in architectural research on generative design techniques based on evolutionary computation and morphogenetic algorithms [25, 26]. They use genetic algorithms, cellular automata and particle-swarm optimization to produce architectural solutions, which meet several performance criteria at once. In a bio-integrated setting, design goals go beyond structural efficiency and environmental control to include habitat provision and ecological connectivity and nutrient cycling capacity [27].</w:t>
      </w:r>
    </w:p>
    <w:p>
      <w:pPr>
        <w:spacing w:after="120"/>
        <w:jc w:val="both"/>
      </w:pPr>
      <w:r>
        <w:rPr>
          <w:sz w:val="22"/>
        </w:rPr>
        <w:t xml:space="preserve">Agent based models (ABMs) have been developed which mimic the behaviour of individual birds, insects, marine organisms, microbial communities and others within and around built structures: these can predict and optimize the ecological outcome before construction takes place [28]. In a biodiversity sensitive context, ABMs can assess the impact an architectural massing, the surface texture, the chemical composition of surfaces, lighting regimens have on fauna abundance and biodiversity, that is, by considering architectural design as habitat engineering [29].</w:t>
      </w:r>
    </w:p>
    <w:p>
      <w:pPr>
        <w:spacing w:after="120"/>
        <w:jc w:val="both"/>
      </w:pPr>
      <w:r>
        <w:rPr>
          <w:sz w:val="22"/>
        </w:rPr>
        <w:t xml:space="preserve">Technological solutions, such as machine learning, especially deep neural networks, that learn from remote sensing data and ecosystem monitoring based on ecological profiles, are now able to assess the provision of these services in real time. These tools can measure the rates of carbon sequestration, pollination support, amelioration of microclimate and water filtering caused by components of living systems, all of which would create feedback loops for adaptive management of the tourism infrastructure that should be built with biotechnology.</w:t>
      </w:r>
    </w:p>
    <w:p>
      <w:pPr>
        <w:pStyle w:val="Heading3"/>
        <w:spacing w:before="200" w:after="100"/>
      </w:pPr>
      <w:r>
        <w:rPr>
          <w:b/>
          <w:sz w:val="24"/>
        </w:rPr>
        <w:t>2.4 Indigenous Ecological Knowledge and Biocultural Design</w:t>
      </w:r>
    </w:p>
    <w:p>
      <w:pPr>
        <w:spacing w:after="120"/>
        <w:jc w:val="both"/>
      </w:pPr>
      <w:r>
        <w:rPr>
          <w:sz w:val="22"/>
        </w:rPr>
        <w:t xml:space="preserve">Buschir et al. [7] and Barbara [31] have questioned bio-integrated tourism and its inclusion of indigenous ecological knowledge (IEK) as an opportunity to gain design intelligence from various interactions and situations between humans and life over millennia. Indigenous peoples possess rich traditional understanding of interactions, such as community dynamics, relationships with other species and landscape-level nutrient cycling, which surpasses western science in both spatial and temporal scale [32].</w:t>
      </w:r>
    </w:p>
    <w:p>
      <w:pPr>
        <w:spacing w:after="120"/>
        <w:jc w:val="both"/>
      </w:pPr>
      <w:r>
        <w:rPr>
          <w:sz w:val="22"/>
        </w:rPr>
        <w:t xml:space="preserve">Given this, biocultural approaches for the design and methodological frameworks which support working with IEK without extractive appropriation. They highlight partnership and co-design, benefit sharing, and appreciation of indigenous intellectual sovereignty – recognizing that these ideas share pro-decolonizing themes with other advances in decolonizing design practice [34]. In the tourism context, the results of the integration of IEK in bio-integrated design do not only show ecological performance improvement, culturally authentic experiences for visitors, but also culturally empowering economic religious autonomy for native modes of living—a synergy between ecological, cultural and social regeneration and continuity that is characteristic of the holistic goals of bio-restoration design.</w:t>
      </w:r>
    </w:p>
    <w:p>
      <w:pPr>
        <w:pBdr>
          <w:bottom w:val="single" w:sz="6" w:space="1" w:color="000000"/>
        </w:pBdr>
      </w:pPr>
    </w:p>
    <w:p>
      <w:pPr>
        <w:pStyle w:val="Heading2"/>
        <w:spacing w:before="240" w:after="120"/>
      </w:pPr>
      <w:r>
        <w:rPr>
          <w:b/>
          <w:sz w:val="28"/>
        </w:rPr>
        <w:t>3. Methods: A Mixed-Methods Transdisciplinary Approach</w:t>
      </w:r>
    </w:p>
    <w:p>
      <w:pPr>
        <w:pStyle w:val="Heading3"/>
        <w:spacing w:before="200" w:after="100"/>
      </w:pPr>
      <w:r>
        <w:rPr>
          <w:b/>
          <w:sz w:val="24"/>
        </w:rPr>
        <w:t>3.1 Research Design Overview</w:t>
      </w:r>
    </w:p>
    <w:p>
      <w:pPr>
        <w:spacing w:after="120"/>
        <w:jc w:val="both"/>
      </w:pPr>
      <w:r>
        <w:rPr>
          <w:sz w:val="22"/>
        </w:rPr>
        <w:t xml:space="preserve">The research design used is convergent mixed method incorporating three methodological streams, namely computational modelling and parametric simulation of bio-integrated systems, multi-site case study analysis of bio-integrated tourism work-examples and quantification of Ecosystem services by applying well-developed ecological assessment protocols [35]. The convergent design facilitates triangulation of the quantitative performances with the qualitative design process and the computational prediction, thereby bolstering the validity of the findings and the development of generalizable design principles from observations in the specific context.</w:t>
      </w:r>
    </w:p>
    <w:p>
      <w:pPr>
        <w:spacing w:after="120"/>
        <w:jc w:val="both"/>
      </w:pPr>
      <w:r>
        <w:rPr>
          <w:sz w:val="22"/>
        </w:rPr>
        <w:t xml:space="preserve">The research that is transdisciplinary requires methodological pluralism. Tools exist to model organism-infrastructure interactions and make predictions on ecological outcomes of various time scales based on computational ecology, from seasonal fluctuations to decadal succession dynamics. Architectural Research Methods that address the dimensions of built environments include post occupancy assessment, analysis of design documentation and test of material performances for bio-integrated systems. Empirical validation of computational predictions and design intentions is provided by ecological field methods such as biodiversity surveys, ecosystem service assessments and environmental monitoring.</w:t>
      </w:r>
    </w:p>
    <w:p>
      <w:pPr>
        <w:pStyle w:val="Heading3"/>
        <w:spacing w:before="200" w:after="100"/>
      </w:pPr>
      <w:r>
        <w:rPr>
          <w:b/>
          <w:sz w:val="24"/>
        </w:rPr>
        <w:t>3.2 Computational Modeling Framework</w:t>
      </w:r>
    </w:p>
    <w:p>
      <w:pPr>
        <w:spacing w:after="120"/>
        <w:jc w:val="both"/>
      </w:pPr>
      <w:r>
        <w:rPr>
          <w:sz w:val="22"/>
        </w:rPr>
        <w:t xml:space="preserve">The computational modeling aspect uses a three nested spatial scales hierarchical simulation architecture, with the specific tools and methods for each case study detailed in Table 2:</w:t>
      </w:r>
    </w:p>
    <w:p>
      <w:pPr>
        <w:spacing w:before="200" w:after="100"/>
      </w:pPr>
      <w:r>
        <w:rPr>
          <w:b/>
          <w:sz w:val="22"/>
        </w:rPr>
        <w:t>Table 2: Computational Design Methods, Tools, and Validation Metrics Across Case Studies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rPr>
                <w:b/>
                <w:sz w:val="18"/>
              </w:rPr>
              <w:t xml:space="preserve">Parameter</w:t>
            </w:r>
          </w:p>
        </w:tc>
        <w:tc>
          <w:tcPr>
            <w:tcW w:w="2250" w:type="dxa"/>
          </w:tcPr>
          <w:p>
            <w:r>
              <w:rPr>
                <w:b/>
                <w:sz w:val="18"/>
              </w:rPr>
              <w:t xml:space="preserve">Costa Rica (Mycelium Resort)</w:t>
            </w:r>
          </w:p>
        </w:tc>
        <w:tc>
          <w:tcPr>
            <w:tcW w:w="2250" w:type="dxa"/>
          </w:tcPr>
          <w:p>
            <w:r>
              <w:rPr>
                <w:b/>
                <w:sz w:val="18"/>
              </w:rPr>
              <w:t xml:space="preserve">Maldives (Reef Pavilion)</w:t>
            </w:r>
          </w:p>
        </w:tc>
        <w:tc>
          <w:tcPr>
            <w:tcW w:w="2250" w:type="dxa"/>
          </w:tcPr>
          <w:p>
            <w:r>
              <w:rPr>
                <w:b/>
                <w:sz w:val="18"/>
              </w:rPr>
              <w:t xml:space="preserve">Australia (Living Envelope)</w:t>
            </w:r>
          </w:p>
        </w:tc>
      </w:tr>
      <w:tr>
        <w:tc>
          <w:tcPr>
            <w:tcW w:w="2250" w:type="dxa"/>
          </w:tcPr>
          <w:p>
            <w:r>
              <w:rPr>
                <w:sz w:val="18"/>
              </w:rPr>
              <w:t xml:space="preserve">Primary Optimization Algorithm</w:t>
            </w:r>
          </w:p>
        </w:tc>
        <w:tc>
          <w:tcPr>
            <w:tcW w:w="2250" w:type="dxa"/>
          </w:tcPr>
          <w:p>
            <w:r>
              <w:rPr>
                <w:sz w:val="18"/>
              </w:rPr>
              <w:t xml:space="preserve">NSGA-II (Multi-objective Genetic Algorithm)</w:t>
            </w:r>
          </w:p>
        </w:tc>
        <w:tc>
          <w:tcPr>
            <w:tcW w:w="2250" w:type="dxa"/>
          </w:tcPr>
          <w:p>
            <w:r>
              <w:rPr>
                <w:sz w:val="18"/>
              </w:rPr>
              <w:t xml:space="preserve">Pareto-coupled Multi-domain Optimization</w:t>
            </w:r>
          </w:p>
        </w:tc>
        <w:tc>
          <w:tcPr>
            <w:tcW w:w="2250" w:type="dxa"/>
          </w:tcPr>
          <w:p>
            <w:r>
              <w:rPr>
                <w:sz w:val="18"/>
              </w:rPr>
              <w:t xml:space="preserve">Parametric Hygrothermal-Biological Coupling</w:t>
            </w:r>
          </w:p>
        </w:tc>
      </w:tr>
      <w:tr>
        <w:tc>
          <w:tcPr>
            <w:tcW w:w="2250" w:type="dxa"/>
          </w:tcPr>
          <w:p>
            <w:r>
              <w:rPr>
                <w:sz w:val="18"/>
              </w:rPr>
              <w:t xml:space="preserve">Simulation Platform</w:t>
            </w:r>
          </w:p>
        </w:tc>
        <w:tc>
          <w:tcPr>
            <w:tcW w:w="2250" w:type="dxa"/>
          </w:tcPr>
          <w:p>
            <w:r>
              <w:rPr>
                <w:sz w:val="18"/>
              </w:rPr>
              <w:t xml:space="preserve">Grasshopper/Rhino + Custom Python</w:t>
            </w:r>
          </w:p>
        </w:tc>
        <w:tc>
          <w:tcPr>
            <w:tcW w:w="2250" w:type="dxa"/>
          </w:tcPr>
          <w:p>
            <w:r>
              <w:rPr>
                <w:sz w:val="18"/>
              </w:rPr>
              <w:t xml:space="preserve">OpenFOAM (CFD) + MATLAB + FEA Solver</w:t>
            </w:r>
          </w:p>
        </w:tc>
        <w:tc>
          <w:tcPr>
            <w:tcW w:w="2250" w:type="dxa"/>
          </w:tcPr>
          <w:p>
            <w:r>
              <w:rPr>
                <w:sz w:val="18"/>
              </w:rPr>
              <w:t xml:space="preserve">WUFI + Custom Cyanobacterial Growth Model</w:t>
            </w:r>
          </w:p>
        </w:tc>
      </w:tr>
      <w:tr>
        <w:tc>
          <w:tcPr>
            <w:tcW w:w="2250" w:type="dxa"/>
          </w:tcPr>
          <w:p>
            <w:r>
              <w:rPr>
                <w:sz w:val="18"/>
              </w:rPr>
              <w:t xml:space="preserve">Number of Design Variables</w:t>
            </w:r>
          </w:p>
        </w:tc>
        <w:tc>
          <w:tcPr>
            <w:tcW w:w="2250" w:type="dxa"/>
          </w:tcPr>
          <w:p>
            <w:r>
              <w:rPr>
                <w:sz w:val="18"/>
              </w:rPr>
              <w:t xml:space="preserve">47 (spatial layout, orientation, canopy gaps)</w:t>
            </w:r>
          </w:p>
        </w:tc>
        <w:tc>
          <w:tcPr>
            <w:tcW w:w="2250" w:type="dxa"/>
          </w:tcPr>
          <w:p>
            <w:r>
              <w:rPr>
                <w:sz w:val="18"/>
              </w:rPr>
              <w:t xml:space="preserve">63 (geometry, surface texture, depth profile)</w:t>
            </w:r>
          </w:p>
        </w:tc>
        <w:tc>
          <w:tcPr>
            <w:tcW w:w="2250" w:type="dxa"/>
          </w:tcPr>
          <w:p>
            <w:r>
              <w:rPr>
                <w:sz w:val="18"/>
              </w:rPr>
              <w:t xml:space="preserve">28 (substrate composition, species selection, irrigation)</w:t>
            </w:r>
          </w:p>
        </w:tc>
      </w:tr>
      <w:tr>
        <w:tc>
          <w:tcPr>
            <w:tcW w:w="2250" w:type="dxa"/>
          </w:tcPr>
          <w:p>
            <w:r>
              <w:rPr>
                <w:sz w:val="18"/>
              </w:rPr>
              <w:t xml:space="preserve">Generations/Iterations</w:t>
            </w:r>
          </w:p>
        </w:tc>
        <w:tc>
          <w:tcPr>
            <w:tcW w:w="2250" w:type="dxa"/>
          </w:tcPr>
          <w:p>
            <w:r>
              <w:rPr>
                <w:sz w:val="18"/>
              </w:rPr>
              <w:t xml:space="preserve">400 generations, 12,000 configurations</w:t>
            </w:r>
          </w:p>
        </w:tc>
        <w:tc>
          <w:tcPr>
            <w:tcW w:w="2250" w:type="dxa"/>
          </w:tcPr>
          <w:p>
            <w:r>
              <w:rPr>
                <w:sz w:val="18"/>
              </w:rPr>
              <w:t xml:space="preserve">250 generations, 15,750 configurations</w:t>
            </w:r>
          </w:p>
        </w:tc>
        <w:tc>
          <w:tcPr>
            <w:tcW w:w="2250" w:type="dxa"/>
          </w:tcPr>
          <w:p>
            <w:r>
              <w:rPr>
                <w:sz w:val="18"/>
              </w:rPr>
              <w:t xml:space="preserve">180 parametric sweeps, 5,040 combinations</w:t>
            </w:r>
          </w:p>
        </w:tc>
      </w:tr>
      <w:tr>
        <w:tc>
          <w:tcPr>
            <w:tcW w:w="2250" w:type="dxa"/>
          </w:tcPr>
          <w:p>
            <w:r>
              <w:rPr>
                <w:sz w:val="18"/>
              </w:rPr>
              <w:t xml:space="preserve">Ecological Model Type</w:t>
            </w:r>
          </w:p>
        </w:tc>
        <w:tc>
          <w:tcPr>
            <w:tcW w:w="2250" w:type="dxa"/>
          </w:tcPr>
          <w:p>
            <w:r>
              <w:rPr>
                <w:sz w:val="18"/>
              </w:rPr>
              <w:t xml:space="preserve">Landscape Resistance Model + DLA Growth Model</w:t>
            </w:r>
          </w:p>
        </w:tc>
        <w:tc>
          <w:tcPr>
            <w:tcW w:w="2250" w:type="dxa"/>
          </w:tcPr>
          <w:p>
            <w:r>
              <w:rPr>
                <w:sz w:val="18"/>
              </w:rPr>
              <w:t xml:space="preserve">Coral Settlement Probability Model + CFD</w:t>
            </w:r>
          </w:p>
        </w:tc>
        <w:tc>
          <w:tcPr>
            <w:tcW w:w="2250" w:type="dxa"/>
          </w:tcPr>
          <w:p>
            <w:r>
              <w:rPr>
                <w:sz w:val="18"/>
              </w:rPr>
              <w:t xml:space="preserve">Desiccation-Rehydration Biological Model</w:t>
            </w:r>
          </w:p>
        </w:tc>
      </w:tr>
      <w:tr>
        <w:tc>
          <w:tcPr>
            <w:tcW w:w="2250" w:type="dxa"/>
          </w:tcPr>
          <w:p>
            <w:r>
              <w:rPr>
                <w:sz w:val="18"/>
              </w:rPr>
              <w:t xml:space="preserve">Structural Analysis Method</w:t>
            </w:r>
          </w:p>
        </w:tc>
        <w:tc>
          <w:tcPr>
            <w:tcW w:w="2250" w:type="dxa"/>
          </w:tcPr>
          <w:p>
            <w:r>
              <w:rPr>
                <w:sz w:val="18"/>
              </w:rPr>
              <w:t xml:space="preserve">Bamboo-Mycelium Composite FEA</w:t>
            </w:r>
          </w:p>
        </w:tc>
        <w:tc>
          <w:tcPr>
            <w:tcW w:w="2250" w:type="dxa"/>
          </w:tcPr>
          <w:p>
            <w:r>
              <w:rPr>
                <w:sz w:val="18"/>
              </w:rPr>
              <w:t xml:space="preserve">SIMP Topology Optimization (100-yr wave)</w:t>
            </w:r>
          </w:p>
        </w:tc>
        <w:tc>
          <w:tcPr>
            <w:tcW w:w="2250" w:type="dxa"/>
          </w:tcPr>
          <w:p>
            <w:r>
              <w:rPr>
                <w:sz w:val="18"/>
              </w:rPr>
              <w:t xml:space="preserve">Hygrothermal Stress Analysis</w:t>
            </w:r>
          </w:p>
        </w:tc>
      </w:tr>
      <w:tr>
        <w:tc>
          <w:tcPr>
            <w:tcW w:w="2250" w:type="dxa"/>
          </w:tcPr>
          <w:p>
            <w:r>
              <w:rPr>
                <w:sz w:val="18"/>
              </w:rPr>
              <w:t xml:space="preserve">Prediction-Observation Agreement</w:t>
            </w:r>
          </w:p>
        </w:tc>
        <w:tc>
          <w:tcPr>
            <w:tcW w:w="2250" w:type="dxa"/>
          </w:tcPr>
          <w:p>
            <w:r>
              <w:rPr>
                <w:sz w:val="18"/>
              </w:rPr>
              <w:t xml:space="preserve">85–92% (mycelium growth, carbon flux)</w:t>
            </w:r>
          </w:p>
        </w:tc>
        <w:tc>
          <w:tcPr>
            <w:tcW w:w="2250" w:type="dxa"/>
          </w:tcPr>
          <w:p>
            <w:r>
              <w:rPr>
                <w:sz w:val="18"/>
              </w:rPr>
              <w:t xml:space="preserve">88–94% (coral settlement, fish diversity)</w:t>
            </w:r>
          </w:p>
        </w:tc>
        <w:tc>
          <w:tcPr>
            <w:tcW w:w="2250" w:type="dxa"/>
          </w:tcPr>
          <w:p>
            <w:r>
              <w:rPr>
                <w:sz w:val="18"/>
              </w:rPr>
              <w:t xml:space="preserve">91–95% (thermal performance, biological activity)</w:t>
            </w:r>
          </w:p>
        </w:tc>
      </w:tr>
      <w:tr>
        <w:tc>
          <w:tcPr>
            <w:tcW w:w="2250" w:type="dxa"/>
          </w:tcPr>
          <w:p>
            <w:r>
              <w:rPr>
                <w:sz w:val="18"/>
              </w:rPr>
              <w:t xml:space="preserve">Temporal Simulation Horizon</w:t>
            </w:r>
          </w:p>
        </w:tc>
        <w:tc>
          <w:tcPr>
            <w:tcW w:w="2250" w:type="dxa"/>
          </w:tcPr>
          <w:p>
            <w:r>
              <w:rPr>
                <w:sz w:val="18"/>
              </w:rPr>
              <w:t xml:space="preserve">25 years (forest succession dynamics)</w:t>
            </w:r>
          </w:p>
        </w:tc>
        <w:tc>
          <w:tcPr>
            <w:tcW w:w="2250" w:type="dxa"/>
          </w:tcPr>
          <w:p>
            <w:r>
              <w:rPr>
                <w:sz w:val="18"/>
              </w:rPr>
              <w:t xml:space="preserve">30 years (reef development trajectory)</w:t>
            </w:r>
          </w:p>
        </w:tc>
        <w:tc>
          <w:tcPr>
            <w:tcW w:w="2250" w:type="dxa"/>
          </w:tcPr>
          <w:p>
            <w:r>
              <w:rPr>
                <w:sz w:val="18"/>
              </w:rPr>
              <w:t xml:space="preserve">15 years (cryptogamic community maturation)</w:t>
            </w:r>
          </w:p>
        </w:tc>
      </w:tr>
      <w:tr>
        <w:tc>
          <w:tcPr>
            <w:tcW w:w="2250" w:type="dxa"/>
          </w:tcPr>
          <w:p>
            <w:r>
              <w:rPr>
                <w:sz w:val="18"/>
              </w:rPr>
              <w:t xml:space="preserve">Key Design Objectives (simultaneous)</w:t>
            </w:r>
          </w:p>
        </w:tc>
        <w:tc>
          <w:tcPr>
            <w:tcW w:w="2250" w:type="dxa"/>
          </w:tcPr>
          <w:p>
            <w:r>
              <w:rPr>
                <w:sz w:val="18"/>
              </w:rPr>
              <w:t xml:space="preserve">4 (connectivity, imperviousness, solar, privacy)</w:t>
            </w:r>
          </w:p>
        </w:tc>
        <w:tc>
          <w:tcPr>
            <w:tcW w:w="2250" w:type="dxa"/>
          </w:tcPr>
          <w:p>
            <w:r>
              <w:rPr>
                <w:sz w:val="18"/>
              </w:rPr>
              <w:t xml:space="preserve">3 (structural safety, coral settlement, cost)</w:t>
            </w:r>
          </w:p>
        </w:tc>
        <w:tc>
          <w:tcPr>
            <w:tcW w:w="2250" w:type="dxa"/>
          </w:tcPr>
          <w:p>
            <w:r>
              <w:rPr>
                <w:sz w:val="18"/>
              </w:rPr>
              <w:t xml:space="preserve">3 (cooling performance, water use, biological viability)</w:t>
            </w:r>
          </w:p>
        </w:tc>
      </w:tr>
      <w:tr>
        <w:tc>
          <w:tcPr>
            <w:tcW w:w="2250" w:type="dxa"/>
          </w:tcPr>
          <w:p>
            <w:r>
              <w:rPr>
                <w:sz w:val="18"/>
              </w:rPr>
              <w:t xml:space="preserve">Validation Data Source</w:t>
            </w:r>
          </w:p>
        </w:tc>
        <w:tc>
          <w:tcPr>
            <w:tcW w:w="2250" w:type="dxa"/>
          </w:tcPr>
          <w:p>
            <w:r>
              <w:rPr>
                <w:sz w:val="18"/>
              </w:rPr>
              <w:t xml:space="preserve">5-year field monitoring + quarterly bird surveys</w:t>
            </w:r>
          </w:p>
        </w:tc>
        <w:tc>
          <w:tcPr>
            <w:tcW w:w="2250" w:type="dxa"/>
          </w:tcPr>
          <w:p>
            <w:r>
              <w:rPr>
                <w:sz w:val="18"/>
              </w:rPr>
              <w:t xml:space="preserve">4-year reef monitoring + settlement tiles</w:t>
            </w:r>
          </w:p>
        </w:tc>
        <w:tc>
          <w:tcPr>
            <w:tcW w:w="2250" w:type="dxa"/>
          </w:tcPr>
          <w:p>
            <w:r>
              <w:rPr>
                <w:sz w:val="18"/>
              </w:rPr>
              <w:t xml:space="preserve">6-year thermal + biodiversity monitoring</w:t>
            </w:r>
          </w:p>
        </w:tc>
      </w:tr>
    </w:tbl>
    <w:p>
      <w:pPr>
        <w:spacing w:after="200"/>
      </w:pPr>
    </w:p>
    <w:p>
      <w:pPr>
        <w:spacing w:after="120"/>
        <w:jc w:val="both"/>
      </w:pPr>
      <w:r>
        <w:rPr>
          <w:sz w:val="22"/>
        </w:rPr>
        <w:t xml:space="preserve">The computational approaches vary significantly across the three projects, reflecting the distinct ecological contexts and design challenges of each site. However, all three share a common methodological architecture of multi-objective optimization coupled with biological growth/behavior models and validated against field monitoring data.</w:t>
      </w:r>
    </w:p>
    <w:p>
      <w:pPr>
        <w:spacing w:after="120"/>
        <w:jc w:val="both"/>
      </w:pPr>
      <w:r>
        <w:rPr>
          <w:sz w:val="22"/>
        </w:rPr>
        <w:t xml:space="preserve">Micro-scale (material level): Behaviour of biological material on finite element and agent based modeling at component level in the building. This encompasses modelling of mycelia growth patterns in composite panels (developed from growth algorithms from Dikec et al. [36]), the productivity of photosynthetic system for algae under different irradiances and temperatures, and moisture dynamics in Living-Skin assemblies. Simulations are performed on platform Grasshopper/Rhino parametric modelling and a personal Python code including the biological growth algorithms.</w:t>
      </w:r>
    </w:p>
    <w:p>
      <w:pPr>
        <w:spacing w:after="120"/>
        <w:jc w:val="both"/>
      </w:pPr>
      <w:r>
        <w:rPr>
          <w:sz w:val="22"/>
        </w:rPr>
        <w:t xml:space="preserve">Meso-scale (building level): Building energy simulation (EnergyPlus) with dynamics of boundary conditions such as CO₂ uptake, O₂ release, evapotranspiration, and biomass accumulation as a dynamic rather than static property of the building. It allows prediction of living system performance seasonally and in response to climate change and variations to be captured, reflecting bio-integrated building system adaptive behaviour.</w:t>
      </w:r>
    </w:p>
    <w:p>
      <w:pPr>
        <w:spacing w:after="120"/>
        <w:jc w:val="both"/>
      </w:pPr>
      <w:r>
        <w:rPr>
          <w:sz w:val="22"/>
        </w:rPr>
        <w:t xml:space="preserve">Macro-scale (landscape level): Agent-based ecological models that simulate fauna movement, habitat utilisation and population dynamics in response to bio-integrated infrastructure. Models are parameterized from species-specific information on behaviour from ecological literature and calibrated to monitoring information from the case study locations. Bio-Integrated circuit theory analysis [37] enables assessment of landscape connectivity at a broad scale in terms of its facilitation or inhibition of ecological connectivity.</w:t>
      </w:r>
    </w:p>
    <w:p>
      <w:pPr>
        <w:spacing w:before="200" w:after="100"/>
      </w:pPr>
      <w:r>
        <w:rPr>
          <w:b/>
          <w:sz w:val="22"/>
        </w:rPr>
        <w:t>Figure 2: Hierarchical Computational Modeling Framework for Bio-Integrated Design</w:t>
      </w:r>
    </w:p>
    <w:p>
      <w:pPr>
        <w:pStyle w:val="CodeBlock"/>
      </w:pPr>
      <w:r>
        <w:rPr>
          <w:rFonts w:ascii="Courier New" w:hAnsi="Courier New"/>
          <w:sz w:val="18"/>
        </w:rPr>
        <w:t xml:space="preserve">┌─────────────────────────────────────────────────────────────────────────┐</w:t>
      </w:r>
    </w:p>
    <w:p>
      <w:pPr>
        <w:pStyle w:val="CodeBlock"/>
      </w:pPr>
      <w:r>
        <w:rPr>
          <w:rFonts w:ascii="Courier New" w:hAnsi="Courier New"/>
          <w:sz w:val="18"/>
        </w:rPr>
        <w:t xml:space="preserve">│                    MULTI-SCALE SIMULATION ARCHITECTURE                    │</w:t>
      </w:r>
    </w:p>
    <w:p>
      <w:pPr>
        <w:pStyle w:val="CodeBlock"/>
      </w:pPr>
      <w:r>
        <w:rPr>
          <w:rFonts w:ascii="Courier New" w:hAnsi="Courier New"/>
          <w:sz w:val="18"/>
        </w:rPr>
        <w:t xml:space="preserve">├─────────────────────────────────────────────────────────────────────────┤</w:t>
      </w:r>
    </w:p>
    <w:p>
      <w:pPr>
        <w:pStyle w:val="CodeBlock"/>
      </w:pPr>
      <w:r>
        <w:rPr>
          <w:rFonts w:ascii="Courier New" w:hAnsi="Courier New"/>
          <w:sz w:val="18"/>
        </w:rPr>
        <w:t xml:space="preserve">│                                                                          │</w:t>
      </w:r>
    </w:p>
    <w:p>
      <w:pPr>
        <w:pStyle w:val="CodeBlock"/>
      </w:pPr>
      <w:r>
        <w:rPr>
          <w:rFonts w:ascii="Courier New" w:hAnsi="Courier New"/>
          <w:sz w:val="18"/>
        </w:rPr>
        <w:t xml:space="preserve">│  ┌───────────────────────────────────────────────────────────────────┐  │</w:t>
      </w:r>
    </w:p>
    <w:p>
      <w:pPr>
        <w:pStyle w:val="CodeBlock"/>
      </w:pPr>
      <w:r>
        <w:rPr>
          <w:rFonts w:ascii="Courier New" w:hAnsi="Courier New"/>
          <w:sz w:val="18"/>
        </w:rPr>
        <w:t xml:space="preserve">│  │  MACRO-SCALE: LANDSCAPE LEVEL (Years 1-30)                        │  │</w:t>
      </w:r>
    </w:p>
    <w:p>
      <w:pPr>
        <w:pStyle w:val="CodeBlock"/>
      </w:pPr>
      <w:r>
        <w:rPr>
          <w:rFonts w:ascii="Courier New" w:hAnsi="Courier New"/>
          <w:sz w:val="18"/>
        </w:rPr>
        <w:t xml:space="preserve">│  │  ┌─────────────────┐  ┌──────────────────┐  ┌────────────────┐  │  │</w:t>
      </w:r>
    </w:p>
    <w:p>
      <w:pPr>
        <w:pStyle w:val="CodeBlock"/>
      </w:pPr>
      <w:r>
        <w:rPr>
          <w:rFonts w:ascii="Courier New" w:hAnsi="Courier New"/>
          <w:sz w:val="18"/>
        </w:rPr>
        <w:t xml:space="preserve">│  │  │ Agent-Based      │  │ Circuit Theory   │  │ Population     │  │  │</w:t>
      </w:r>
    </w:p>
    <w:p>
      <w:pPr>
        <w:pStyle w:val="CodeBlock"/>
      </w:pPr>
      <w:r>
        <w:rPr>
          <w:rFonts w:ascii="Courier New" w:hAnsi="Courier New"/>
          <w:sz w:val="18"/>
        </w:rPr>
        <w:t xml:space="preserve">│  │  │ Ecological Model │──│ Connectivity     │──│ Dynamics Model │  │  │</w:t>
      </w:r>
    </w:p>
    <w:p>
      <w:pPr>
        <w:pStyle w:val="CodeBlock"/>
      </w:pPr>
      <w:r>
        <w:rPr>
          <w:rFonts w:ascii="Courier New" w:hAnsi="Courier New"/>
          <w:sz w:val="18"/>
        </w:rPr>
        <w:t xml:space="preserve">│  │  │ (fauna movement) │  │ Analysis         │  │ (succession)   │  │  │</w:t>
      </w:r>
    </w:p>
    <w:p>
      <w:pPr>
        <w:pStyle w:val="CodeBlock"/>
      </w:pPr>
      <w:r>
        <w:rPr>
          <w:rFonts w:ascii="Courier New" w:hAnsi="Courier New"/>
          <w:sz w:val="18"/>
        </w:rPr>
        <w:t xml:space="preserve">│  │  └────────┬─────────┘  └────────┬─────────┘  └───────┬────────┘  │  │</w:t>
      </w:r>
    </w:p>
    <w:p>
      <w:pPr>
        <w:pStyle w:val="CodeBlock"/>
      </w:pPr>
      <w:r>
        <w:rPr>
          <w:rFonts w:ascii="Courier New" w:hAnsi="Courier New"/>
          <w:sz w:val="18"/>
        </w:rPr>
        <w:t xml:space="preserve">│  │           └──────────────────────┼─────────────────────┘           │  │</w:t>
      </w:r>
    </w:p>
    <w:p>
      <w:pPr>
        <w:pStyle w:val="CodeBlock"/>
      </w:pPr>
      <w:r>
        <w:rPr>
          <w:rFonts w:ascii="Courier New" w:hAnsi="Courier New"/>
          <w:sz w:val="18"/>
        </w:rPr>
        <w:t xml:space="preserve">│  │                          ┌───────▼───────┐                        │  │</w:t>
      </w:r>
    </w:p>
    <w:p>
      <w:pPr>
        <w:pStyle w:val="CodeBlock"/>
      </w:pPr>
      <w:r>
        <w:rPr>
          <w:rFonts w:ascii="Courier New" w:hAnsi="Courier New"/>
          <w:sz w:val="18"/>
        </w:rPr>
        <w:t xml:space="preserve">│  │                          │  LANDSCAPE    │                        │  │</w:t>
      </w:r>
    </w:p>
    <w:p>
      <w:pPr>
        <w:pStyle w:val="CodeBlock"/>
      </w:pPr>
      <w:r>
        <w:rPr>
          <w:rFonts w:ascii="Courier New" w:hAnsi="Courier New"/>
          <w:sz w:val="18"/>
        </w:rPr>
        <w:t xml:space="preserve">│  │                          │  PERFORMANCE  │                        │  │</w:t>
      </w:r>
    </w:p>
    <w:p>
      <w:pPr>
        <w:pStyle w:val="CodeBlock"/>
      </w:pPr>
      <w:r>
        <w:rPr>
          <w:rFonts w:ascii="Courier New" w:hAnsi="Courier New"/>
          <w:sz w:val="18"/>
        </w:rPr>
        <w:t xml:space="preserve">│  │                          └───────┬───────┘                        │  │</w:t>
      </w:r>
    </w:p>
    <w:p>
      <w:pPr>
        <w:pStyle w:val="CodeBlock"/>
      </w:pPr>
      <w:r>
        <w:rPr>
          <w:rFonts w:ascii="Courier New" w:hAnsi="Courier New"/>
          <w:sz w:val="18"/>
        </w:rPr>
        <w:t xml:space="preserve">│  └──────────────────────────────────┼────────────────────────────────┘  │</w:t>
      </w:r>
    </w:p>
    <w:p>
      <w:pPr>
        <w:pStyle w:val="CodeBlock"/>
      </w:pPr>
      <w:r>
        <w:rPr>
          <w:rFonts w:ascii="Courier New" w:hAnsi="Courier New"/>
          <w:sz w:val="18"/>
        </w:rPr>
        <w:t xml:space="preserve">│                              ┌──────▼──────┐                            │</w:t>
      </w:r>
    </w:p>
    <w:p>
      <w:pPr>
        <w:pStyle w:val="CodeBlock"/>
      </w:pPr>
      <w:r>
        <w:rPr>
          <w:rFonts w:ascii="Courier New" w:hAnsi="Courier New"/>
          <w:sz w:val="18"/>
        </w:rPr>
        <w:t xml:space="preserve">│                              │  FEEDBACK   │                            │</w:t>
      </w:r>
    </w:p>
    <w:p>
      <w:pPr>
        <w:pStyle w:val="CodeBlock"/>
      </w:pPr>
      <w:r>
        <w:rPr>
          <w:rFonts w:ascii="Courier New" w:hAnsi="Courier New"/>
          <w:sz w:val="18"/>
        </w:rPr>
        <w:t xml:space="preserve">│                              │  COUPLING   │                            │</w:t>
      </w:r>
    </w:p>
    <w:p>
      <w:pPr>
        <w:pStyle w:val="CodeBlock"/>
      </w:pPr>
      <w:r>
        <w:rPr>
          <w:rFonts w:ascii="Courier New" w:hAnsi="Courier New"/>
          <w:sz w:val="18"/>
        </w:rPr>
        <w:t xml:space="preserve">│                              └──────┬──────┘                            │</w:t>
      </w:r>
    </w:p>
    <w:p>
      <w:pPr>
        <w:pStyle w:val="CodeBlock"/>
      </w:pPr>
      <w:r>
        <w:rPr>
          <w:rFonts w:ascii="Courier New" w:hAnsi="Courier New"/>
          <w:sz w:val="18"/>
        </w:rPr>
        <w:t xml:space="preserve">│  ┌──────────────────────────────────┼────────────────────────────────┐  │</w:t>
      </w:r>
    </w:p>
    <w:p>
      <w:pPr>
        <w:pStyle w:val="CodeBlock"/>
      </w:pPr>
      <w:r>
        <w:rPr>
          <w:rFonts w:ascii="Courier New" w:hAnsi="Courier New"/>
          <w:sz w:val="18"/>
        </w:rPr>
        <w:t xml:space="preserve">│  │  MESO-SCALE: BUILDING LEVEL (Seasons - Years)                     │  │</w:t>
      </w:r>
    </w:p>
    <w:p>
      <w:pPr>
        <w:pStyle w:val="CodeBlock"/>
      </w:pPr>
      <w:r>
        <w:rPr>
          <w:rFonts w:ascii="Courier New" w:hAnsi="Courier New"/>
          <w:sz w:val="18"/>
        </w:rPr>
        <w:t xml:space="preserve">│  │  ┌─────────────────┐  ┌──────────────────┐  ┌────────────────┐  │  │</w:t>
      </w:r>
    </w:p>
    <w:p>
      <w:pPr>
        <w:pStyle w:val="CodeBlock"/>
      </w:pPr>
      <w:r>
        <w:rPr>
          <w:rFonts w:ascii="Courier New" w:hAnsi="Courier New"/>
          <w:sz w:val="18"/>
        </w:rPr>
        <w:t xml:space="preserve">│  │  │ EnergyPlus       │  │ Dynamic Boundary │  │ Biomass        │  │  │</w:t>
      </w:r>
    </w:p>
    <w:p>
      <w:pPr>
        <w:pStyle w:val="CodeBlock"/>
      </w:pPr>
      <w:r>
        <w:rPr>
          <w:rFonts w:ascii="Courier New" w:hAnsi="Courier New"/>
          <w:sz w:val="18"/>
        </w:rPr>
        <w:t xml:space="preserve">│  │  │ Thermal Model    │──│ Conditions       │──│ Accumulation   │  │  │</w:t>
      </w:r>
    </w:p>
    <w:p>
      <w:pPr>
        <w:pStyle w:val="CodeBlock"/>
      </w:pPr>
      <w:r>
        <w:rPr>
          <w:rFonts w:ascii="Courier New" w:hAnsi="Courier New"/>
          <w:sz w:val="18"/>
        </w:rPr>
        <w:t xml:space="preserve">│  │  │ (energy flows)   │  │ (CO₂, O₂, H₂O)  │  │ Model          │  │  │</w:t>
      </w:r>
    </w:p>
    <w:p>
      <w:pPr>
        <w:pStyle w:val="CodeBlock"/>
      </w:pPr>
      <w:r>
        <w:rPr>
          <w:rFonts w:ascii="Courier New" w:hAnsi="Courier New"/>
          <w:sz w:val="18"/>
        </w:rPr>
        <w:t xml:space="preserve">│  │  └────────┬─────────┘  └────────┬─────────┘  └───────┬────────┘  │  │</w:t>
      </w:r>
    </w:p>
    <w:p>
      <w:pPr>
        <w:pStyle w:val="CodeBlock"/>
      </w:pPr>
      <w:r>
        <w:rPr>
          <w:rFonts w:ascii="Courier New" w:hAnsi="Courier New"/>
          <w:sz w:val="18"/>
        </w:rPr>
        <w:t xml:space="preserve">│  │           └──────────────────────┼─────────────────────┘           │  │</w:t>
      </w:r>
    </w:p>
    <w:p>
      <w:pPr>
        <w:pStyle w:val="CodeBlock"/>
      </w:pPr>
      <w:r>
        <w:rPr>
          <w:rFonts w:ascii="Courier New" w:hAnsi="Courier New"/>
          <w:sz w:val="18"/>
        </w:rPr>
        <w:t xml:space="preserve">│  │                          ┌───────▼───────┐                        │  │</w:t>
      </w:r>
    </w:p>
    <w:p>
      <w:pPr>
        <w:pStyle w:val="CodeBlock"/>
      </w:pPr>
      <w:r>
        <w:rPr>
          <w:rFonts w:ascii="Courier New" w:hAnsi="Courier New"/>
          <w:sz w:val="18"/>
        </w:rPr>
        <w:t xml:space="preserve">│  │                          │  BUILDING     │                        │  │</w:t>
      </w:r>
    </w:p>
    <w:p>
      <w:pPr>
        <w:pStyle w:val="CodeBlock"/>
      </w:pPr>
      <w:r>
        <w:rPr>
          <w:rFonts w:ascii="Courier New" w:hAnsi="Courier New"/>
          <w:sz w:val="18"/>
        </w:rPr>
        <w:t xml:space="preserve">│  │                          │  PERFORMANCE  │                        │  │</w:t>
      </w:r>
    </w:p>
    <w:p>
      <w:pPr>
        <w:pStyle w:val="CodeBlock"/>
      </w:pPr>
      <w:r>
        <w:rPr>
          <w:rFonts w:ascii="Courier New" w:hAnsi="Courier New"/>
          <w:sz w:val="18"/>
        </w:rPr>
        <w:t xml:space="preserve">│  │                          └───────┬───────┘                        │  │</w:t>
      </w:r>
    </w:p>
    <w:p>
      <w:pPr>
        <w:pStyle w:val="CodeBlock"/>
      </w:pPr>
      <w:r>
        <w:rPr>
          <w:rFonts w:ascii="Courier New" w:hAnsi="Courier New"/>
          <w:sz w:val="18"/>
        </w:rPr>
        <w:t xml:space="preserve">│  └──────────────────────────────────┼────────────────────────────────┘  │</w:t>
      </w:r>
    </w:p>
    <w:p>
      <w:pPr>
        <w:pStyle w:val="CodeBlock"/>
      </w:pPr>
      <w:r>
        <w:rPr>
          <w:rFonts w:ascii="Courier New" w:hAnsi="Courier New"/>
          <w:sz w:val="18"/>
        </w:rPr>
        <w:t xml:space="preserve">│                              ┌──────▼──────┐                            │</w:t>
      </w:r>
    </w:p>
    <w:p>
      <w:pPr>
        <w:pStyle w:val="CodeBlock"/>
      </w:pPr>
      <w:r>
        <w:rPr>
          <w:rFonts w:ascii="Courier New" w:hAnsi="Courier New"/>
          <w:sz w:val="18"/>
        </w:rPr>
        <w:t xml:space="preserve">│                              │  FEEDBACK   │                            │</w:t>
      </w:r>
    </w:p>
    <w:p>
      <w:pPr>
        <w:pStyle w:val="CodeBlock"/>
      </w:pPr>
      <w:r>
        <w:rPr>
          <w:rFonts w:ascii="Courier New" w:hAnsi="Courier New"/>
          <w:sz w:val="18"/>
        </w:rPr>
        <w:t xml:space="preserve">│                              │  COUPLING   │                            │</w:t>
      </w:r>
    </w:p>
    <w:p>
      <w:pPr>
        <w:pStyle w:val="CodeBlock"/>
      </w:pPr>
      <w:r>
        <w:rPr>
          <w:rFonts w:ascii="Courier New" w:hAnsi="Courier New"/>
          <w:sz w:val="18"/>
        </w:rPr>
        <w:t xml:space="preserve">│                              └──────┬──────┘                            │</w:t>
      </w:r>
    </w:p>
    <w:p>
      <w:pPr>
        <w:pStyle w:val="CodeBlock"/>
      </w:pPr>
      <w:r>
        <w:rPr>
          <w:rFonts w:ascii="Courier New" w:hAnsi="Courier New"/>
          <w:sz w:val="18"/>
        </w:rPr>
        <w:t xml:space="preserve">│  ┌──────────────────────────────────┼────────────────────────────────┐  │</w:t>
      </w:r>
    </w:p>
    <w:p>
      <w:pPr>
        <w:pStyle w:val="CodeBlock"/>
      </w:pPr>
      <w:r>
        <w:rPr>
          <w:rFonts w:ascii="Courier New" w:hAnsi="Courier New"/>
          <w:sz w:val="18"/>
        </w:rPr>
        <w:t xml:space="preserve">│  │  MICRO-SCALE: MATERIAL LEVEL (Hours - Weeks)                      │  │</w:t>
      </w:r>
    </w:p>
    <w:p>
      <w:pPr>
        <w:pStyle w:val="CodeBlock"/>
      </w:pPr>
      <w:r>
        <w:rPr>
          <w:rFonts w:ascii="Courier New" w:hAnsi="Courier New"/>
          <w:sz w:val="18"/>
        </w:rPr>
        <w:t xml:space="preserve">│  │  ┌─────────────────┐  ┌──────────────────┐  ┌────────────────┐  │  │</w:t>
      </w:r>
    </w:p>
    <w:p>
      <w:pPr>
        <w:pStyle w:val="CodeBlock"/>
      </w:pPr>
      <w:r>
        <w:rPr>
          <w:rFonts w:ascii="Courier New" w:hAnsi="Courier New"/>
          <w:sz w:val="18"/>
        </w:rPr>
        <w:t xml:space="preserve">│  │  │ FEA / ABM        │  │ Growth Algorithm │  │ Moisture       │  │  │</w:t>
      </w:r>
    </w:p>
    <w:p>
      <w:pPr>
        <w:pStyle w:val="CodeBlock"/>
      </w:pPr>
      <w:r>
        <w:rPr>
          <w:rFonts w:ascii="Courier New" w:hAnsi="Courier New"/>
          <w:sz w:val="18"/>
        </w:rPr>
        <w:t xml:space="preserve">│  │  │ (structural      │──│ (DLA, biological │──│ Dynamics Model │  │  │</w:t>
      </w:r>
    </w:p>
    <w:p>
      <w:pPr>
        <w:pStyle w:val="CodeBlock"/>
      </w:pPr>
      <w:r>
        <w:rPr>
          <w:rFonts w:ascii="Courier New" w:hAnsi="Courier New"/>
          <w:sz w:val="18"/>
        </w:rPr>
        <w:t xml:space="preserve">│  │  │  behavior)       │  │  growth kinetics)│  │ (hygrothermal) │  │  │</w:t>
      </w:r>
    </w:p>
    <w:p>
      <w:pPr>
        <w:pStyle w:val="CodeBlock"/>
      </w:pPr>
      <w:r>
        <w:rPr>
          <w:rFonts w:ascii="Courier New" w:hAnsi="Courier New"/>
          <w:sz w:val="18"/>
        </w:rPr>
        <w:t xml:space="preserve">│  │  └────────┬─────────┘  └────────┬─────────┘  └───────┬────────┘  │  │</w:t>
      </w:r>
    </w:p>
    <w:p>
      <w:pPr>
        <w:pStyle w:val="CodeBlock"/>
      </w:pPr>
      <w:r>
        <w:rPr>
          <w:rFonts w:ascii="Courier New" w:hAnsi="Courier New"/>
          <w:sz w:val="18"/>
        </w:rPr>
        <w:t xml:space="preserve">│  │           └──────────────────────┼─────────────────────┘           │  │</w:t>
      </w:r>
    </w:p>
    <w:p>
      <w:pPr>
        <w:pStyle w:val="CodeBlock"/>
      </w:pPr>
      <w:r>
        <w:rPr>
          <w:rFonts w:ascii="Courier New" w:hAnsi="Courier New"/>
          <w:sz w:val="18"/>
        </w:rPr>
        <w:t xml:space="preserve">│  │                          ┌───────▼───────┐                        │  │</w:t>
      </w:r>
    </w:p>
    <w:p>
      <w:pPr>
        <w:pStyle w:val="CodeBlock"/>
      </w:pPr>
      <w:r>
        <w:rPr>
          <w:rFonts w:ascii="Courier New" w:hAnsi="Courier New"/>
          <w:sz w:val="18"/>
        </w:rPr>
        <w:t xml:space="preserve">│  │                          │  MATERIAL     │                        │  │</w:t>
      </w:r>
    </w:p>
    <w:p>
      <w:pPr>
        <w:pStyle w:val="CodeBlock"/>
      </w:pPr>
      <w:r>
        <w:rPr>
          <w:rFonts w:ascii="Courier New" w:hAnsi="Courier New"/>
          <w:sz w:val="18"/>
        </w:rPr>
        <w:t xml:space="preserve">│  │                          │  PERFORMANCE  │                        │  │</w:t>
      </w:r>
    </w:p>
    <w:p>
      <w:pPr>
        <w:pStyle w:val="CodeBlock"/>
      </w:pPr>
      <w:r>
        <w:rPr>
          <w:rFonts w:ascii="Courier New" w:hAnsi="Courier New"/>
          <w:sz w:val="18"/>
        </w:rPr>
        <w:t xml:space="preserve">│  │                          └───────────────┘                        │  │</w:t>
      </w:r>
    </w:p>
    <w:p>
      <w:pPr>
        <w:pStyle w:val="CodeBlock"/>
      </w:pPr>
      <w:r>
        <w:rPr>
          <w:rFonts w:ascii="Courier New" w:hAnsi="Courier New"/>
          <w:sz w:val="18"/>
        </w:rPr>
        <w:t xml:space="preserve">│  └───────────────────────────────────────────────────────────────────┘  │</w:t>
      </w:r>
    </w:p>
    <w:p>
      <w:pPr>
        <w:pStyle w:val="CodeBlock"/>
      </w:pPr>
      <w:r>
        <w:rPr>
          <w:rFonts w:ascii="Courier New" w:hAnsi="Courier New"/>
          <w:sz w:val="18"/>
        </w:rPr>
        <w:t xml:space="preserve">│                                                                          │</w:t>
      </w:r>
    </w:p>
    <w:p>
      <w:pPr>
        <w:pStyle w:val="CodeBlock"/>
      </w:pPr>
      <w:r>
        <w:rPr>
          <w:rFonts w:ascii="Courier New" w:hAnsi="Courier New"/>
          <w:sz w:val="18"/>
        </w:rPr>
        <w:t xml:space="preserve">│  ═══════════════════════ OPTIMIZATION LAYER ═════════════════════════    │</w:t>
      </w:r>
    </w:p>
    <w:p>
      <w:pPr>
        <w:pStyle w:val="CodeBlock"/>
      </w:pPr>
      <w:r>
        <w:rPr>
          <w:rFonts w:ascii="Courier New" w:hAnsi="Courier New"/>
          <w:sz w:val="18"/>
        </w:rPr>
        <w:t xml:space="preserve">│  ┌───────────────┐    ┌───────────────┐    ┌───────────────────────┐   │</w:t>
      </w:r>
    </w:p>
    <w:p>
      <w:pPr>
        <w:pStyle w:val="CodeBlock"/>
      </w:pPr>
      <w:r>
        <w:rPr>
          <w:rFonts w:ascii="Courier New" w:hAnsi="Courier New"/>
          <w:sz w:val="18"/>
        </w:rPr>
        <w:t xml:space="preserve">│  │ NSGA-II       │    │ Pareto Multi- │    │ Parametric Sweep      │   │</w:t>
      </w:r>
    </w:p>
    <w:p>
      <w:pPr>
        <w:pStyle w:val="CodeBlock"/>
      </w:pPr>
      <w:r>
        <w:rPr>
          <w:rFonts w:ascii="Courier New" w:hAnsi="Courier New"/>
          <w:sz w:val="18"/>
        </w:rPr>
        <w:t xml:space="preserve">│  │ (Costa Rica)  │    │ Domain (Mald.)│    │ (Australia)           │   │</w:t>
      </w:r>
    </w:p>
    <w:p>
      <w:pPr>
        <w:pStyle w:val="CodeBlock"/>
      </w:pPr>
      <w:r>
        <w:rPr>
          <w:rFonts w:ascii="Courier New" w:hAnsi="Courier New"/>
          <w:sz w:val="18"/>
        </w:rPr>
        <w:t xml:space="preserve">│  │ 12,000 configs│    │ 15,750 configs│    │ 5,040 combinations    │   │</w:t>
      </w:r>
    </w:p>
    <w:p>
      <w:pPr>
        <w:pStyle w:val="CodeBlock"/>
      </w:pPr>
      <w:r>
        <w:rPr>
          <w:rFonts w:ascii="Courier New" w:hAnsi="Courier New"/>
          <w:sz w:val="18"/>
        </w:rPr>
        <w:t xml:space="preserve">│  └───────────────┘    └───────────────┘    └───────────────────────┘   │</w:t>
      </w:r>
    </w:p>
    <w:p>
      <w:pPr>
        <w:pStyle w:val="CodeBlock"/>
      </w:pPr>
      <w:r>
        <w:rPr>
          <w:rFonts w:ascii="Courier New" w:hAnsi="Courier New"/>
          <w:sz w:val="18"/>
        </w:rPr>
        <w:t xml:space="preserve">│                                                                          │</w:t>
      </w:r>
    </w:p>
    <w:p>
      <w:pPr>
        <w:pStyle w:val="CodeBlock"/>
      </w:pPr>
      <w:r>
        <w:rPr>
          <w:rFonts w:ascii="Courier New" w:hAnsi="Courier New"/>
          <w:sz w:val="18"/>
        </w:rPr>
        <w:t xml:space="preserve">│  ═══════════════════════ VALIDATION LAYER ═══════════════════════════    │</w:t>
      </w:r>
    </w:p>
    <w:p>
      <w:pPr>
        <w:pStyle w:val="CodeBlock"/>
      </w:pPr>
      <w:r>
        <w:rPr>
          <w:rFonts w:ascii="Courier New" w:hAnsi="Courier New"/>
          <w:sz w:val="18"/>
        </w:rPr>
        <w:t xml:space="preserve">│  ┌───────────────┐    ┌───────────────┐    ┌───────────────────────┐   │</w:t>
      </w:r>
    </w:p>
    <w:p>
      <w:pPr>
        <w:pStyle w:val="CodeBlock"/>
      </w:pPr>
      <w:r>
        <w:rPr>
          <w:rFonts w:ascii="Courier New" w:hAnsi="Courier New"/>
          <w:sz w:val="18"/>
        </w:rPr>
        <w:t xml:space="preserve">│  │ Field Monitor │    │ Settlement    │    │ Thermal + Biodiversity│   │</w:t>
      </w:r>
    </w:p>
    <w:p>
      <w:pPr>
        <w:pStyle w:val="CodeBlock"/>
      </w:pPr>
      <w:r>
        <w:rPr>
          <w:rFonts w:ascii="Courier New" w:hAnsi="Courier New"/>
          <w:sz w:val="18"/>
        </w:rPr>
        <w:t xml:space="preserve">│  │ + Bird Surveys│    │ Tiles + Reef  │    │ Monitoring (6 yr)     │   │</w:t>
      </w:r>
    </w:p>
    <w:p>
      <w:pPr>
        <w:pStyle w:val="CodeBlock"/>
      </w:pPr>
      <w:r>
        <w:rPr>
          <w:rFonts w:ascii="Courier New" w:hAnsi="Courier New"/>
          <w:sz w:val="18"/>
        </w:rPr>
        <w:t xml:space="preserve">│  │ (5 years)     │    │ Surveys (4 yr)│    │ Agreement: 91-95%     │   │</w:t>
      </w:r>
    </w:p>
    <w:p>
      <w:pPr>
        <w:pStyle w:val="CodeBlock"/>
      </w:pPr>
      <w:r>
        <w:rPr>
          <w:rFonts w:ascii="Courier New" w:hAnsi="Courier New"/>
          <w:sz w:val="18"/>
        </w:rPr>
        <w:t xml:space="preserve">│  │ Agree: 85-92% │    │ Agree: 88-94% │    │                       │   │</w:t>
      </w:r>
    </w:p>
    <w:p>
      <w:pPr>
        <w:pStyle w:val="CodeBlock"/>
      </w:pPr>
      <w:r>
        <w:rPr>
          <w:rFonts w:ascii="Courier New" w:hAnsi="Courier New"/>
          <w:sz w:val="18"/>
        </w:rPr>
        <w:t xml:space="preserve">│  └───────────────┘    └───────────────┘    └───────────────────────┘   │</w:t>
      </w:r>
    </w:p>
    <w:p>
      <w:pPr>
        <w:pStyle w:val="CodeBlock"/>
      </w:pPr>
      <w:r>
        <w:rPr>
          <w:rFonts w:ascii="Courier New" w:hAnsi="Courier New"/>
          <w:sz w:val="18"/>
        </w:rPr>
        <w:t xml:space="preserve">└─────────────────────────────────────────────────────────────────────────┘</w:t>
      </w:r>
    </w:p>
    <w:p>
      <w:pPr>
        <w:spacing w:before="100" w:after="200"/>
      </w:pPr>
      <w:r>
        <w:rPr>
          <w:i/>
          <w:sz w:val="20"/>
        </w:rPr>
        <w:t xml:space="preserve">Figure 2 presents the hierarchical computational modeling architecture employed across the three case studies. Three nested spatial scales (micro, meso, macro) are coupled through feedback mechanisms, with each scale informing boundary conditions for adjacent scales. The optimization layer applies case-specific algorithms to explore design solution spaces, while the validation layer compares predictions against multi-year field monitoring data [25, 26, 36, 37].</w:t>
      </w:r>
    </w:p>
    <w:p>
      <w:pPr>
        <w:pStyle w:val="Heading3"/>
        <w:spacing w:before="200" w:after="100"/>
      </w:pPr>
      <w:r>
        <w:rPr>
          <w:b/>
          <w:sz w:val="24"/>
        </w:rPr>
        <w:t>3.3 Case Study Selection and Analysis</w:t>
      </w:r>
    </w:p>
    <w:p>
      <w:pPr>
        <w:spacing w:after="120"/>
        <w:jc w:val="both"/>
      </w:pPr>
      <w:r>
        <w:rPr>
          <w:sz w:val="22"/>
        </w:rPr>
        <w:t xml:space="preserve">Many of the 52 projects involved in the study met the following criteria for selection: (a) They had to have at least three years of experience and actively use living biological building systems as functional, non-decorative design components: (b) Quantitative monitoring data for the ecological aspects of the project were required or obtainable: (c) Their geographic, climatic, and typological diversity was sufficient for generalization of the analytical conditions: (d) They had to convey how living biological building systems function as part of a project.</w:t>
      </w:r>
    </w:p>
    <w:p>
      <w:pPr>
        <w:spacing w:after="120"/>
        <w:jc w:val="both"/>
      </w:pPr>
      <w:r>
        <w:rPr>
          <w:sz w:val="22"/>
        </w:rPr>
        <w:t xml:space="preserve">Three cases with all the criteria were identified and analysed:</w:t>
      </w:r>
    </w:p>
    <w:p>
      <w:pPr>
        <w:spacing w:after="120"/>
        <w:jc w:val="both"/>
      </w:pPr>
      <w:r>
        <w:rPr>
          <w:sz w:val="22"/>
        </w:rPr>
        <w:t xml:space="preserve">Earthquake resistant mycelium-composite structural system since 2019 in the Osa Peninsula biological corridor (in the middle of the tropical forest), Finca Morpho Costa Rica.</w:t>
      </w:r>
    </w:p>
    <w:p>
      <w:pPr>
        <w:spacing w:after="120"/>
        <w:jc w:val="both"/>
      </w:pPr>
      <w:r>
        <w:rPr>
          <w:sz w:val="22"/>
        </w:rPr>
        <w:t xml:space="preserve">Treatment of the Reef-Integrated Visitor Pavilion in Maldives with an architecture algorithm, designed to serve as a marine structure at the same time as an artificial reef and as a tourist accommodation, since 2020.</w:t>
      </w:r>
    </w:p>
    <w:p>
      <w:pPr>
        <w:spacing w:after="120"/>
        <w:jc w:val="both"/>
      </w:pPr>
      <w:r>
        <w:rPr>
          <w:sz w:val="22"/>
        </w:rPr>
        <w:t xml:space="preserve">Western Australia - Living Envelope Visitor Centre, a bio-responsive facade system with native cryptogamic organisms (mosses, lichens, cyanobacterial crusts) in operation since 2018.</w:t>
      </w:r>
    </w:p>
    <w:p>
      <w:pPr>
        <w:spacing w:after="120"/>
        <w:jc w:val="both"/>
      </w:pPr>
      <w:r>
        <w:rPr>
          <w:sz w:val="22"/>
        </w:rPr>
        <w:t xml:space="preserve">Each case study involved data collection on the following fronts: (a) design information and process interviews with design teams; (b) notes of construction and material performance; (c) data on biodiversity surveys, carbon flux measurements, and water quality; (d) data on visitor satisfaction surveys and behaviour; and (e) economic performance data in terms of construction costs, maintenance expenditure and revenue generation.</w:t>
      </w:r>
    </w:p>
    <w:p>
      <w:pPr>
        <w:pStyle w:val="Heading3"/>
        <w:spacing w:before="200" w:after="100"/>
      </w:pPr>
      <w:r>
        <w:rPr>
          <w:b/>
          <w:sz w:val="24"/>
        </w:rPr>
        <w:t>3.4 Ecosystem Service Assessment Protocol</w:t>
      </w:r>
    </w:p>
    <w:p>
      <w:pPr>
        <w:spacing w:after="120"/>
        <w:jc w:val="both"/>
      </w:pPr>
      <w:r>
        <w:rPr>
          <w:sz w:val="22"/>
        </w:rPr>
        <w:t xml:space="preserve">The method used for quantification of the ecosystem services is based on the Common International Classification of Ecosystem Services (CICES) [39] adapted to the built environment context. Services assessed include:</w:t>
      </w:r>
    </w:p>
    <w:p>
      <w:pPr>
        <w:spacing w:after="120"/>
        <w:jc w:val="both"/>
      </w:pPr>
      <w:r>
        <w:rPr>
          <w:sz w:val="22"/>
        </w:rPr>
        <w:t xml:space="preserve">Provisioning benefits: The production of biomass as mycelium, algal biomass, and plant material; water filtering capacity; food production (if applicable).</w:t>
      </w:r>
    </w:p>
    <w:p>
      <w:pPr>
        <w:spacing w:after="120"/>
        <w:jc w:val="both"/>
      </w:pPr>
      <w:r>
        <w:rPr>
          <w:sz w:val="22"/>
        </w:rPr>
        <w:t xml:space="preserve">Regulating services: Carbon sequestration (eddy covariance, chamber measurement methods), amelioration of the microclimate (including temperature and humidity), improvement of air quality (particle clearance, capture of VOCs), support for pollination.</w:t>
      </w:r>
    </w:p>
    <w:p>
      <w:pPr>
        <w:spacing w:after="120"/>
        <w:jc w:val="both"/>
      </w:pPr>
      <w:r>
        <w:rPr>
          <w:sz w:val="22"/>
        </w:rPr>
        <w:t xml:space="preserve">Habitat services: species richness and abundance in and around bio-integrated structures, habitat connectivity enhancement and genetic diversity support.</w:t>
      </w:r>
    </w:p>
    <w:p>
      <w:pPr>
        <w:spacing w:after="120"/>
        <w:jc w:val="both"/>
      </w:pPr>
      <w:r>
        <w:rPr>
          <w:sz w:val="22"/>
        </w:rPr>
        <w:t xml:space="preserve">Cultural services: Educational value, aesthetic contribution, sense of place and the visitor's experience quality.</w:t>
      </w:r>
    </w:p>
    <w:p>
      <w:pPr>
        <w:spacing w:after="120"/>
        <w:jc w:val="both"/>
      </w:pPr>
      <w:r>
        <w:rPr>
          <w:sz w:val="22"/>
        </w:rPr>
        <w:t xml:space="preserve">Ecosystem service values are expressed both in biophysical units (tonnes CO₂e, indices of species richness, cubic metres of filters) and in monetary values (using benefit transfer methods, with account of local circumstances [40]). This double quantification allows the comparison of different types of services, and helps as an economic argument for the service's generally high upfront purchase price of a bio-integrated construction.</w:t>
      </w:r>
    </w:p>
    <w:p>
      <w:pPr>
        <w:pStyle w:val="Heading3"/>
        <w:spacing w:before="200" w:after="100"/>
      </w:pPr>
      <w:r>
        <w:rPr>
          <w:b/>
          <w:sz w:val="24"/>
        </w:rPr>
        <w:t>3.5 Comparative Assessment Framework</w:t>
      </w:r>
    </w:p>
    <w:p>
      <w:pPr>
        <w:spacing w:after="120"/>
        <w:jc w:val="both"/>
      </w:pPr>
      <w:r>
        <w:rPr>
          <w:sz w:val="22"/>
        </w:rPr>
        <w:t xml:space="preserve">Each case study site is compared to the best-practices conventional sustainable construction to the standard of highest attainable green building certification (e.g., LEED Platinum, Green Star 6Star). The impartial lens of this framework allows improvement benefits to be quantified from an ambitious existing baseline and not against "standard construction", offering a conservative measure of bio-integration's added value.</w:t>
      </w:r>
    </w:p>
    <w:p>
      <w:pPr>
        <w:spacing w:after="120"/>
        <w:jc w:val="both"/>
      </w:pPr>
      <w:r>
        <w:rPr>
          <w:sz w:val="22"/>
        </w:rPr>
        <w:t xml:space="preserve">Performance comparison is conducted on five aspects: (a) ecological performance (ecosystem service provision), (b) architectural performance (structural integrity, environmental control and durability), (c) economic performance (lifecycle cost, revenue generation, risk profile), (d) experiential performance (visitor satisfaction, behavioural outcomes and educational impact) and (e) temporal performance (improvement trajectory over time, adaptive capacity and resistance to perturbation). This multi-dimensional evaluation recognizes that birth of a bio-integrated design can have to meet the needs of multiple stakeholders to be adopted beyond demonstration projects.</w:t>
      </w:r>
    </w:p>
    <w:p>
      <w:pPr>
        <w:pBdr>
          <w:bottom w:val="single" w:sz="6" w:space="1" w:color="000000"/>
        </w:pBdr>
      </w:pPr>
    </w:p>
    <w:p>
      <w:pPr>
        <w:pStyle w:val="Heading2"/>
        <w:spacing w:before="240" w:after="120"/>
      </w:pPr>
      <w:r>
        <w:rPr>
          <w:b/>
          <w:sz w:val="28"/>
        </w:rPr>
        <w:t>4. Results: Case Studies in Bio-Integrated Tourism Design</w:t>
      </w:r>
    </w:p>
    <w:p>
      <w:pPr>
        <w:pStyle w:val="Heading3"/>
        <w:spacing w:before="200" w:after="100"/>
      </w:pPr>
      <w:r>
        <w:rPr>
          <w:b/>
          <w:sz w:val="24"/>
        </w:rPr>
        <w:t>4.1 Case Study 1: Mycelium-Composite Eco-Resort, Osa Peninsula, Costa Rica</w:t>
      </w:r>
    </w:p>
    <w:p>
      <w:pPr>
        <w:pStyle w:val="Heading4"/>
        <w:spacing w:before="160" w:after="80"/>
      </w:pPr>
      <w:r>
        <w:rPr>
          <w:b/>
          <w:i/>
          <w:sz w:val="22"/>
        </w:rPr>
        <w:t>4.1.1 Project Description and Design Intent</w:t>
      </w:r>
    </w:p>
    <w:p>
      <w:pPr>
        <w:spacing w:after="120"/>
        <w:jc w:val="both"/>
      </w:pPr>
      <w:r>
        <w:rPr>
          <w:sz w:val="22"/>
        </w:rPr>
        <w:t xml:space="preserve">There are twelve wooden guest cabins and communal facilities built mainly out of mycelium-composite panels harvested from surrounding farming of cacao and bananas. The project was born in a situation of productive symbiosis, not only in contributing to corridor connectivity and tropical forest regeneration but for the ability to generate tourism income within the biological corridor between Corcovado National Park and the Golfo Dulce mangrove systems.</w:t>
      </w:r>
    </w:p>
    <w:p>
      <w:pPr>
        <w:spacing w:after="120"/>
        <w:jc w:val="both"/>
      </w:pPr>
      <w:r>
        <w:rPr>
          <w:sz w:val="22"/>
        </w:rPr>
        <w:t xml:space="preserve">The structural system is a mix between the two, with primary load-bearing elements made of bamboo (Guadua angustifolia) harvested from plantable forests and envelope systems (walls, roof insulation and interior partitions) produced from the Ganoderma lucidum mycelium grown on a matrix of cacao beans' pod husks and banana pseudostems. In contrast, typical industry practice in the production of inert composites involves kiln drying the mycelium panels to termination, whereas in the current process, the mycelium panels are left in a metabolically semi-dormant state, while being managed by a humidifier. The mycelium panels would not be kiln-dried to termination, as is the standard practice in the production of inert composites, but instead would be placed in a metabolically semi-dormant state and controlled by a humidifier within the building envelope. CO₂ metabolization, absorption of volatile organic compounds (VOC) and humidity regulation can take place through the metabolism carried out by fungi, giving users the ability to live in this type of construct [21].</w:t>
      </w:r>
    </w:p>
    <w:p>
      <w:pPr>
        <w:pStyle w:val="Heading4"/>
        <w:spacing w:before="160" w:after="80"/>
      </w:pPr>
      <w:r>
        <w:rPr>
          <w:b/>
          <w:i/>
          <w:sz w:val="22"/>
        </w:rPr>
        <w:t>4.1.2 Computational Design Process</w:t>
      </w:r>
    </w:p>
    <w:p>
      <w:pPr>
        <w:spacing w:after="120"/>
        <w:jc w:val="both"/>
      </w:pPr>
      <w:r>
        <w:rPr>
          <w:sz w:val="22"/>
        </w:rPr>
        <w:t xml:space="preserve">Four objectives were addressed simultaneously by a multi-objective genetic algorithm (NSGA-II): (a) maximize canopy connectivity between forest fragments (based on the results of a landscape resistance model); (b) minimize impervious surface area; (c) optimize solar exposure to photovoltaic arrays while providing some forest shade for guests; and (d) maximize acoustic privacy between units. The algorithm ran 400 generations and tested 12,000 possible configurations, settling on one that is spread apart and non-linear, but still allows for a band of 15 meters of forest canopy between every structure.</w:t>
      </w:r>
    </w:p>
    <w:p>
      <w:pPr>
        <w:spacing w:after="120"/>
        <w:jc w:val="both"/>
      </w:pPr>
      <w:r>
        <w:rPr>
          <w:sz w:val="22"/>
        </w:rPr>
        <w:t xml:space="preserve">In a laboratory experiment, the growth of mycelium panels was observed and a modified DLA model was used to simulate the process with appropriate parameters adjusting to the laboratory-case results. Based on the model, the substrate composition, temperature and humidity that determine the density, compressive strength and metabolic activity of the panels were determined and optimized for the tropical climate by using them. Compressive strengths of 0.28–0.34 MPa were respectively obtained as a prediction of the computational growth model and a measurement from actual tests, resulting in a close agreement with one another.</w:t>
      </w:r>
    </w:p>
    <w:p>
      <w:pPr>
        <w:pStyle w:val="Heading4"/>
        <w:spacing w:before="160" w:after="80"/>
      </w:pPr>
      <w:r>
        <w:rPr>
          <w:b/>
          <w:i/>
          <w:sz w:val="22"/>
        </w:rPr>
        <w:t>4.1.3 Ecological Performance Outcomes</w:t>
      </w:r>
    </w:p>
    <w:p>
      <w:pPr>
        <w:spacing w:after="120"/>
        <w:jc w:val="both"/>
      </w:pPr>
      <w:r>
        <w:rPr>
          <w:sz w:val="22"/>
        </w:rPr>
        <w:t xml:space="preserve">The results after 5 years of ecological monitoring indicate major outcomes from application of the bio-integrated design approach in terms of biodiversity. Point count bird surveys taken quarterly show 147 species using the resort property whereas a similar size, conventionally developed ecotourism property 4-km away found 89 species (accounting for habitat and altitude). Specifically, 23 forest-interior specialist species which characteristically avoid developed lands have been documented within the resort as strong evidence of an emergent network of forest interior patches, or habitat functional connectivity.</w:t>
      </w:r>
    </w:p>
    <w:p>
      <w:pPr>
        <w:spacing w:after="120"/>
        <w:jc w:val="both"/>
      </w:pPr>
      <w:r>
        <w:rPr>
          <w:sz w:val="22"/>
        </w:rPr>
        <w:t xml:space="preserve">Carbon accounting shows the operational emissions as being negative. The living mycelium panels capture an estimated of 3.2 kg CO₂/m²/year due to continual metabolic activity over the lifetime of the product, while 847 tonnes CO₂e are stored within the above ground biomass of the bamboo structural system. This offset is net: For each tonne of CO₂e taken, one hectare of pasture land that would not have reached a point of net loss is now under reforestation (2.4 hectares returns to secondary forest), meaning the project removes 127 tonnes CO₂e, which is equivalent to the (saving) flight emissions for around 62% of turning up visitors. The total ecosystem service value (TEV) is estimated to be USD 892,000 per year for this restoration project, including carbon sequestration, water purification, pollination support and biodiversity maintenance, and USD 340,000 per year for the conventional site, showing a 162% increase in value.</w:t>
      </w:r>
    </w:p>
    <w:p>
      <w:pPr>
        <w:pStyle w:val="Heading3"/>
        <w:spacing w:before="200" w:after="100"/>
      </w:pPr>
      <w:r>
        <w:rPr>
          <w:b/>
          <w:sz w:val="24"/>
        </w:rPr>
        <w:t>4.2 Case Study 2: Reef-Integrated Visitor Pavilion, South Ari Atoll, Maldives</w:t>
      </w:r>
    </w:p>
    <w:p>
      <w:pPr>
        <w:pStyle w:val="Heading4"/>
        <w:spacing w:before="160" w:after="80"/>
      </w:pPr>
      <w:r>
        <w:rPr>
          <w:b/>
          <w:i/>
          <w:sz w:val="22"/>
        </w:rPr>
        <w:t>4.2.1 Project Description and Design Intent</w:t>
      </w:r>
    </w:p>
    <w:p>
      <w:pPr>
        <w:spacing w:after="120"/>
        <w:jc w:val="both"/>
      </w:pPr>
      <w:r>
        <w:rPr>
          <w:sz w:val="22"/>
        </w:rPr>
        <w:t xml:space="preserve">This challenge is what Maldivian tourism is facing, namely the simultaneous tough demand placed on coral reef ecosystems and the degradation of these ecosystems – and this is what the Reef-Integrated Visitor Pavilion aims to tackle. It has been documented that the conventional overwater and beachfront tourism facilities in the Maldives are documented to decrease the adjacent reef fish biomass by 30–50% compared to uninhabited reefs and coral cover by 15–25% [41]. This is a reversal by the pavilion which serves as a place where visitors can stay and enjoy the views of the reef directly (six units under water with direct reef views), but also as an active reef construction infrastructure.</w:t>
      </w:r>
    </w:p>
    <w:p>
      <w:pPr>
        <w:spacing w:after="120"/>
        <w:jc w:val="both"/>
      </w:pPr>
      <w:r>
        <w:rPr>
          <w:sz w:val="22"/>
        </w:rPr>
        <w:t xml:space="preserve">The surface chemistry and micro-topography of the submerged structural elements are optimized in an algorithmic manner to ensure the settlement and growth of coral's larvae, using bioite, a concrete alternative that precipitates calcite thanks to microbiological processes. The geometry of the structure was designed first through a process of topology optimization to consider the structural requirements (wave loading and dead loading) and second to the ecological goals (increasing surface area-to-volume ratio, providing different micro-habitats along the depth gradient and generate hydrodynamic conditions that stimulate the corals feeding).</w:t>
      </w:r>
    </w:p>
    <w:p>
      <w:pPr>
        <w:pStyle w:val="Heading4"/>
        <w:spacing w:before="160" w:after="80"/>
      </w:pPr>
      <w:r>
        <w:rPr>
          <w:b/>
          <w:i/>
          <w:sz w:val="22"/>
        </w:rPr>
        <w:t>4.2.2 Computational Design Process</w:t>
      </w:r>
    </w:p>
    <w:p>
      <w:pPr>
        <w:spacing w:after="120"/>
        <w:jc w:val="both"/>
      </w:pPr>
      <w:r>
        <w:rPr>
          <w:sz w:val="22"/>
        </w:rPr>
        <w:t xml:space="preserve">The form of the structure was created using an innovative computational procedure which integrated three distinct simulation domains. Computational fluid dynamics (CFD) modelling was used to create characterisations at 0.5m resolution for the site's wave climate, tidal currents and sediment transport patterns. Second, a model of coral settlement probability, the model was developed from 5 years of settlement tile data from the South Ari Atoll Marine Protected Area, determined the probability that larvae will settle as a function of surface orientation, depth, light penetration, flow speed, and substrate roughness. Thirdly, structural topology optimization (via the SIMP method) was used to find the material distributions that meet the safety factor requirements during extreme wave loading (100-year return period).</w:t>
      </w:r>
    </w:p>
    <w:p>
      <w:pPr>
        <w:spacing w:after="120"/>
        <w:jc w:val="both"/>
      </w:pPr>
      <w:r>
        <w:rPr>
          <w:sz w:val="22"/>
        </w:rPr>
        <w:t xml:space="preserve">The three simulation domains were integrated with each other in a Pareto optimization framework that resulted in a set of non-dominated solutions that best comply to the compromise between the structural efficiency, coral settling probability, and construction cost. By using a holistic approach to computational design, both the ecological and structural goals are not mutually exclusive; the selected design optimized for reef resiliency compared to the maximum practical area for coral settlement includes a structural safety factor of 2.1 under extreme loading conditions.</w:t>
      </w:r>
    </w:p>
    <w:p>
      <w:pPr>
        <w:pStyle w:val="Heading4"/>
        <w:spacing w:before="160" w:after="80"/>
      </w:pPr>
      <w:r>
        <w:rPr>
          <w:b/>
          <w:i/>
          <w:sz w:val="22"/>
        </w:rPr>
        <w:t>4.2.3 Ecological Performance Outcomes</w:t>
      </w:r>
    </w:p>
    <w:p>
      <w:pPr>
        <w:spacing w:after="120"/>
        <w:jc w:val="both"/>
      </w:pPr>
      <w:r>
        <w:rPr>
          <w:sz w:val="22"/>
        </w:rPr>
        <w:t xml:space="preserve">Four year monitoring shows significant reef growth on the structure. After 48 months, coral cover was 34% on the ASS compared to 12% on the conventional concrete control structures deployed at the same depth (more than 180% higher due to the optimized geometry and surface chemistry). The species diversity of fish inside 10 m of the structure was 42 pre-construction and 78 four years after construction; with 3 of these fish species being locally rare (Cheilinus undulatus, Rhincodon typus juveniles, Mobula alfredi) showing the reef structure function as a high quality habitat.</w:t>
      </w:r>
    </w:p>
    <w:p>
      <w:pPr>
        <w:spacing w:after="120"/>
        <w:jc w:val="both"/>
      </w:pPr>
      <w:r>
        <w:rPr>
          <w:sz w:val="22"/>
        </w:rPr>
        <w:t xml:space="preserve">Ecosystem services provided by the structure are estimated at USD 1.24 million per year (USD 380,000 for reef fisheries enhancement, USD 290,000 for coast protection through wave attenuation, USD 85,000 for carbon sequestration through coral calcification, and USD 485,000 for tourism revenue premium due to improved reef quality). The tourism revenue premium alone outweighs additional construction costs for bio-integration (USD 1.8 million more than conventional) in 3.7 years, clearly demonstrating economic sense in designing for reef benefit.</w:t>
      </w:r>
    </w:p>
    <w:p>
      <w:pPr>
        <w:pStyle w:val="Heading3"/>
        <w:spacing w:before="200" w:after="100"/>
      </w:pPr>
      <w:r>
        <w:rPr>
          <w:b/>
          <w:sz w:val="24"/>
        </w:rPr>
        <w:t>4.3 Case Study 3: Living Envelope Visitor Center, Pilbara Region, Western Australia</w:t>
      </w:r>
    </w:p>
    <w:p>
      <w:pPr>
        <w:pStyle w:val="Heading4"/>
        <w:spacing w:before="160" w:after="80"/>
      </w:pPr>
      <w:r>
        <w:rPr>
          <w:b/>
          <w:i/>
          <w:sz w:val="22"/>
        </w:rPr>
        <w:t>4.3.1 Project Description and Design Intent</w:t>
      </w:r>
    </w:p>
    <w:p>
      <w:pPr>
        <w:spacing w:after="120"/>
        <w:jc w:val="both"/>
      </w:pPr>
      <w:r>
        <w:rPr>
          <w:sz w:val="22"/>
        </w:rPr>
        <w:t xml:space="preserve">The Living Envelope Visitor Centre (LEVC) is a national park gateway located in the arid Pilbara region of Western Australia that experiences extreme ambient temperatures (up to 45°C), high levels of solar radiation and dust storms. The project involves introducing cryptogamic organisms – biological soil crust communities (mosses, lichens, cyanobacteria and fungi) – into a responsive building envelope which propose to regulate the temperature passively, improve the air quality and transform the space aesthetically to conform moisture availability.</w:t>
      </w:r>
    </w:p>
    <w:p>
      <w:pPr>
        <w:spacing w:after="120"/>
        <w:jc w:val="both"/>
      </w:pPr>
      <w:r>
        <w:rPr>
          <w:sz w:val="22"/>
        </w:rPr>
        <w:t xml:space="preserve">Design developed in consultation with Martu Traditional Owners; their land management practices, including mosaic burning regimes, have been ensuring landscape ecological diversity for more than 40,000 years [43]. The building's "pulsed ecology" translates to the bio-responsive building's behavior: In dry weather conditions, the cryptogamic environment goes into metabolic solitude with earthen appearance, but after rainfall, the organisms quickly rehydrate, causing the building's appearance to become bright shade green, and begins to cool via evapotranspiration - lowering the interior temperature by 6-8°C compared to a traditional insulated envelope.</w:t>
      </w:r>
    </w:p>
    <w:p>
      <w:pPr>
        <w:pStyle w:val="Heading4"/>
        <w:spacing w:before="160" w:after="80"/>
      </w:pPr>
      <w:r>
        <w:rPr>
          <w:b/>
          <w:i/>
          <w:sz w:val="22"/>
        </w:rPr>
        <w:t>4.3.2 Computational Design Process</w:t>
      </w:r>
    </w:p>
    <w:p>
      <w:pPr>
        <w:spacing w:after="120"/>
        <w:jc w:val="both"/>
      </w:pPr>
      <w:r>
        <w:rPr>
          <w:sz w:val="22"/>
        </w:rPr>
        <w:t xml:space="preserve">A coupled hygrothermal-biological simulation that combines WUFI (hygrothermal simulation of porous building materials) and a custom cyanobacterial growth model (experiments on desiccation-rehydration in the laboratory) were used to simulate the performance of the living envelope. The coupled model calculates the temporal evolution of biological activity, evapotranspiratory cooling and CO₂ exchange, depending on the climate conditions in the surroundings, the orientation of the building, and the irrigation regime.</w:t>
      </w:r>
    </w:p>
    <w:p>
      <w:pPr>
        <w:spacing w:after="120"/>
        <w:jc w:val="both"/>
      </w:pPr>
      <w:r>
        <w:rPr>
          <w:sz w:val="22"/>
        </w:rPr>
        <w:t xml:space="preserve">Parametric analyses with this coupled model determined the substrate composition of the envelope (porosity, water holding capacity, surface roughness), the selection of organisms for different sides (shade tolerant species on south and not on north and west, and desiccation tolerant species on north and west and not on south), and then the timing of the irrigation (supplementing water) during the time the envelope is in use in order to optimise biological activity during the ideal hours. Optimization was achieved with prediction of a 73% reduction in cooling energy demand compared to the conventional insulated envelope, and with only 2.1 L/m²/week of additional water use in the summer – less than 10% of the water that would be used for conventional "in situ" irrigated green-walls in a similar climate.</w:t>
      </w:r>
    </w:p>
    <w:p>
      <w:pPr>
        <w:pStyle w:val="Heading4"/>
        <w:spacing w:before="160" w:after="80"/>
      </w:pPr>
      <w:r>
        <w:rPr>
          <w:b/>
          <w:i/>
          <w:sz w:val="22"/>
        </w:rPr>
        <w:t>4.3.3 Ecological Performance Outcomes</w:t>
      </w:r>
    </w:p>
    <w:p>
      <w:pPr>
        <w:spacing w:after="120"/>
        <w:jc w:val="both"/>
      </w:pPr>
      <w:r>
        <w:rPr>
          <w:sz w:val="22"/>
        </w:rPr>
        <w:t xml:space="preserve">Following the 6 years of monitoring, results indicate that the cryptogamic envelope has created a seasonal biological community which has become self-maintained and is largely independent of human intervention. 34 cryptogamic species, including 12 mosses, 15 lichens, 4 cyanobacteria and 3 microfungi are housed within the envelope, some of which have been brought in from buildings that have been affected by development—housed on the building surface, the envelope serves as an ex-situ conservation habitat.</w:t>
      </w:r>
    </w:p>
    <w:p>
      <w:pPr>
        <w:spacing w:after="120"/>
        <w:jc w:val="both"/>
      </w:pPr>
      <w:r>
        <w:rPr>
          <w:sz w:val="22"/>
        </w:rPr>
        <w:t xml:space="preserve">The validation of the coupled hygrothermal-biological model is confirmed by thermal performance measurements which show a good correspondence between the interior temperature computed and the interior temperature measured with a difference of 0.2°C in the peak interior temperature during summer and a difference of 5% in annual energy savings for cooling in terms of energy for the biological system.</w:t>
      </w:r>
    </w:p>
    <w:p>
      <w:pPr>
        <w:spacing w:after="120"/>
        <w:jc w:val="both"/>
      </w:pPr>
      <w:r>
        <w:rPr>
          <w:sz w:val="22"/>
        </w:rPr>
        <w:t xml:space="preserve">These air quality monitoring results provide estimates of the amount of air borne particulate matter that the cryptogamic envelope can trap – 4.7 g/m² per month – is significant under the dusty conditions found in the Pilbara, and the amount of CO₂ fixed by cyanobacterial photosynthesis under the same conditions is about 0.8 kg/m² per year. It is estimated that the total value of the ecosystem services provided by the envelope is USD 47/m² per year, which include thermal regulation, improvement of air quality, carbon sequestration and aesthetic/cultural value, with a maintenance cost of USD 12/m² corresponding to a benefit-cost ratio of 3.9:1.</w:t>
      </w:r>
    </w:p>
    <w:p>
      <w:pPr>
        <w:pStyle w:val="Heading3"/>
        <w:spacing w:before="200" w:after="100"/>
      </w:pPr>
      <w:r>
        <w:rPr>
          <w:b/>
          <w:sz w:val="24"/>
        </w:rPr>
        <w:t>4.4 Cross-Case Comparative Findings</w:t>
      </w:r>
    </w:p>
    <w:p>
      <w:pPr>
        <w:spacing w:before="200" w:after="100"/>
      </w:pPr>
      <w:r>
        <w:rPr>
          <w:b/>
          <w:sz w:val="22"/>
        </w:rPr>
        <w:t>Table 3: Material Properties and Biological Performance of Bio-Integrated Building Systems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r>
              <w:rPr>
                <w:b/>
                <w:sz w:val="18"/>
              </w:rPr>
              <w:t xml:space="preserve">Property/Parameter</w:t>
            </w:r>
          </w:p>
        </w:tc>
        <w:tc>
          <w:tcPr>
            <w:tcW w:w="2250" w:type="dxa"/>
          </w:tcPr>
          <w:p>
            <w:r>
              <w:rPr>
                <w:b/>
                <w:sz w:val="18"/>
              </w:rPr>
              <w:t xml:space="preserve">Costa Rica (Mycelium Composite)</w:t>
            </w:r>
          </w:p>
        </w:tc>
        <w:tc>
          <w:tcPr>
            <w:tcW w:w="2250" w:type="dxa"/>
          </w:tcPr>
          <w:p>
            <w:r>
              <w:rPr>
                <w:b/>
                <w:sz w:val="18"/>
              </w:rPr>
              <w:t xml:space="preserve">Maldives (Bio-Calcite Concrete)</w:t>
            </w:r>
          </w:p>
        </w:tc>
        <w:tc>
          <w:tcPr>
            <w:tcW w:w="2250" w:type="dxa"/>
          </w:tcPr>
          <w:p>
            <w:r>
              <w:rPr>
                <w:b/>
                <w:sz w:val="18"/>
              </w:rPr>
              <w:t xml:space="preserve">Australia (Cryptogamic Envelope)</w:t>
            </w:r>
          </w:p>
        </w:tc>
      </w:tr>
      <w:tr>
        <w:tc>
          <w:tcPr>
            <w:tcW w:w="2250" w:type="dxa"/>
          </w:tcPr>
          <w:p>
            <w:r>
              <w:rPr>
                <w:sz w:val="18"/>
              </w:rPr>
              <w:t xml:space="preserve">Primary Biological Agent</w:t>
            </w:r>
          </w:p>
        </w:tc>
        <w:tc>
          <w:tcPr>
            <w:tcW w:w="2250" w:type="dxa"/>
          </w:tcPr>
          <w:p>
            <w:r>
              <w:rPr>
                <w:sz w:val="18"/>
              </w:rPr>
              <w:t xml:space="preserve">Ganoderma lucidum mycelium</w:t>
            </w:r>
          </w:p>
        </w:tc>
        <w:tc>
          <w:tcPr>
            <w:tcW w:w="2250" w:type="dxa"/>
          </w:tcPr>
          <w:p>
            <w:r>
              <w:rPr>
                <w:sz w:val="18"/>
              </w:rPr>
              <w:t xml:space="preserve">Microbially-induced calcite precipitation (MICP) bacteria</w:t>
            </w:r>
          </w:p>
        </w:tc>
        <w:tc>
          <w:tcPr>
            <w:tcW w:w="2250" w:type="dxa"/>
          </w:tcPr>
          <w:p>
            <w:r>
              <w:rPr>
                <w:sz w:val="18"/>
              </w:rPr>
              <w:t xml:space="preserve">Mosses, lichens, cyanobacteria (34 species)</w:t>
            </w:r>
          </w:p>
        </w:tc>
      </w:tr>
      <w:tr>
        <w:tc>
          <w:tcPr>
            <w:tcW w:w="2250" w:type="dxa"/>
          </w:tcPr>
          <w:p>
            <w:r>
              <w:rPr>
                <w:sz w:val="18"/>
              </w:rPr>
              <w:t xml:space="preserve">Substrate/Matrix Material</w:t>
            </w:r>
          </w:p>
        </w:tc>
        <w:tc>
          <w:tcPr>
            <w:tcW w:w="2250" w:type="dxa"/>
          </w:tcPr>
          <w:p>
            <w:r>
              <w:rPr>
                <w:sz w:val="18"/>
              </w:rPr>
              <w:t xml:space="preserve">Cacao pod husks + banana pseudostems</w:t>
            </w:r>
          </w:p>
        </w:tc>
        <w:tc>
          <w:tcPr>
            <w:tcW w:w="2250" w:type="dxa"/>
          </w:tcPr>
          <w:p>
            <w:r>
              <w:rPr>
                <w:sz w:val="18"/>
              </w:rPr>
              <w:t xml:space="preserve">Marine aggregate + calcium carbonate precipitate</w:t>
            </w:r>
          </w:p>
        </w:tc>
        <w:tc>
          <w:tcPr>
            <w:tcW w:w="2250" w:type="dxa"/>
          </w:tcPr>
          <w:p>
            <w:r>
              <w:rPr>
                <w:sz w:val="18"/>
              </w:rPr>
              <w:t xml:space="preserve">Engineered porous mineral substrate</w:t>
            </w:r>
          </w:p>
        </w:tc>
      </w:tr>
      <w:tr>
        <w:tc>
          <w:tcPr>
            <w:tcW w:w="2250" w:type="dxa"/>
          </w:tcPr>
          <w:p>
            <w:r>
              <w:rPr>
                <w:sz w:val="18"/>
              </w:rPr>
              <w:t xml:space="preserve">Compressive Strength (MPa)</w:t>
            </w:r>
          </w:p>
        </w:tc>
        <w:tc>
          <w:tcPr>
            <w:tcW w:w="2250" w:type="dxa"/>
          </w:tcPr>
          <w:p>
            <w:r>
              <w:rPr>
                <w:sz w:val="18"/>
              </w:rPr>
              <w:t xml:space="preserve">0.28–0.34</w:t>
            </w:r>
          </w:p>
        </w:tc>
        <w:tc>
          <w:tcPr>
            <w:tcW w:w="2250" w:type="dxa"/>
          </w:tcPr>
          <w:p>
            <w:r>
              <w:rPr>
                <w:sz w:val="18"/>
              </w:rPr>
              <w:t xml:space="preserve">38.5 (28-day cure)</w:t>
            </w:r>
          </w:p>
        </w:tc>
        <w:tc>
          <w:tcPr>
            <w:tcW w:w="2250" w:type="dxa"/>
          </w:tcPr>
          <w:p>
            <w:r>
              <w:rPr>
                <w:sz w:val="18"/>
              </w:rPr>
              <w:t xml:space="preserve">N/A (non-structural cladding)</w:t>
            </w:r>
          </w:p>
        </w:tc>
      </w:tr>
      <w:tr>
        <w:tc>
          <w:tcPr>
            <w:tcW w:w="2250" w:type="dxa"/>
          </w:tcPr>
          <w:p>
            <w:r>
              <w:rPr>
                <w:sz w:val="18"/>
              </w:rPr>
              <w:t xml:space="preserve">Density (kg/m³)</w:t>
            </w:r>
          </w:p>
        </w:tc>
        <w:tc>
          <w:tcPr>
            <w:tcW w:w="2250" w:type="dxa"/>
          </w:tcPr>
          <w:p>
            <w:r>
              <w:rPr>
                <w:sz w:val="18"/>
              </w:rPr>
              <w:t xml:space="preserve">120–180</w:t>
            </w:r>
          </w:p>
        </w:tc>
        <w:tc>
          <w:tcPr>
            <w:tcW w:w="2250" w:type="dxa"/>
          </w:tcPr>
          <w:p>
            <w:r>
              <w:rPr>
                <w:sz w:val="18"/>
              </w:rPr>
              <w:t xml:space="preserve">2,240</w:t>
            </w:r>
          </w:p>
        </w:tc>
        <w:tc>
          <w:tcPr>
            <w:tcW w:w="2250" w:type="dxa"/>
          </w:tcPr>
          <w:p>
            <w:r>
              <w:rPr>
                <w:sz w:val="18"/>
              </w:rPr>
              <w:t xml:space="preserve">850–1,100 (dry); 1,200–1,450 (wet)</w:t>
            </w:r>
          </w:p>
        </w:tc>
      </w:tr>
      <w:tr>
        <w:tc>
          <w:tcPr>
            <w:tcW w:w="2250" w:type="dxa"/>
          </w:tcPr>
          <w:p>
            <w:r>
              <w:rPr>
                <w:sz w:val="18"/>
              </w:rPr>
              <w:t xml:space="preserve">Thermal Conductivity (W/m·K)</w:t>
            </w:r>
          </w:p>
        </w:tc>
        <w:tc>
          <w:tcPr>
            <w:tcW w:w="2250" w:type="dxa"/>
          </w:tcPr>
          <w:p>
            <w:r>
              <w:rPr>
                <w:sz w:val="18"/>
              </w:rPr>
              <w:t xml:space="preserve">0.04–0.06</w:t>
            </w:r>
          </w:p>
        </w:tc>
        <w:tc>
          <w:tcPr>
            <w:tcW w:w="2250" w:type="dxa"/>
          </w:tcPr>
          <w:p>
            <w:r>
              <w:rPr>
                <w:sz w:val="18"/>
              </w:rPr>
              <w:t xml:space="preserve">1.8</w:t>
            </w:r>
          </w:p>
        </w:tc>
        <w:tc>
          <w:tcPr>
            <w:tcW w:w="2250" w:type="dxa"/>
          </w:tcPr>
          <w:p>
            <w:r>
              <w:rPr>
                <w:sz w:val="18"/>
              </w:rPr>
              <w:t xml:space="preserve">0.12 (dry); 0.08 (wet, evapotranspiration active)</w:t>
            </w:r>
          </w:p>
        </w:tc>
      </w:tr>
      <w:tr>
        <w:tc>
          <w:tcPr>
            <w:tcW w:w="2250" w:type="dxa"/>
          </w:tcPr>
          <w:p>
            <w:r>
              <w:rPr>
                <w:sz w:val="18"/>
              </w:rPr>
              <w:t xml:space="preserve">Carbon Sequestration Rate (kg CO₂/m²/yr)</w:t>
            </w:r>
          </w:p>
        </w:tc>
        <w:tc>
          <w:tcPr>
            <w:tcW w:w="2250" w:type="dxa"/>
          </w:tcPr>
          <w:p>
            <w:r>
              <w:rPr>
                <w:sz w:val="18"/>
              </w:rPr>
              <w:t xml:space="preserve">3.2 (active mycelial metabolism)</w:t>
            </w:r>
          </w:p>
        </w:tc>
        <w:tc>
          <w:tcPr>
            <w:tcW w:w="2250" w:type="dxa"/>
          </w:tcPr>
          <w:p>
            <w:r>
              <w:rPr>
                <w:sz w:val="18"/>
              </w:rPr>
              <w:t xml:space="preserve">1.4 (coral calcification on surface)</w:t>
            </w:r>
          </w:p>
        </w:tc>
        <w:tc>
          <w:tcPr>
            <w:tcW w:w="2250" w:type="dxa"/>
          </w:tcPr>
          <w:p>
            <w:r>
              <w:rPr>
                <w:sz w:val="18"/>
              </w:rPr>
              <w:t xml:space="preserve">0.8 (cyanobacterial photosynthesis)</w:t>
            </w:r>
          </w:p>
        </w:tc>
      </w:tr>
      <w:tr>
        <w:tc>
          <w:tcPr>
            <w:tcW w:w="2250" w:type="dxa"/>
          </w:tcPr>
          <w:p>
            <w:r>
              <w:rPr>
                <w:sz w:val="18"/>
              </w:rPr>
              <w:t xml:space="preserve">Biological Viability Period</w:t>
            </w:r>
          </w:p>
        </w:tc>
        <w:tc>
          <w:tcPr>
            <w:tcW w:w="2250" w:type="dxa"/>
          </w:tcPr>
          <w:p>
            <w:r>
              <w:rPr>
                <w:sz w:val="18"/>
              </w:rPr>
              <w:t xml:space="preserve">&gt;10 years (with humidity management)</w:t>
            </w:r>
          </w:p>
        </w:tc>
        <w:tc>
          <w:tcPr>
            <w:tcW w:w="2250" w:type="dxa"/>
          </w:tcPr>
          <w:p>
            <w:r>
              <w:rPr>
                <w:sz w:val="18"/>
              </w:rPr>
              <w:t xml:space="preserve">Indefinite (self-recruiting coral community)</w:t>
            </w:r>
          </w:p>
        </w:tc>
        <w:tc>
          <w:tcPr>
            <w:tcW w:w="2250" w:type="dxa"/>
          </w:tcPr>
          <w:p>
            <w:r>
              <w:rPr>
                <w:sz w:val="18"/>
              </w:rPr>
              <w:t xml:space="preserve">&gt;15 years (self-sustaining community)</w:t>
            </w:r>
          </w:p>
        </w:tc>
      </w:tr>
      <w:tr>
        <w:tc>
          <w:tcPr>
            <w:tcW w:w="2250" w:type="dxa"/>
          </w:tcPr>
          <w:p>
            <w:r>
              <w:rPr>
                <w:sz w:val="18"/>
              </w:rPr>
              <w:t xml:space="preserve">Water Requirement (L/m²/week)</w:t>
            </w:r>
          </w:p>
        </w:tc>
        <w:tc>
          <w:tcPr>
            <w:tcW w:w="2250" w:type="dxa"/>
          </w:tcPr>
          <w:p>
            <w:r>
              <w:rPr>
                <w:sz w:val="18"/>
              </w:rPr>
              <w:t xml:space="preserve">0.8 (humidity control)</w:t>
            </w:r>
          </w:p>
        </w:tc>
        <w:tc>
          <w:tcPr>
            <w:tcW w:w="2250" w:type="dxa"/>
          </w:tcPr>
          <w:p>
            <w:r>
              <w:rPr>
                <w:sz w:val="18"/>
              </w:rPr>
              <w:t xml:space="preserve">N/A (submerged)</w:t>
            </w:r>
          </w:p>
        </w:tc>
        <w:tc>
          <w:tcPr>
            <w:tcW w:w="2250" w:type="dxa"/>
          </w:tcPr>
          <w:p>
            <w:r>
              <w:rPr>
                <w:sz w:val="18"/>
              </w:rPr>
              <w:t xml:space="preserve">2.1 (summer supplemental irrigation)</w:t>
            </w:r>
          </w:p>
        </w:tc>
      </w:tr>
      <w:tr>
        <w:tc>
          <w:tcPr>
            <w:tcW w:w="2250" w:type="dxa"/>
          </w:tcPr>
          <w:p>
            <w:r>
              <w:rPr>
                <w:sz w:val="18"/>
              </w:rPr>
              <w:t xml:space="preserve">VOC Absorption Capacity (μg/m²/hr)</w:t>
            </w:r>
          </w:p>
        </w:tc>
        <w:tc>
          <w:tcPr>
            <w:tcW w:w="2250" w:type="dxa"/>
          </w:tcPr>
          <w:p>
            <w:r>
              <w:rPr>
                <w:sz w:val="18"/>
              </w:rPr>
              <w:t xml:space="preserve">47.3 (formaldehyde, toluene, xylene)</w:t>
            </w:r>
          </w:p>
        </w:tc>
        <w:tc>
          <w:tcPr>
            <w:tcW w:w="2250" w:type="dxa"/>
          </w:tcPr>
          <w:p>
            <w:r>
              <w:rPr>
                <w:sz w:val="18"/>
              </w:rPr>
              <w:t xml:space="preserve">N/A</w:t>
            </w:r>
          </w:p>
        </w:tc>
        <w:tc>
          <w:tcPr>
            <w:tcW w:w="2250" w:type="dxa"/>
          </w:tcPr>
          <w:p>
            <w:r>
              <w:rPr>
                <w:sz w:val="18"/>
              </w:rPr>
              <w:t xml:space="preserve">12.8 (limited to surface-active species)</w:t>
            </w:r>
          </w:p>
        </w:tc>
      </w:tr>
      <w:tr>
        <w:tc>
          <w:tcPr>
            <w:tcW w:w="2250" w:type="dxa"/>
          </w:tcPr>
          <w:p>
            <w:r>
              <w:rPr>
                <w:sz w:val="18"/>
              </w:rPr>
              <w:t xml:space="preserve">Biodiversity Supported (species count)</w:t>
            </w:r>
          </w:p>
        </w:tc>
        <w:tc>
          <w:tcPr>
            <w:tcW w:w="2250" w:type="dxa"/>
          </w:tcPr>
          <w:p>
            <w:r>
              <w:rPr>
                <w:sz w:val="18"/>
              </w:rPr>
              <w:t xml:space="preserve">147 bird species; 23 forest-interior specialists</w:t>
            </w:r>
          </w:p>
        </w:tc>
        <w:tc>
          <w:tcPr>
            <w:tcW w:w="2250" w:type="dxa"/>
          </w:tcPr>
          <w:p>
            <w:r>
              <w:rPr>
                <w:sz w:val="18"/>
              </w:rPr>
              <w:t xml:space="preserve">78 fish species; 34% coral cover (48 months)</w:t>
            </w:r>
          </w:p>
        </w:tc>
        <w:tc>
          <w:tcPr>
            <w:tcW w:w="2250" w:type="dxa"/>
          </w:tcPr>
          <w:p>
            <w:r>
              <w:rPr>
                <w:sz w:val="18"/>
              </w:rPr>
              <w:t xml:space="preserve">34 cryptogamic species; 12 mosses, 15 lichens</w:t>
            </w:r>
          </w:p>
        </w:tc>
      </w:tr>
      <w:tr>
        <w:tc>
          <w:tcPr>
            <w:tcW w:w="2250" w:type="dxa"/>
          </w:tcPr>
          <w:p>
            <w:r>
              <w:rPr>
                <w:sz w:val="18"/>
              </w:rPr>
              <w:t xml:space="preserve">Self-Repair/Regeneration Capacity</w:t>
            </w:r>
          </w:p>
        </w:tc>
        <w:tc>
          <w:tcPr>
            <w:tcW w:w="2250" w:type="dxa"/>
          </w:tcPr>
          <w:p>
            <w:r>
              <w:rPr>
                <w:sz w:val="18"/>
              </w:rPr>
              <w:t xml:space="preserve">Yes (mycelial regrowth fills micro-cracks)</w:t>
            </w:r>
          </w:p>
        </w:tc>
        <w:tc>
          <w:tcPr>
            <w:tcW w:w="2250" w:type="dxa"/>
          </w:tcPr>
          <w:p>
            <w:r>
              <w:rPr>
                <w:sz w:val="18"/>
              </w:rPr>
              <w:t xml:space="preserve">Yes (coral overgrowth seals surface damage)</w:t>
            </w:r>
          </w:p>
        </w:tc>
        <w:tc>
          <w:tcPr>
            <w:tcW w:w="2250" w:type="dxa"/>
          </w:tcPr>
          <w:p>
            <w:r>
              <w:rPr>
                <w:sz w:val="18"/>
              </w:rPr>
              <w:t xml:space="preserve">Partial (recolonization after disturbance: 6–18 months)</w:t>
            </w:r>
          </w:p>
        </w:tc>
      </w:tr>
      <w:tr>
        <w:tc>
          <w:tcPr>
            <w:tcW w:w="2250" w:type="dxa"/>
          </w:tcPr>
          <w:p>
            <w:r>
              <w:rPr>
                <w:sz w:val="18"/>
              </w:rPr>
              <w:t xml:space="preserve">End-of-Life Pathway</w:t>
            </w:r>
          </w:p>
        </w:tc>
        <w:tc>
          <w:tcPr>
            <w:tcW w:w="2250" w:type="dxa"/>
          </w:tcPr>
          <w:p>
            <w:r>
              <w:rPr>
                <w:sz w:val="18"/>
              </w:rPr>
              <w:t xml:space="preserve">Full biodegradation (6–12 months)</w:t>
            </w:r>
          </w:p>
        </w:tc>
        <w:tc>
          <w:tcPr>
            <w:tcW w:w="2250" w:type="dxa"/>
          </w:tcPr>
          <w:p>
            <w:r>
              <w:rPr>
                <w:sz w:val="18"/>
              </w:rPr>
              <w:t xml:space="preserve">Permanent artificial reef structure</w:t>
            </w:r>
          </w:p>
        </w:tc>
        <w:tc>
          <w:tcPr>
            <w:tcW w:w="2250" w:type="dxa"/>
          </w:tcPr>
          <w:p>
            <w:r>
              <w:rPr>
                <w:sz w:val="18"/>
              </w:rPr>
              <w:t xml:space="preserve">Substrate recyclable; organisms relocatable</w:t>
            </w:r>
          </w:p>
        </w:tc>
      </w:tr>
    </w:tbl>
    <w:p>
      <w:pPr>
        <w:spacing w:after="200"/>
      </w:pPr>
    </w:p>
    <w:p>
      <w:pPr>
        <w:spacing w:after="120"/>
        <w:jc w:val="both"/>
      </w:pPr>
      <w:r>
        <w:rPr>
          <w:sz w:val="22"/>
        </w:rPr>
        <w:t xml:space="preserve">The data presented in Table 3 demonstrate that each bio-integrated system achieves its ecological functionality through fundamentally different biological mechanisms, yet all share the characteristic of active biological metabolism contributing to building performance. The compressive strength data confirm that mycelium composites are suitable only for envelope/insulation applications (0.28–0.34 MPa), while the bio-calcite concrete achieves structural-grade performance (38.5 MPa), validating the hybrid structural approach used in Costa Rica (bamboo primary structure with mycelium envelope).</w:t>
      </w:r>
    </w:p>
    <w:p>
      <w:pPr>
        <w:spacing w:before="200" w:after="100"/>
      </w:pPr>
      <w:r>
        <w:rPr>
          <w:b/>
          <w:sz w:val="22"/>
        </w:rPr>
        <w:t>Table 1: Comparative Ecosystem Service Enhancement of Bio-Integrated versus Conventional Tourism Infrastructure</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w="1800" w:type="dxa"/>
          </w:tcPr>
          <w:p>
            <w:r>
              <w:rPr>
                <w:b/>
                <w:sz w:val="18"/>
              </w:rPr>
              <w:t xml:space="preserve">Performance Metric</w:t>
            </w:r>
          </w:p>
        </w:tc>
        <w:tc>
          <w:tcPr>
            <w:tcW w:w="1800" w:type="dxa"/>
          </w:tcPr>
          <w:p>
            <w:r>
              <w:rPr>
                <w:b/>
                <w:sz w:val="18"/>
              </w:rPr>
              <w:t xml:space="preserve">Costa Rica (Mycelium)</w:t>
            </w:r>
          </w:p>
        </w:tc>
        <w:tc>
          <w:tcPr>
            <w:tcW w:w="1800" w:type="dxa"/>
          </w:tcPr>
          <w:p>
            <w:r>
              <w:rPr>
                <w:b/>
                <w:sz w:val="18"/>
              </w:rPr>
              <w:t xml:space="preserve">Maldives (Reef)</w:t>
            </w:r>
          </w:p>
        </w:tc>
        <w:tc>
          <w:tcPr>
            <w:tcW w:w="1800" w:type="dxa"/>
          </w:tcPr>
          <w:p>
            <w:r>
              <w:rPr>
                <w:b/>
                <w:sz w:val="18"/>
              </w:rPr>
              <w:t xml:space="preserve">Australia (Living Envelope)</w:t>
            </w:r>
          </w:p>
        </w:tc>
        <w:tc>
          <w:tcPr>
            <w:tcW w:w="1800" w:type="dxa"/>
          </w:tcPr>
          <w:p>
            <w:r>
              <w:rPr>
                <w:b/>
                <w:sz w:val="18"/>
              </w:rPr>
              <w:t xml:space="preserve">Mean Enhancement</w:t>
            </w:r>
          </w:p>
        </w:tc>
      </w:tr>
      <w:tr>
        <w:tc>
          <w:tcPr>
            <w:tcW w:w="1800" w:type="dxa"/>
          </w:tcPr>
          <w:p>
            <w:r>
              <w:rPr>
                <w:sz w:val="18"/>
              </w:rPr>
              <w:t xml:space="preserve">Biodiversity (species richness enhancement)</w:t>
            </w:r>
          </w:p>
        </w:tc>
        <w:tc>
          <w:tcPr>
            <w:tcW w:w="1800" w:type="dxa"/>
          </w:tcPr>
          <w:p>
            <w:r>
              <w:rPr>
                <w:sz w:val="18"/>
              </w:rPr>
              <w:t xml:space="preserve">+65%</w:t>
            </w:r>
          </w:p>
        </w:tc>
        <w:tc>
          <w:tcPr>
            <w:tcW w:w="1800" w:type="dxa"/>
          </w:tcPr>
          <w:p>
            <w:r>
              <w:rPr>
                <w:sz w:val="18"/>
              </w:rPr>
              <w:t xml:space="preserve">+86%</w:t>
            </w:r>
          </w:p>
        </w:tc>
        <w:tc>
          <w:tcPr>
            <w:tcW w:w="1800" w:type="dxa"/>
          </w:tcPr>
          <w:p>
            <w:r>
              <w:rPr>
                <w:sz w:val="18"/>
              </w:rPr>
              <w:t xml:space="preserve">+41% (cryptogamic diversity)</w:t>
            </w:r>
          </w:p>
        </w:tc>
        <w:tc>
          <w:tcPr>
            <w:tcW w:w="1800" w:type="dxa"/>
          </w:tcPr>
          <w:p>
            <w:r>
              <w:rPr>
                <w:sz w:val="18"/>
              </w:rPr>
              <w:t xml:space="preserve">+64%</w:t>
            </w:r>
          </w:p>
        </w:tc>
      </w:tr>
      <w:tr>
        <w:tc>
          <w:tcPr>
            <w:tcW w:w="1800" w:type="dxa"/>
          </w:tcPr>
          <w:p>
            <w:r>
              <w:rPr>
                <w:sz w:val="18"/>
              </w:rPr>
              <w:t xml:space="preserve">Carbon sequestration (vs. conventional)</w:t>
            </w:r>
          </w:p>
        </w:tc>
        <w:tc>
          <w:tcPr>
            <w:tcW w:w="1800" w:type="dxa"/>
          </w:tcPr>
          <w:p>
            <w:r>
              <w:rPr>
                <w:sz w:val="18"/>
              </w:rPr>
              <w:t xml:space="preserve">+247%</w:t>
            </w:r>
          </w:p>
        </w:tc>
        <w:tc>
          <w:tcPr>
            <w:tcW w:w="1800" w:type="dxa"/>
          </w:tcPr>
          <w:p>
            <w:r>
              <w:rPr>
                <w:sz w:val="18"/>
              </w:rPr>
              <w:t xml:space="preserve">+156%</w:t>
            </w:r>
          </w:p>
        </w:tc>
        <w:tc>
          <w:tcPr>
            <w:tcW w:w="1800" w:type="dxa"/>
          </w:tcPr>
          <w:p>
            <w:r>
              <w:rPr>
                <w:sz w:val="18"/>
              </w:rPr>
              <w:t xml:space="preserve">+89%</w:t>
            </w:r>
          </w:p>
        </w:tc>
        <w:tc>
          <w:tcPr>
            <w:tcW w:w="1800" w:type="dxa"/>
          </w:tcPr>
          <w:p>
            <w:r>
              <w:rPr>
                <w:sz w:val="18"/>
              </w:rPr>
              <w:t xml:space="preserve">+164%</w:t>
            </w:r>
          </w:p>
        </w:tc>
      </w:tr>
      <w:tr>
        <w:tc>
          <w:tcPr>
            <w:tcW w:w="1800" w:type="dxa"/>
          </w:tcPr>
          <w:p>
            <w:r>
              <w:rPr>
                <w:sz w:val="18"/>
              </w:rPr>
              <w:t xml:space="preserve">Total ecosystem service value (USD/m²/yr)</w:t>
            </w:r>
          </w:p>
        </w:tc>
        <w:tc>
          <w:tcPr>
            <w:tcW w:w="1800" w:type="dxa"/>
          </w:tcPr>
          <w:p>
            <w:r>
              <w:rPr>
                <w:sz w:val="18"/>
              </w:rPr>
              <w:t xml:space="preserve">$127</w:t>
            </w:r>
          </w:p>
        </w:tc>
        <w:tc>
          <w:tcPr>
            <w:tcW w:w="1800" w:type="dxa"/>
          </w:tcPr>
          <w:p>
            <w:r>
              <w:rPr>
                <w:sz w:val="18"/>
              </w:rPr>
              <w:t xml:space="preserve">$203</w:t>
            </w:r>
          </w:p>
        </w:tc>
        <w:tc>
          <w:tcPr>
            <w:tcW w:w="1800" w:type="dxa"/>
          </w:tcPr>
          <w:p>
            <w:r>
              <w:rPr>
                <w:sz w:val="18"/>
              </w:rPr>
              <w:t xml:space="preserve">$47</w:t>
            </w:r>
          </w:p>
        </w:tc>
        <w:tc>
          <w:tcPr>
            <w:tcW w:w="1800" w:type="dxa"/>
          </w:tcPr>
          <w:p>
            <w:r>
              <w:rPr>
                <w:sz w:val="18"/>
              </w:rPr>
              <w:t xml:space="preserve">$126</w:t>
            </w:r>
          </w:p>
        </w:tc>
      </w:tr>
      <w:tr>
        <w:tc>
          <w:tcPr>
            <w:tcW w:w="1800" w:type="dxa"/>
          </w:tcPr>
          <w:p>
            <w:r>
              <w:rPr>
                <w:sz w:val="18"/>
              </w:rPr>
              <w:t xml:space="preserve">Energy performance improvement</w:t>
            </w:r>
          </w:p>
        </w:tc>
        <w:tc>
          <w:tcPr>
            <w:tcW w:w="1800" w:type="dxa"/>
          </w:tcPr>
          <w:p>
            <w:r>
              <w:rPr>
                <w:sz w:val="18"/>
              </w:rPr>
              <w:t xml:space="preserve">+34%</w:t>
            </w:r>
          </w:p>
        </w:tc>
        <w:tc>
          <w:tcPr>
            <w:tcW w:w="1800" w:type="dxa"/>
          </w:tcPr>
          <w:p>
            <w:r>
              <w:rPr>
                <w:sz w:val="18"/>
              </w:rPr>
              <w:t xml:space="preserve">+28%</w:t>
            </w:r>
          </w:p>
        </w:tc>
        <w:tc>
          <w:tcPr>
            <w:tcW w:w="1800" w:type="dxa"/>
          </w:tcPr>
          <w:p>
            <w:r>
              <w:rPr>
                <w:sz w:val="18"/>
              </w:rPr>
              <w:t xml:space="preserve">+68%</w:t>
            </w:r>
          </w:p>
        </w:tc>
        <w:tc>
          <w:tcPr>
            <w:tcW w:w="1800" w:type="dxa"/>
          </w:tcPr>
          <w:p>
            <w:r>
              <w:rPr>
                <w:sz w:val="18"/>
              </w:rPr>
              <w:t xml:space="preserve">+43%</w:t>
            </w:r>
          </w:p>
        </w:tc>
      </w:tr>
      <w:tr>
        <w:tc>
          <w:tcPr>
            <w:tcW w:w="1800" w:type="dxa"/>
          </w:tcPr>
          <w:p>
            <w:r>
              <w:rPr>
                <w:sz w:val="18"/>
              </w:rPr>
              <w:t xml:space="preserve">Visitor satisfaction premium</w:t>
            </w:r>
          </w:p>
        </w:tc>
        <w:tc>
          <w:tcPr>
            <w:tcW w:w="1800" w:type="dxa"/>
          </w:tcPr>
          <w:p>
            <w:r>
              <w:rPr>
                <w:sz w:val="18"/>
              </w:rPr>
              <w:t xml:space="preserve">+22%</w:t>
            </w:r>
          </w:p>
        </w:tc>
        <w:tc>
          <w:tcPr>
            <w:tcW w:w="1800" w:type="dxa"/>
          </w:tcPr>
          <w:p>
            <w:r>
              <w:rPr>
                <w:sz w:val="18"/>
              </w:rPr>
              <w:t xml:space="preserve">+31%</w:t>
            </w:r>
          </w:p>
        </w:tc>
        <w:tc>
          <w:tcPr>
            <w:tcW w:w="1800" w:type="dxa"/>
          </w:tcPr>
          <w:p>
            <w:r>
              <w:rPr>
                <w:sz w:val="18"/>
              </w:rPr>
              <w:t xml:space="preserve">+18%</w:t>
            </w:r>
          </w:p>
        </w:tc>
        <w:tc>
          <w:tcPr>
            <w:tcW w:w="1800" w:type="dxa"/>
          </w:tcPr>
          <w:p>
            <w:r>
              <w:rPr>
                <w:sz w:val="18"/>
              </w:rPr>
              <w:t xml:space="preserve">+24%</w:t>
            </w:r>
          </w:p>
        </w:tc>
      </w:tr>
      <w:tr>
        <w:tc>
          <w:tcPr>
            <w:tcW w:w="1800" w:type="dxa"/>
          </w:tcPr>
          <w:p>
            <w:r>
              <w:rPr>
                <w:sz w:val="18"/>
              </w:rPr>
              <w:t xml:space="preserve">Economic payback period (years)</w:t>
            </w:r>
          </w:p>
        </w:tc>
        <w:tc>
          <w:tcPr>
            <w:tcW w:w="1800" w:type="dxa"/>
          </w:tcPr>
          <w:p>
            <w:r>
              <w:rPr>
                <w:sz w:val="18"/>
              </w:rPr>
              <w:t xml:space="preserve">5.2</w:t>
            </w:r>
          </w:p>
        </w:tc>
        <w:tc>
          <w:tcPr>
            <w:tcW w:w="1800" w:type="dxa"/>
          </w:tcPr>
          <w:p>
            <w:r>
              <w:rPr>
                <w:sz w:val="18"/>
              </w:rPr>
              <w:t xml:space="preserve">3.7</w:t>
            </w:r>
          </w:p>
        </w:tc>
        <w:tc>
          <w:tcPr>
            <w:tcW w:w="1800" w:type="dxa"/>
          </w:tcPr>
          <w:p>
            <w:r>
              <w:rPr>
                <w:sz w:val="18"/>
              </w:rPr>
              <w:t xml:space="preserve">4.8</w:t>
            </w:r>
          </w:p>
        </w:tc>
        <w:tc>
          <w:tcPr>
            <w:tcW w:w="1800" w:type="dxa"/>
          </w:tcPr>
          <w:p>
            <w:r>
              <w:rPr>
                <w:sz w:val="18"/>
              </w:rPr>
              <w:t xml:space="preserve">4.6</w:t>
            </w:r>
          </w:p>
        </w:tc>
      </w:tr>
    </w:tbl>
    <w:p>
      <w:pPr>
        <w:spacing w:after="200"/>
      </w:pPr>
    </w:p>
    <w:p>
      <w:pPr>
        <w:spacing w:after="120"/>
        <w:jc w:val="both"/>
      </w:pPr>
      <w:r>
        <w:rPr>
          <w:sz w:val="22"/>
        </w:rPr>
        <w:t xml:space="preserve">The results of the cross-case comparison (Table 1) show that the adoption of a bio-integrated approach leads to consistently higher increases in assessed dimensions when compared to conventional sustainable construction, from 23% (lowest, Australian thermal performance) to 247% (highest, once again a dimension for carbon sequestration in Costa Rica). Remarkably, the benefits lie not only in ecological outcomes, but also in economic outcomes (the average payback period for further bio-integration of reduced investment costs is 4.6 years) and in the visitor experience (satisfaction premium for the visitors is in the 18-31% range).</w:t>
      </w:r>
    </w:p>
    <w:p>
      <w:pPr>
        <w:spacing w:before="200" w:after="100"/>
      </w:pPr>
      <w:r>
        <w:rPr>
          <w:b/>
          <w:sz w:val="22"/>
        </w:rPr>
        <w:t>Figure 3: Comparative Ecological Performance — Bio-Integrated vs. Conventional Sustainable Construction</w:t>
      </w:r>
    </w:p>
    <w:p>
      <w:pPr>
        <w:pStyle w:val="CodeBlock"/>
      </w:pPr>
      <w:r>
        <w:rPr>
          <w:rFonts w:ascii="Courier New" w:hAnsi="Courier New"/>
          <w:sz w:val="18"/>
        </w:rPr>
        <w:t xml:space="preserve">    ECOSYSTEM SERVICE ENHANCEMENT (% above conventional sustainable baseline)</w:t>
      </w:r>
    </w:p>
    <w:p>
      <w:pPr>
        <w:pStyle w:val="CodeBlock"/>
      </w:pPr>
      <w:r>
        <w:rPr>
          <w:rFonts w:ascii="Courier New" w:hAnsi="Courier New"/>
          <w:sz w:val="18"/>
        </w:rPr>
        <w:t xml:space="preserve">    ═══════════════════════════════════════════════════════════════════════════</w:t>
      </w:r>
    </w:p>
    <w:p>
      <w:pPr>
        <w:pStyle w:val="CodeBlock"/>
      </w:pPr>
      <w:r>
        <w:rPr>
          <w:rFonts w:ascii="Courier New" w:hAnsi="Courier New"/>
          <w:sz w:val="18"/>
        </w:rPr>
        <w:t xml:space="preserve"/>
      </w:r>
    </w:p>
    <w:p>
      <w:pPr>
        <w:pStyle w:val="CodeBlock"/>
      </w:pPr>
      <w:r>
        <w:rPr>
          <w:rFonts w:ascii="Courier New" w:hAnsi="Courier New"/>
          <w:sz w:val="18"/>
        </w:rPr>
        <w:t xml:space="preserve">    BIODIVERSITY (Species Richness Enhancement)</w:t>
      </w:r>
    </w:p>
    <w:p>
      <w:pPr>
        <w:pStyle w:val="CodeBlock"/>
      </w:pPr>
      <w:r>
        <w:rPr>
          <w:rFonts w:ascii="Courier New" w:hAnsi="Courier New"/>
          <w:sz w:val="18"/>
        </w:rPr>
        <w:t xml:space="preserve">    ─────────────────────────────────────────────────────────────────────────</w:t>
      </w:r>
    </w:p>
    <w:p>
      <w:pPr>
        <w:pStyle w:val="CodeBlock"/>
      </w:pPr>
      <w:r>
        <w:rPr>
          <w:rFonts w:ascii="Courier New" w:hAnsi="Courier New"/>
          <w:sz w:val="18"/>
        </w:rPr>
        <w:t xml:space="preserve">    Costa Rica  ████████████████████████████████████████████████████░░  +65%</w:t>
      </w:r>
    </w:p>
    <w:p>
      <w:pPr>
        <w:pStyle w:val="CodeBlock"/>
      </w:pPr>
      <w:r>
        <w:rPr>
          <w:rFonts w:ascii="Courier New" w:hAnsi="Courier New"/>
          <w:sz w:val="18"/>
        </w:rPr>
        <w:t xml:space="preserve">    Maldives    ████████████████████████████████████████████████████████████████████░  +86%</w:t>
      </w:r>
    </w:p>
    <w:p>
      <w:pPr>
        <w:pStyle w:val="CodeBlock"/>
      </w:pPr>
      <w:r>
        <w:rPr>
          <w:rFonts w:ascii="Courier New" w:hAnsi="Courier New"/>
          <w:sz w:val="18"/>
        </w:rPr>
        <w:t xml:space="preserve">    Australia   ██████████████████████████████████░░░░░░░░░░░░░░░░░░░  +41%</w:t>
      </w:r>
    </w:p>
    <w:p>
      <w:pPr>
        <w:pStyle w:val="CodeBlock"/>
      </w:pPr>
      <w:r>
        <w:rPr>
          <w:rFonts w:ascii="Courier New" w:hAnsi="Courier New"/>
          <w:sz w:val="18"/>
        </w:rPr>
        <w:t xml:space="preserve">                                                            MEAN: +64%</w:t>
      </w:r>
    </w:p>
    <w:p>
      <w:pPr>
        <w:pStyle w:val="CodeBlock"/>
      </w:pPr>
      <w:r>
        <w:rPr>
          <w:rFonts w:ascii="Courier New" w:hAnsi="Courier New"/>
          <w:sz w:val="18"/>
        </w:rPr>
        <w:t xml:space="preserve"/>
      </w:r>
    </w:p>
    <w:p>
      <w:pPr>
        <w:pStyle w:val="CodeBlock"/>
      </w:pPr>
      <w:r>
        <w:rPr>
          <w:rFonts w:ascii="Courier New" w:hAnsi="Courier New"/>
          <w:sz w:val="18"/>
        </w:rPr>
        <w:t xml:space="preserve">    CARBON SEQUESTRATION (vs. conventional)</w:t>
      </w:r>
    </w:p>
    <w:p>
      <w:pPr>
        <w:pStyle w:val="CodeBlock"/>
      </w:pPr>
      <w:r>
        <w:rPr>
          <w:rFonts w:ascii="Courier New" w:hAnsi="Courier New"/>
          <w:sz w:val="18"/>
        </w:rPr>
        <w:t xml:space="preserve">    ─────────────────────────────────────────────────────────────────────────</w:t>
      </w:r>
    </w:p>
    <w:p>
      <w:pPr>
        <w:pStyle w:val="CodeBlock"/>
      </w:pPr>
      <w:r>
        <w:rPr>
          <w:rFonts w:ascii="Courier New" w:hAnsi="Courier New"/>
          <w:sz w:val="18"/>
        </w:rPr>
        <w:t xml:space="preserve">    Costa Rica  ████████████████████████████████████████████████████████████████████████████████  +247%</w:t>
      </w:r>
    </w:p>
    <w:p>
      <w:pPr>
        <w:pStyle w:val="CodeBlock"/>
      </w:pPr>
      <w:r>
        <w:rPr>
          <w:rFonts w:ascii="Courier New" w:hAnsi="Courier New"/>
          <w:sz w:val="18"/>
        </w:rPr>
        <w:t xml:space="preserve">    Maldives    █████████████████████████████████████████████████████████████░░░░  +156%</w:t>
      </w:r>
    </w:p>
    <w:p>
      <w:pPr>
        <w:pStyle w:val="CodeBlock"/>
      </w:pPr>
      <w:r>
        <w:rPr>
          <w:rFonts w:ascii="Courier New" w:hAnsi="Courier New"/>
          <w:sz w:val="18"/>
        </w:rPr>
        <w:t xml:space="preserve">    Australia   ████████████████████████████████████░░░░░░░░░░░░░░░░  +89%</w:t>
      </w:r>
    </w:p>
    <w:p>
      <w:pPr>
        <w:pStyle w:val="CodeBlock"/>
      </w:pPr>
      <w:r>
        <w:rPr>
          <w:rFonts w:ascii="Courier New" w:hAnsi="Courier New"/>
          <w:sz w:val="18"/>
        </w:rPr>
        <w:t xml:space="preserve">                                                            MEAN: +164%</w:t>
      </w:r>
    </w:p>
    <w:p>
      <w:pPr>
        <w:pStyle w:val="CodeBlock"/>
      </w:pPr>
      <w:r>
        <w:rPr>
          <w:rFonts w:ascii="Courier New" w:hAnsi="Courier New"/>
          <w:sz w:val="18"/>
        </w:rPr>
        <w:t xml:space="preserve"/>
      </w:r>
    </w:p>
    <w:p>
      <w:pPr>
        <w:pStyle w:val="CodeBlock"/>
      </w:pPr>
      <w:r>
        <w:rPr>
          <w:rFonts w:ascii="Courier New" w:hAnsi="Courier New"/>
          <w:sz w:val="18"/>
        </w:rPr>
        <w:t xml:space="preserve">    ENERGY PERFORMANCE (Improvement)</w:t>
      </w:r>
    </w:p>
    <w:p>
      <w:pPr>
        <w:pStyle w:val="CodeBlock"/>
      </w:pPr>
      <w:r>
        <w:rPr>
          <w:rFonts w:ascii="Courier New" w:hAnsi="Courier New"/>
          <w:sz w:val="18"/>
        </w:rPr>
        <w:t xml:space="preserve">    ─────────────────────────────────────────────────────────────────────────</w:t>
      </w:r>
    </w:p>
    <w:p>
      <w:pPr>
        <w:pStyle w:val="CodeBlock"/>
      </w:pPr>
      <w:r>
        <w:rPr>
          <w:rFonts w:ascii="Courier New" w:hAnsi="Courier New"/>
          <w:sz w:val="18"/>
        </w:rPr>
        <w:t xml:space="preserve">    Costa Rica  █████████████████████████░░░░░░░░░░░░░░░░░░░░░░░░░░  +34%</w:t>
      </w:r>
    </w:p>
    <w:p>
      <w:pPr>
        <w:pStyle w:val="CodeBlock"/>
      </w:pPr>
      <w:r>
        <w:rPr>
          <w:rFonts w:ascii="Courier New" w:hAnsi="Courier New"/>
          <w:sz w:val="18"/>
        </w:rPr>
        <w:t xml:space="preserve">    Maldives    ████████████████████░░░░░░░░░░░░░░░░░░░░░░░░░░░░░░░  +28%</w:t>
      </w:r>
    </w:p>
    <w:p>
      <w:pPr>
        <w:pStyle w:val="CodeBlock"/>
      </w:pPr>
      <w:r>
        <w:rPr>
          <w:rFonts w:ascii="Courier New" w:hAnsi="Courier New"/>
          <w:sz w:val="18"/>
        </w:rPr>
        <w:t xml:space="preserve">    Australia   ████████████████████████████████████████████████████░░░░░  +68%</w:t>
      </w:r>
    </w:p>
    <w:p>
      <w:pPr>
        <w:pStyle w:val="CodeBlock"/>
      </w:pPr>
      <w:r>
        <w:rPr>
          <w:rFonts w:ascii="Courier New" w:hAnsi="Courier New"/>
          <w:sz w:val="18"/>
        </w:rPr>
        <w:t xml:space="preserve">                                                            MEAN: +43%</w:t>
      </w:r>
    </w:p>
    <w:p>
      <w:pPr>
        <w:pStyle w:val="CodeBlock"/>
      </w:pPr>
      <w:r>
        <w:rPr>
          <w:rFonts w:ascii="Courier New" w:hAnsi="Courier New"/>
          <w:sz w:val="18"/>
        </w:rPr>
        <w:t xml:space="preserve"/>
      </w:r>
    </w:p>
    <w:p>
      <w:pPr>
        <w:pStyle w:val="CodeBlock"/>
      </w:pPr>
      <w:r>
        <w:rPr>
          <w:rFonts w:ascii="Courier New" w:hAnsi="Courier New"/>
          <w:sz w:val="18"/>
        </w:rPr>
        <w:t xml:space="preserve">    VISITOR SATISFACTION PREMIUM (%)</w:t>
      </w:r>
    </w:p>
    <w:p>
      <w:pPr>
        <w:pStyle w:val="CodeBlock"/>
      </w:pPr>
      <w:r>
        <w:rPr>
          <w:rFonts w:ascii="Courier New" w:hAnsi="Courier New"/>
          <w:sz w:val="18"/>
        </w:rPr>
        <w:t xml:space="preserve">    ─────────────────────────────────────────────────────────────────────────</w:t>
      </w:r>
    </w:p>
    <w:p>
      <w:pPr>
        <w:pStyle w:val="CodeBlock"/>
      </w:pPr>
      <w:r>
        <w:rPr>
          <w:rFonts w:ascii="Courier New" w:hAnsi="Courier New"/>
          <w:sz w:val="18"/>
        </w:rPr>
        <w:t xml:space="preserve">    Costa Rica  ████████████████░░░░░░░░░░░░░░░░░░░░░░░░░░░░░░░░░░░  +22%</w:t>
      </w:r>
    </w:p>
    <w:p>
      <w:pPr>
        <w:pStyle w:val="CodeBlock"/>
      </w:pPr>
      <w:r>
        <w:rPr>
          <w:rFonts w:ascii="Courier New" w:hAnsi="Courier New"/>
          <w:sz w:val="18"/>
        </w:rPr>
        <w:t xml:space="preserve">    Maldives    ███████████████████████░░░░░░░░░░░░░░░░░░░░░░░░░░░░  +31%</w:t>
      </w:r>
    </w:p>
    <w:p>
      <w:pPr>
        <w:pStyle w:val="CodeBlock"/>
      </w:pPr>
      <w:r>
        <w:rPr>
          <w:rFonts w:ascii="Courier New" w:hAnsi="Courier New"/>
          <w:sz w:val="18"/>
        </w:rPr>
        <w:t xml:space="preserve">    Australia   █████████████░░░░░░░░░░░░░░░░░░░░░░░░░░░░░░░░░░░░░░  +18%</w:t>
      </w:r>
    </w:p>
    <w:p>
      <w:pPr>
        <w:pStyle w:val="CodeBlock"/>
      </w:pPr>
      <w:r>
        <w:rPr>
          <w:rFonts w:ascii="Courier New" w:hAnsi="Courier New"/>
          <w:sz w:val="18"/>
        </w:rPr>
        <w:t xml:space="preserve">                                                            MEAN: +24%</w:t>
      </w:r>
    </w:p>
    <w:p>
      <w:pPr>
        <w:pStyle w:val="CodeBlock"/>
      </w:pPr>
      <w:r>
        <w:rPr>
          <w:rFonts w:ascii="Courier New" w:hAnsi="Courier New"/>
          <w:sz w:val="18"/>
        </w:rPr>
        <w:t xml:space="preserve"/>
      </w:r>
    </w:p>
    <w:p>
      <w:pPr>
        <w:pStyle w:val="CodeBlock"/>
      </w:pPr>
      <w:r>
        <w:rPr>
          <w:rFonts w:ascii="Courier New" w:hAnsi="Courier New"/>
          <w:sz w:val="18"/>
        </w:rPr>
        <w:t xml:space="preserve">    TOTAL ECOSYSTEM SERVICE VALUE (USD/m²/year)</w:t>
      </w:r>
    </w:p>
    <w:p>
      <w:pPr>
        <w:pStyle w:val="CodeBlock"/>
      </w:pPr>
      <w:r>
        <w:rPr>
          <w:rFonts w:ascii="Courier New" w:hAnsi="Courier New"/>
          <w:sz w:val="18"/>
        </w:rPr>
        <w:t xml:space="preserve">    ─────────────────────────────────────────────────────────────────────────</w:t>
      </w:r>
    </w:p>
    <w:p>
      <w:pPr>
        <w:pStyle w:val="CodeBlock"/>
      </w:pPr>
      <w:r>
        <w:rPr>
          <w:rFonts w:ascii="Courier New" w:hAnsi="Courier New"/>
          <w:sz w:val="18"/>
        </w:rPr>
        <w:t xml:space="preserve">    Costa Rica  ████████████████████████████████████████████████████████████████  $127</w:t>
      </w:r>
    </w:p>
    <w:p>
      <w:pPr>
        <w:pStyle w:val="CodeBlock"/>
      </w:pPr>
      <w:r>
        <w:rPr>
          <w:rFonts w:ascii="Courier New" w:hAnsi="Courier New"/>
          <w:sz w:val="18"/>
        </w:rPr>
        <w:t xml:space="preserve">    Maldives    ████████████████████████████████████████████████████████████████████████████████████████████████████░  $203</w:t>
      </w:r>
    </w:p>
    <w:p>
      <w:pPr>
        <w:pStyle w:val="CodeBlock"/>
      </w:pPr>
      <w:r>
        <w:rPr>
          <w:rFonts w:ascii="Courier New" w:hAnsi="Courier New"/>
          <w:sz w:val="18"/>
        </w:rPr>
        <w:t xml:space="preserve">    Australia   ███████████████████████░░░░░░░░░░░░░░░░░░░░░░░░░░░░  $47</w:t>
      </w:r>
    </w:p>
    <w:p>
      <w:pPr>
        <w:pStyle w:val="CodeBlock"/>
      </w:pPr>
      <w:r>
        <w:rPr>
          <w:rFonts w:ascii="Courier New" w:hAnsi="Courier New"/>
          <w:sz w:val="18"/>
        </w:rPr>
        <w:t xml:space="preserve">                                                            MEAN: $126</w:t>
      </w:r>
    </w:p>
    <w:p>
      <w:pPr>
        <w:pStyle w:val="CodeBlock"/>
      </w:pPr>
      <w:r>
        <w:rPr>
          <w:rFonts w:ascii="Courier New" w:hAnsi="Courier New"/>
          <w:sz w:val="18"/>
        </w:rPr>
        <w:t xml:space="preserve"/>
      </w:r>
    </w:p>
    <w:p>
      <w:pPr>
        <w:pStyle w:val="CodeBlock"/>
      </w:pPr>
      <w:r>
        <w:rPr>
          <w:rFonts w:ascii="Courier New" w:hAnsi="Courier New"/>
          <w:sz w:val="18"/>
        </w:rPr>
        <w:t xml:space="preserve">    ECONOMIC PAYBACK PERIOD (years — lower is better)</w:t>
      </w:r>
    </w:p>
    <w:p>
      <w:pPr>
        <w:pStyle w:val="CodeBlock"/>
      </w:pPr>
      <w:r>
        <w:rPr>
          <w:rFonts w:ascii="Courier New" w:hAnsi="Courier New"/>
          <w:sz w:val="18"/>
        </w:rPr>
        <w:t xml:space="preserve">    ─────────────────────────────────────────────────────────────────────────</w:t>
      </w:r>
    </w:p>
    <w:p>
      <w:pPr>
        <w:pStyle w:val="CodeBlock"/>
      </w:pPr>
      <w:r>
        <w:rPr>
          <w:rFonts w:ascii="Courier New" w:hAnsi="Courier New"/>
          <w:sz w:val="18"/>
        </w:rPr>
        <w:t xml:space="preserve">    Costa Rica  ████████████████████████████████████████████████████░ 5.2 yr</w:t>
      </w:r>
    </w:p>
    <w:p>
      <w:pPr>
        <w:pStyle w:val="CodeBlock"/>
      </w:pPr>
      <w:r>
        <w:rPr>
          <w:rFonts w:ascii="Courier New" w:hAnsi="Courier New"/>
          <w:sz w:val="18"/>
        </w:rPr>
        <w:t xml:space="preserve">    Maldives    ████████████████████████████████████████░░░░░░░░░░░░  3.7 yr  ← BEST</w:t>
      </w:r>
    </w:p>
    <w:p>
      <w:pPr>
        <w:pStyle w:val="CodeBlock"/>
      </w:pPr>
      <w:r>
        <w:rPr>
          <w:rFonts w:ascii="Courier New" w:hAnsi="Courier New"/>
          <w:sz w:val="18"/>
        </w:rPr>
        <w:t xml:space="preserve">    Australia   █████████████████████████████████████████████████░░░  4.8 yr</w:t>
      </w:r>
    </w:p>
    <w:p>
      <w:pPr>
        <w:pStyle w:val="CodeBlock"/>
      </w:pPr>
      <w:r>
        <w:rPr>
          <w:rFonts w:ascii="Courier New" w:hAnsi="Courier New"/>
          <w:sz w:val="18"/>
        </w:rPr>
        <w:t xml:space="preserve">                                                            MEAN: 4.6 yr</w:t>
      </w:r>
    </w:p>
    <w:p>
      <w:pPr>
        <w:pStyle w:val="CodeBlock"/>
      </w:pPr>
      <w:r>
        <w:rPr>
          <w:rFonts w:ascii="Courier New" w:hAnsi="Courier New"/>
          <w:sz w:val="18"/>
        </w:rPr>
        <w:t xml:space="preserve"/>
      </w:r>
    </w:p>
    <w:p>
      <w:pPr>
        <w:pStyle w:val="CodeBlock"/>
      </w:pPr>
      <w:r>
        <w:rPr>
          <w:rFonts w:ascii="Courier New" w:hAnsi="Courier New"/>
          <w:sz w:val="18"/>
        </w:rPr>
        <w:t xml:space="preserve">    ═══════════════════════════════════════════════════════════════════════════</w:t>
      </w:r>
    </w:p>
    <w:p>
      <w:pPr>
        <w:pStyle w:val="CodeBlock"/>
      </w:pPr>
      <w:r>
        <w:rPr>
          <w:rFonts w:ascii="Courier New" w:hAnsi="Courier New"/>
          <w:sz w:val="18"/>
        </w:rPr>
        <w:t xml:space="preserve">    KEY FINDING: All bio-integrated projects outperform best-practice</w:t>
      </w:r>
    </w:p>
    <w:p>
      <w:pPr>
        <w:pStyle w:val="CodeBlock"/>
      </w:pPr>
      <w:r>
        <w:rPr>
          <w:rFonts w:ascii="Courier New" w:hAnsi="Courier New"/>
          <w:sz w:val="18"/>
        </w:rPr>
        <w:t xml:space="preserve">    conventional construction across ALL measured dimensions.</w:t>
      </w:r>
    </w:p>
    <w:p>
      <w:pPr>
        <w:pStyle w:val="CodeBlock"/>
      </w:pPr>
      <w:r>
        <w:rPr>
          <w:rFonts w:ascii="Courier New" w:hAnsi="Courier New"/>
          <w:sz w:val="18"/>
        </w:rPr>
        <w:t xml:space="preserve">    Range of improvement: +18% (visitor satisfaction) to +247% (carbon)</w:t>
      </w:r>
    </w:p>
    <w:p>
      <w:pPr>
        <w:pStyle w:val="CodeBlock"/>
      </w:pPr>
      <w:r>
        <w:rPr>
          <w:rFonts w:ascii="Courier New" w:hAnsi="Courier New"/>
          <w:sz w:val="18"/>
        </w:rPr>
        <w:t xml:space="preserve">    ═══════════════════════════════════════════════════════════════════════════</w:t>
      </w:r>
    </w:p>
    <w:p>
      <w:pPr>
        <w:spacing w:before="100" w:after="200"/>
      </w:pPr>
      <w:r>
        <w:rPr>
          <w:i/>
          <w:sz w:val="20"/>
        </w:rPr>
        <w:t xml:space="preserve">Figure 3 visualizes the comparative ecological and economic performance data across all three case studies. Each horizontal bar represents the percentage enhancement of the bio-integrated project over its respective best-practice conventional sustainable baseline (e.g., LEED Platinum equivalent). The consistent positive performance across all metrics and all sites — despite radically different climates, ecosystems, and building typologies — provides strong evidence for the generalizability of the bio-integrated design approach. The Maldives project achieves the highest per-square-meter ecosystem service value ($203/m²/yr) due to the exceptionally high economic value of coral reef services, while Australia achieves the highest energy performance improvement (+68%) due to the evapotranspiratory cooling mechanism's effectiveness in extreme heat conditions.</w:t>
      </w:r>
    </w:p>
    <w:p>
      <w:pPr>
        <w:pBdr>
          <w:bottom w:val="single" w:sz="6" w:space="1" w:color="000000"/>
        </w:pBdr>
      </w:pPr>
    </w:p>
    <w:p>
      <w:pPr>
        <w:pStyle w:val="Heading2"/>
        <w:spacing w:before="240" w:after="120"/>
      </w:pPr>
      <w:r>
        <w:rPr>
          <w:b/>
          <w:sz w:val="28"/>
        </w:rPr>
        <w:t>5. Discussion</w:t>
      </w:r>
    </w:p>
    <w:p>
      <w:pPr>
        <w:pStyle w:val="Heading3"/>
        <w:spacing w:before="200" w:after="100"/>
      </w:pPr>
      <w:r>
        <w:rPr>
          <w:b/>
          <w:sz w:val="24"/>
        </w:rPr>
        <w:t>5.1 Synthesis of Findings: Toward Ecological Reciprocity</w:t>
      </w:r>
    </w:p>
    <w:p>
      <w:pPr>
        <w:spacing w:after="120"/>
        <w:jc w:val="both"/>
      </w:pPr>
      <w:r>
        <w:rPr>
          <w:sz w:val="22"/>
        </w:rPr>
        <w:t xml:space="preserve">The empirical illustration from three geographically, climatically and typologically varied case-studies is showing that the designing of built infrastructure in relation to living ecosystems is possible to accomplish, whereas sustainable modification of built infrastructure cannot. Overall, bio-integration shows a qualified improvement in the provision of ecosystem services (carbon sequestration by 164%, biodiversity support by 64%, and energy performance by 43%, as documented in Table 1) compared to the best practitioners for conventional sites, thus demonstrating a more qualitative than quantitative improvement in environmental building performance.</w:t>
      </w:r>
    </w:p>
    <w:p>
      <w:pPr>
        <w:spacing w:before="200" w:after="100"/>
      </w:pPr>
      <w:r>
        <w:rPr>
          <w:b/>
          <w:sz w:val="22"/>
        </w:rPr>
        <w:t>Table 5: Economic Performance and Investment Analysis of Bio-Integrated Tourism Projects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w="1800" w:type="dxa"/>
          </w:tcPr>
          <w:p>
            <w:r>
              <w:rPr>
                <w:b/>
                <w:sz w:val="18"/>
              </w:rPr>
              <w:t xml:space="preserve">Economic Parameter</w:t>
            </w:r>
          </w:p>
        </w:tc>
        <w:tc>
          <w:tcPr>
            <w:tcW w:w="1800" w:type="dxa"/>
          </w:tcPr>
          <w:p>
            <w:r>
              <w:rPr>
                <w:b/>
                <w:sz w:val="18"/>
              </w:rPr>
              <w:t xml:space="preserve">Costa Rica (Mycelium Resort)</w:t>
            </w:r>
          </w:p>
        </w:tc>
        <w:tc>
          <w:tcPr>
            <w:tcW w:w="1800" w:type="dxa"/>
          </w:tcPr>
          <w:p>
            <w:r>
              <w:rPr>
                <w:b/>
                <w:sz w:val="18"/>
              </w:rPr>
              <w:t xml:space="preserve">Maldives (Reef Pavilion)</w:t>
            </w:r>
          </w:p>
        </w:tc>
        <w:tc>
          <w:tcPr>
            <w:tcW w:w="1800" w:type="dxa"/>
          </w:tcPr>
          <w:p>
            <w:r>
              <w:rPr>
                <w:b/>
                <w:sz w:val="18"/>
              </w:rPr>
              <w:t xml:space="preserve">Australia (Living Envelope)</w:t>
            </w:r>
          </w:p>
        </w:tc>
        <w:tc>
          <w:tcPr>
            <w:tcW w:w="1800" w:type="dxa"/>
          </w:tcPr>
          <w:p>
            <w:r>
              <w:rPr>
                <w:b/>
                <w:sz w:val="18"/>
              </w:rPr>
              <w:t xml:space="preserve">Industry Benchmark (Conventional)</w:t>
            </w:r>
          </w:p>
        </w:tc>
      </w:tr>
      <w:tr>
        <w:tc>
          <w:tcPr>
            <w:tcW w:w="1800" w:type="dxa"/>
          </w:tcPr>
          <w:p>
            <w:r>
              <w:rPr>
                <w:sz w:val="18"/>
              </w:rPr>
              <w:t xml:space="preserve">Total Construction Cost (USD million)</w:t>
            </w:r>
          </w:p>
        </w:tc>
        <w:tc>
          <w:tcPr>
            <w:tcW w:w="1800" w:type="dxa"/>
          </w:tcPr>
          <w:p>
            <w:r>
              <w:rPr>
                <w:sz w:val="18"/>
              </w:rPr>
              <w:t xml:space="preserve">4.2</w:t>
            </w:r>
          </w:p>
        </w:tc>
        <w:tc>
          <w:tcPr>
            <w:tcW w:w="1800" w:type="dxa"/>
          </w:tcPr>
          <w:p>
            <w:r>
              <w:rPr>
                <w:sz w:val="18"/>
              </w:rPr>
              <w:t xml:space="preserve">12.8</w:t>
            </w:r>
          </w:p>
        </w:tc>
        <w:tc>
          <w:tcPr>
            <w:tcW w:w="1800" w:type="dxa"/>
          </w:tcPr>
          <w:p>
            <w:r>
              <w:rPr>
                <w:sz w:val="18"/>
              </w:rPr>
              <w:t xml:space="preserve">3.1</w:t>
            </w:r>
          </w:p>
        </w:tc>
        <w:tc>
          <w:tcPr>
            <w:tcW w:w="1800" w:type="dxa"/>
          </w:tcPr>
          <w:p>
            <w:r>
              <w:rPr>
                <w:sz w:val="18"/>
              </w:rPr>
              <w:t xml:space="preserve">Varies by scale</w:t>
            </w:r>
          </w:p>
        </w:tc>
      </w:tr>
      <w:tr>
        <w:tc>
          <w:tcPr>
            <w:tcW w:w="1800" w:type="dxa"/>
          </w:tcPr>
          <w:p>
            <w:r>
              <w:rPr>
                <w:sz w:val="18"/>
              </w:rPr>
              <w:t xml:space="preserve">Bio-Integration Premium (% above conventional)</w:t>
            </w:r>
          </w:p>
        </w:tc>
        <w:tc>
          <w:tcPr>
            <w:tcW w:w="1800" w:type="dxa"/>
          </w:tcPr>
          <w:p>
            <w:r>
              <w:rPr>
                <w:sz w:val="18"/>
              </w:rPr>
              <w:t xml:space="preserve">+18%</w:t>
            </w:r>
          </w:p>
        </w:tc>
        <w:tc>
          <w:tcPr>
            <w:tcW w:w="1800" w:type="dxa"/>
          </w:tcPr>
          <w:p>
            <w:r>
              <w:rPr>
                <w:sz w:val="18"/>
              </w:rPr>
              <w:t xml:space="preserve">+24%</w:t>
            </w:r>
          </w:p>
        </w:tc>
        <w:tc>
          <w:tcPr>
            <w:tcW w:w="1800" w:type="dxa"/>
          </w:tcPr>
          <w:p>
            <w:r>
              <w:rPr>
                <w:sz w:val="18"/>
              </w:rPr>
              <w:t xml:space="preserve">+15%</w:t>
            </w:r>
          </w:p>
        </w:tc>
        <w:tc>
          <w:tcPr>
            <w:tcW w:w="1800" w:type="dxa"/>
          </w:tcPr>
          <w:p>
            <w:r>
              <w:rPr>
                <w:sz w:val="18"/>
              </w:rPr>
              <w:t xml:space="preserve">0% (baseline)</w:t>
            </w:r>
          </w:p>
        </w:tc>
      </w:tr>
      <w:tr>
        <w:tc>
          <w:tcPr>
            <w:tcW w:w="1800" w:type="dxa"/>
          </w:tcPr>
          <w:p>
            <w:r>
              <w:rPr>
                <w:sz w:val="18"/>
              </w:rPr>
              <w:t xml:space="preserve">Bio-Integration Additional Cost (USD million)</w:t>
            </w:r>
          </w:p>
        </w:tc>
        <w:tc>
          <w:tcPr>
            <w:tcW w:w="1800" w:type="dxa"/>
          </w:tcPr>
          <w:p>
            <w:r>
              <w:rPr>
                <w:sz w:val="18"/>
              </w:rPr>
              <w:t xml:space="preserve">0.64</w:t>
            </w:r>
          </w:p>
        </w:tc>
        <w:tc>
          <w:tcPr>
            <w:tcW w:w="1800" w:type="dxa"/>
          </w:tcPr>
          <w:p>
            <w:r>
              <w:rPr>
                <w:sz w:val="18"/>
              </w:rPr>
              <w:t xml:space="preserve">2.47</w:t>
            </w:r>
          </w:p>
        </w:tc>
        <w:tc>
          <w:tcPr>
            <w:tcW w:w="1800" w:type="dxa"/>
          </w:tcPr>
          <w:p>
            <w:r>
              <w:rPr>
                <w:sz w:val="18"/>
              </w:rPr>
              <w:t xml:space="preserve">0.40</w:t>
            </w:r>
          </w:p>
        </w:tc>
        <w:tc>
          <w:tcPr>
            <w:tcW w:w="1800" w:type="dxa"/>
          </w:tcPr>
          <w:p>
            <w:r>
              <w:rPr>
                <w:sz w:val="18"/>
              </w:rPr>
              <w:t xml:space="preserve">—</w:t>
            </w:r>
          </w:p>
        </w:tc>
      </w:tr>
      <w:tr>
        <w:tc>
          <w:tcPr>
            <w:tcW w:w="1800" w:type="dxa"/>
          </w:tcPr>
          <w:p>
            <w:r>
              <w:rPr>
                <w:sz w:val="18"/>
              </w:rPr>
              <w:t xml:space="preserve">Annual Ecosystem Service Value (USD/yr)</w:t>
            </w:r>
          </w:p>
        </w:tc>
        <w:tc>
          <w:tcPr>
            <w:tcW w:w="1800" w:type="dxa"/>
          </w:tcPr>
          <w:p>
            <w:r>
              <w:rPr>
                <w:sz w:val="18"/>
              </w:rPr>
              <w:t xml:space="preserve">892,000</w:t>
            </w:r>
          </w:p>
        </w:tc>
        <w:tc>
          <w:tcPr>
            <w:tcW w:w="1800" w:type="dxa"/>
          </w:tcPr>
          <w:p>
            <w:r>
              <w:rPr>
                <w:sz w:val="18"/>
              </w:rPr>
              <w:t xml:space="preserve">1,240,000</w:t>
            </w:r>
          </w:p>
        </w:tc>
        <w:tc>
          <w:tcPr>
            <w:tcW w:w="1800" w:type="dxa"/>
          </w:tcPr>
          <w:p>
            <w:r>
              <w:rPr>
                <w:sz w:val="18"/>
              </w:rPr>
              <w:t xml:space="preserve">156,000 (total envelope)</w:t>
            </w:r>
          </w:p>
        </w:tc>
        <w:tc>
          <w:tcPr>
            <w:tcW w:w="1800" w:type="dxa"/>
          </w:tcPr>
          <w:p>
            <w:r>
              <w:rPr>
                <w:sz w:val="18"/>
              </w:rPr>
              <w:t xml:space="preserve">340,000 / 480,000 / 62,000</w:t>
            </w:r>
          </w:p>
        </w:tc>
      </w:tr>
      <w:tr>
        <w:tc>
          <w:tcPr>
            <w:tcW w:w="1800" w:type="dxa"/>
          </w:tcPr>
          <w:p>
            <w:r>
              <w:rPr>
                <w:sz w:val="18"/>
              </w:rPr>
              <w:t xml:space="preserve">Annual Energy Cost Savings (USD/yr)</w:t>
            </w:r>
          </w:p>
        </w:tc>
        <w:tc>
          <w:tcPr>
            <w:tcW w:w="1800" w:type="dxa"/>
          </w:tcPr>
          <w:p>
            <w:r>
              <w:rPr>
                <w:sz w:val="18"/>
              </w:rPr>
              <w:t xml:space="preserve">38,000</w:t>
            </w:r>
          </w:p>
        </w:tc>
        <w:tc>
          <w:tcPr>
            <w:tcW w:w="1800" w:type="dxa"/>
          </w:tcPr>
          <w:p>
            <w:r>
              <w:rPr>
                <w:sz w:val="18"/>
              </w:rPr>
              <w:t xml:space="preserve">52,000</w:t>
            </w:r>
          </w:p>
        </w:tc>
        <w:tc>
          <w:tcPr>
            <w:tcW w:w="1800" w:type="dxa"/>
          </w:tcPr>
          <w:p>
            <w:r>
              <w:rPr>
                <w:sz w:val="18"/>
              </w:rPr>
              <w:t xml:space="preserve">67,000</w:t>
            </w:r>
          </w:p>
        </w:tc>
        <w:tc>
          <w:tcPr>
            <w:tcW w:w="1800" w:type="dxa"/>
          </w:tcPr>
          <w:p>
            <w:r>
              <w:rPr>
                <w:sz w:val="18"/>
              </w:rPr>
              <w:t xml:space="preserve">—</w:t>
            </w:r>
          </w:p>
        </w:tc>
      </w:tr>
      <w:tr>
        <w:tc>
          <w:tcPr>
            <w:tcW w:w="1800" w:type="dxa"/>
          </w:tcPr>
          <w:p>
            <w:r>
              <w:rPr>
                <w:sz w:val="18"/>
              </w:rPr>
              <w:t xml:space="preserve">Visitor Revenue Premium (USD/yr)</w:t>
            </w:r>
          </w:p>
        </w:tc>
        <w:tc>
          <w:tcPr>
            <w:tcW w:w="1800" w:type="dxa"/>
          </w:tcPr>
          <w:p>
            <w:r>
              <w:rPr>
                <w:sz w:val="18"/>
              </w:rPr>
              <w:t xml:space="preserve">124,000</w:t>
            </w:r>
          </w:p>
        </w:tc>
        <w:tc>
          <w:tcPr>
            <w:tcW w:w="1800" w:type="dxa"/>
          </w:tcPr>
          <w:p>
            <w:r>
              <w:rPr>
                <w:sz w:val="18"/>
              </w:rPr>
              <w:t xml:space="preserve">485,000</w:t>
            </w:r>
          </w:p>
        </w:tc>
        <w:tc>
          <w:tcPr>
            <w:tcW w:w="1800" w:type="dxa"/>
          </w:tcPr>
          <w:p>
            <w:r>
              <w:rPr>
                <w:sz w:val="18"/>
              </w:rPr>
              <w:t xml:space="preserve">89,000</w:t>
            </w:r>
          </w:p>
        </w:tc>
        <w:tc>
          <w:tcPr>
            <w:tcW w:w="1800" w:type="dxa"/>
          </w:tcPr>
          <w:p>
            <w:r>
              <w:rPr>
                <w:sz w:val="18"/>
              </w:rPr>
              <w:t xml:space="preserve">—</w:t>
            </w:r>
          </w:p>
        </w:tc>
      </w:tr>
      <w:tr>
        <w:tc>
          <w:tcPr>
            <w:tcW w:w="1800" w:type="dxa"/>
          </w:tcPr>
          <w:p>
            <w:r>
              <w:rPr>
                <w:sz w:val="18"/>
              </w:rPr>
              <w:t xml:space="preserve">Total Annual Benefit (USD/yr)</w:t>
            </w:r>
          </w:p>
        </w:tc>
        <w:tc>
          <w:tcPr>
            <w:tcW w:w="1800" w:type="dxa"/>
          </w:tcPr>
          <w:p>
            <w:r>
              <w:rPr>
                <w:sz w:val="18"/>
              </w:rPr>
              <w:t xml:space="preserve">162,000 (direct)</w:t>
            </w:r>
          </w:p>
        </w:tc>
        <w:tc>
          <w:tcPr>
            <w:tcW w:w="1800" w:type="dxa"/>
          </w:tcPr>
          <w:p>
            <w:r>
              <w:rPr>
                <w:sz w:val="18"/>
              </w:rPr>
              <w:t xml:space="preserve">537,000 (direct)</w:t>
            </w:r>
          </w:p>
        </w:tc>
        <w:tc>
          <w:tcPr>
            <w:tcW w:w="1800" w:type="dxa"/>
          </w:tcPr>
          <w:p>
            <w:r>
              <w:rPr>
                <w:sz w:val="18"/>
              </w:rPr>
              <w:t xml:space="preserve">156,000 (direct)</w:t>
            </w:r>
          </w:p>
        </w:tc>
        <w:tc>
          <w:tcPr>
            <w:tcW w:w="1800" w:type="dxa"/>
          </w:tcPr>
          <w:p>
            <w:r>
              <w:rPr>
                <w:sz w:val="18"/>
              </w:rPr>
              <w:t xml:space="preserve">—</w:t>
            </w:r>
          </w:p>
        </w:tc>
      </w:tr>
      <w:tr>
        <w:tc>
          <w:tcPr>
            <w:tcW w:w="1800" w:type="dxa"/>
          </w:tcPr>
          <w:p>
            <w:r>
              <w:rPr>
                <w:sz w:val="18"/>
              </w:rPr>
              <w:t xml:space="preserve">Economic Payback Period (years)</w:t>
            </w:r>
          </w:p>
        </w:tc>
        <w:tc>
          <w:tcPr>
            <w:tcW w:w="1800" w:type="dxa"/>
          </w:tcPr>
          <w:p>
            <w:r>
              <w:rPr>
                <w:sz w:val="18"/>
              </w:rPr>
              <w:t xml:space="preserve">5.2</w:t>
            </w:r>
          </w:p>
        </w:tc>
        <w:tc>
          <w:tcPr>
            <w:tcW w:w="1800" w:type="dxa"/>
          </w:tcPr>
          <w:p>
            <w:r>
              <w:rPr>
                <w:sz w:val="18"/>
              </w:rPr>
              <w:t xml:space="preserve">3.7</w:t>
            </w:r>
          </w:p>
        </w:tc>
        <w:tc>
          <w:tcPr>
            <w:tcW w:w="1800" w:type="dxa"/>
          </w:tcPr>
          <w:p>
            <w:r>
              <w:rPr>
                <w:sz w:val="18"/>
              </w:rPr>
              <w:t xml:space="preserve">4.8</w:t>
            </w:r>
          </w:p>
        </w:tc>
        <w:tc>
          <w:tcPr>
            <w:tcW w:w="1800" w:type="dxa"/>
          </w:tcPr>
          <w:p>
            <w:r>
              <w:rPr>
                <w:sz w:val="18"/>
              </w:rPr>
              <w:t xml:space="preserve">—</w:t>
            </w:r>
          </w:p>
        </w:tc>
      </w:tr>
      <w:tr>
        <w:tc>
          <w:tcPr>
            <w:tcW w:w="1800" w:type="dxa"/>
          </w:tcPr>
          <w:p>
            <w:r>
              <w:rPr>
                <w:sz w:val="18"/>
              </w:rPr>
              <w:t xml:space="preserve">20-Year Net Present Value (USD million, r=5%)</w:t>
            </w:r>
          </w:p>
        </w:tc>
        <w:tc>
          <w:tcPr>
            <w:tcW w:w="1800" w:type="dxa"/>
          </w:tcPr>
          <w:p>
            <w:r>
              <w:rPr>
                <w:sz w:val="18"/>
              </w:rPr>
              <w:t xml:space="preserve">1.38</w:t>
            </w:r>
          </w:p>
        </w:tc>
        <w:tc>
          <w:tcPr>
            <w:tcW w:w="1800" w:type="dxa"/>
          </w:tcPr>
          <w:p>
            <w:r>
              <w:rPr>
                <w:sz w:val="18"/>
              </w:rPr>
              <w:t xml:space="preserve">4.92</w:t>
            </w:r>
          </w:p>
        </w:tc>
        <w:tc>
          <w:tcPr>
            <w:tcW w:w="1800" w:type="dxa"/>
          </w:tcPr>
          <w:p>
            <w:r>
              <w:rPr>
                <w:sz w:val="18"/>
              </w:rPr>
              <w:t xml:space="preserve">1.14</w:t>
            </w:r>
          </w:p>
        </w:tc>
        <w:tc>
          <w:tcPr>
            <w:tcW w:w="1800" w:type="dxa"/>
          </w:tcPr>
          <w:p>
            <w:r>
              <w:rPr>
                <w:sz w:val="18"/>
              </w:rPr>
              <w:t xml:space="preserve">—</w:t>
            </w:r>
          </w:p>
        </w:tc>
      </w:tr>
      <w:tr>
        <w:tc>
          <w:tcPr>
            <w:tcW w:w="1800" w:type="dxa"/>
          </w:tcPr>
          <w:p>
            <w:r>
              <w:rPr>
                <w:sz w:val="18"/>
              </w:rPr>
              <w:t xml:space="preserve">Internal Rate of Return (%)</w:t>
            </w:r>
          </w:p>
        </w:tc>
        <w:tc>
          <w:tcPr>
            <w:tcW w:w="1800" w:type="dxa"/>
          </w:tcPr>
          <w:p>
            <w:r>
              <w:rPr>
                <w:sz w:val="18"/>
              </w:rPr>
              <w:t xml:space="preserve">19.4%</w:t>
            </w:r>
          </w:p>
        </w:tc>
        <w:tc>
          <w:tcPr>
            <w:tcW w:w="1800" w:type="dxa"/>
          </w:tcPr>
          <w:p>
            <w:r>
              <w:rPr>
                <w:sz w:val="18"/>
              </w:rPr>
              <w:t xml:space="preserve">27.1%</w:t>
            </w:r>
          </w:p>
        </w:tc>
        <w:tc>
          <w:tcPr>
            <w:tcW w:w="1800" w:type="dxa"/>
          </w:tcPr>
          <w:p>
            <w:r>
              <w:rPr>
                <w:sz w:val="18"/>
              </w:rPr>
              <w:t xml:space="preserve">21.3%</w:t>
            </w:r>
          </w:p>
        </w:tc>
        <w:tc>
          <w:tcPr>
            <w:tcW w:w="1800" w:type="dxa"/>
          </w:tcPr>
          <w:p>
            <w:r>
              <w:rPr>
                <w:sz w:val="18"/>
              </w:rPr>
              <w:t xml:space="preserve">Typical hotel: 12–15%</w:t>
            </w:r>
          </w:p>
        </w:tc>
      </w:tr>
      <w:tr>
        <w:tc>
          <w:tcPr>
            <w:tcW w:w="1800" w:type="dxa"/>
          </w:tcPr>
          <w:p>
            <w:r>
              <w:rPr>
                <w:sz w:val="18"/>
              </w:rPr>
              <w:t xml:space="preserve">Maintenance Cost (USD/m²/yr)</w:t>
            </w:r>
          </w:p>
        </w:tc>
        <w:tc>
          <w:tcPr>
            <w:tcW w:w="1800" w:type="dxa"/>
          </w:tcPr>
          <w:p>
            <w:r>
              <w:rPr>
                <w:sz w:val="18"/>
              </w:rPr>
              <w:t xml:space="preserve">8.50</w:t>
            </w:r>
          </w:p>
        </w:tc>
        <w:tc>
          <w:tcPr>
            <w:tcW w:w="1800" w:type="dxa"/>
          </w:tcPr>
          <w:p>
            <w:r>
              <w:rPr>
                <w:sz w:val="18"/>
              </w:rPr>
              <w:t xml:space="preserve">15.20</w:t>
            </w:r>
          </w:p>
        </w:tc>
        <w:tc>
          <w:tcPr>
            <w:tcW w:w="1800" w:type="dxa"/>
          </w:tcPr>
          <w:p>
            <w:r>
              <w:rPr>
                <w:sz w:val="18"/>
              </w:rPr>
              <w:t xml:space="preserve">12.00</w:t>
            </w:r>
          </w:p>
        </w:tc>
        <w:tc>
          <w:tcPr>
            <w:tcW w:w="1800" w:type="dxa"/>
          </w:tcPr>
          <w:p>
            <w:r>
              <w:rPr>
                <w:sz w:val="18"/>
              </w:rPr>
              <w:t xml:space="preserve">6.50 / 11.00 / 8.00</w:t>
            </w:r>
          </w:p>
        </w:tc>
      </w:tr>
      <w:tr>
        <w:tc>
          <w:tcPr>
            <w:tcW w:w="1800" w:type="dxa"/>
          </w:tcPr>
          <w:p>
            <w:r>
              <w:rPr>
                <w:sz w:val="18"/>
              </w:rPr>
              <w:t xml:space="preserve">Benefit-Cost Ratio (ecosystem services/maintenance)</w:t>
            </w:r>
          </w:p>
        </w:tc>
        <w:tc>
          <w:tcPr>
            <w:tcW w:w="1800" w:type="dxa"/>
          </w:tcPr>
          <w:p>
            <w:r>
              <w:rPr>
                <w:sz w:val="18"/>
              </w:rPr>
              <w:t xml:space="preserve">4.2:1</w:t>
            </w:r>
          </w:p>
        </w:tc>
        <w:tc>
          <w:tcPr>
            <w:tcW w:w="1800" w:type="dxa"/>
          </w:tcPr>
          <w:p>
            <w:r>
              <w:rPr>
                <w:sz w:val="18"/>
              </w:rPr>
              <w:t xml:space="preserve">3.8:1</w:t>
            </w:r>
          </w:p>
        </w:tc>
        <w:tc>
          <w:tcPr>
            <w:tcW w:w="1800" w:type="dxa"/>
          </w:tcPr>
          <w:p>
            <w:r>
              <w:rPr>
                <w:sz w:val="18"/>
              </w:rPr>
              <w:t xml:space="preserve">3.9:1</w:t>
            </w:r>
          </w:p>
        </w:tc>
        <w:tc>
          <w:tcPr>
            <w:tcW w:w="1800" w:type="dxa"/>
          </w:tcPr>
          <w:p>
            <w:r>
              <w:rPr>
                <w:sz w:val="18"/>
              </w:rPr>
              <w:t xml:space="preserve">—</w:t>
            </w:r>
          </w:p>
        </w:tc>
      </w:tr>
      <w:tr>
        <w:tc>
          <w:tcPr>
            <w:tcW w:w="1800" w:type="dxa"/>
          </w:tcPr>
          <w:p>
            <w:r>
              <w:rPr>
                <w:sz w:val="18"/>
              </w:rPr>
              <w:t xml:space="preserve">Carbon Credit Revenue Potential (USD/yr)</w:t>
            </w:r>
          </w:p>
        </w:tc>
        <w:tc>
          <w:tcPr>
            <w:tcW w:w="1800" w:type="dxa"/>
          </w:tcPr>
          <w:p>
            <w:r>
              <w:rPr>
                <w:sz w:val="18"/>
              </w:rPr>
              <w:t xml:space="preserve">12,700</w:t>
            </w:r>
          </w:p>
        </w:tc>
        <w:tc>
          <w:tcPr>
            <w:tcW w:w="1800" w:type="dxa"/>
          </w:tcPr>
          <w:p>
            <w:r>
              <w:rPr>
                <w:sz w:val="18"/>
              </w:rPr>
              <w:t xml:space="preserve">8,400</w:t>
            </w:r>
          </w:p>
        </w:tc>
        <w:tc>
          <w:tcPr>
            <w:tcW w:w="1800" w:type="dxa"/>
          </w:tcPr>
          <w:p>
            <w:r>
              <w:rPr>
                <w:sz w:val="18"/>
              </w:rPr>
              <w:t xml:space="preserve">3,200</w:t>
            </w:r>
          </w:p>
        </w:tc>
        <w:tc>
          <w:tcPr>
            <w:tcW w:w="1800" w:type="dxa"/>
          </w:tcPr>
          <w:p>
            <w:r>
              <w:rPr>
                <w:sz w:val="18"/>
              </w:rPr>
              <w:t xml:space="preserve">—</w:t>
            </w:r>
          </w:p>
        </w:tc>
      </w:tr>
      <w:tr>
        <w:tc>
          <w:tcPr>
            <w:tcW w:w="1800" w:type="dxa"/>
          </w:tcPr>
          <w:p>
            <w:r>
              <w:rPr>
                <w:sz w:val="18"/>
              </w:rPr>
              <w:t xml:space="preserve">Risk Premium (insurance cost increase %)</w:t>
            </w:r>
          </w:p>
        </w:tc>
        <w:tc>
          <w:tcPr>
            <w:tcW w:w="1800" w:type="dxa"/>
          </w:tcPr>
          <w:p>
            <w:r>
              <w:rPr>
                <w:sz w:val="18"/>
              </w:rPr>
              <w:t xml:space="preserve">+8%</w:t>
            </w:r>
          </w:p>
        </w:tc>
        <w:tc>
          <w:tcPr>
            <w:tcW w:w="1800" w:type="dxa"/>
          </w:tcPr>
          <w:p>
            <w:r>
              <w:rPr>
                <w:sz w:val="18"/>
              </w:rPr>
              <w:t xml:space="preserve">+12%</w:t>
            </w:r>
          </w:p>
        </w:tc>
        <w:tc>
          <w:tcPr>
            <w:tcW w:w="1800" w:type="dxa"/>
          </w:tcPr>
          <w:p>
            <w:r>
              <w:rPr>
                <w:sz w:val="18"/>
              </w:rPr>
              <w:t xml:space="preserve">+5%</w:t>
            </w:r>
          </w:p>
        </w:tc>
        <w:tc>
          <w:tcPr>
            <w:tcW w:w="1800" w:type="dxa"/>
          </w:tcPr>
          <w:p>
            <w:r>
              <w:rPr>
                <w:sz w:val="18"/>
              </w:rPr>
              <w:t xml:space="preserve">0% (baseline)</w:t>
            </w:r>
          </w:p>
        </w:tc>
      </w:tr>
    </w:tbl>
    <w:p>
      <w:pPr>
        <w:spacing w:after="200"/>
      </w:pPr>
    </w:p>
    <w:p>
      <w:pPr>
        <w:spacing w:after="120"/>
        <w:jc w:val="both"/>
      </w:pPr>
      <w:r>
        <w:rPr>
          <w:sz w:val="22"/>
        </w:rPr>
        <w:t xml:space="preserve">As shown in Table 5, the economic analysis reveals that bio-integration investments yield internal rates of return (19.4–27.1%) substantially exceeding typical hotel development returns (12–15%), driven by the combination of ecosystem service values, energy savings, and visitor revenue premiums. The Maldives project demonstrates the highest absolute returns due to its premium tourism market positioning and the high monetized value of reef ecosystem services.</w:t>
      </w:r>
    </w:p>
    <w:p>
      <w:pPr>
        <w:spacing w:after="120"/>
        <w:jc w:val="both"/>
      </w:pPr>
      <w:r>
        <w:rPr>
          <w:sz w:val="22"/>
        </w:rPr>
        <w:t xml:space="preserve">What's important here is that these enhancements don't only rely on technological sophistication and complexity, but also on a reimagined relationship of the building and the ecosystem. In the case studies, the infrastructure serves as habitat, metabolic participant and ecological connector, engages with, and is open to, biological processes, which conventional buildings, no matter how efficient, cannot play such roles due to their conventional design intact from new construction to demolition—functions as a sealed, inert object that excludes, rather than embraces, bioprocesses [5]. The collected CO₂ from the atmosphere is metabolized by the mycelium panels (3.2 kg CO₂/m²/year), the reef structure invites the coral larvae and the cryptogamic envelope photosynthesizes and transpires. Building one is alive; a meaningful biological life and reciprocal ecology that distinguishes regenerative building from merely sustainable building.</w:t>
      </w:r>
    </w:p>
    <w:p>
      <w:pPr>
        <w:spacing w:after="120"/>
        <w:jc w:val="both"/>
      </w:pPr>
      <w:r>
        <w:rPr>
          <w:sz w:val="22"/>
        </w:rPr>
        <w:t xml:space="preserve">The results respond to the "regenerative-as-rhetoric" criticism of Craft et al. [16]. The research quantifies regenerative design in both biophysical and monetary terms, in terms of overall ecosystem service provision, as well as compared to an already bold and ambitious standards-based conventional benchmark (highest-level green building certification), thereby demonstrating that a measurable, impactful benefit is obtained by the use of regenerative design. The 4.6 years economic payback period of investing in bio-integration is attractive on average, thereby establishing ecological reciprocity as not excessively costly at the economic level, important for the scalability of these approaches.</w:t>
      </w:r>
    </w:p>
    <w:p>
      <w:pPr>
        <w:pStyle w:val="Heading3"/>
        <w:spacing w:before="200" w:after="100"/>
      </w:pPr>
      <w:r>
        <w:rPr>
          <w:b/>
          <w:sz w:val="24"/>
        </w:rPr>
        <w:t>5.2 The Role of Computational Design in Enabling Bio-Integration</w:t>
      </w:r>
    </w:p>
    <w:p>
      <w:pPr>
        <w:spacing w:after="120"/>
        <w:jc w:val="both"/>
      </w:pPr>
      <w:r>
        <w:rPr>
          <w:sz w:val="22"/>
        </w:rPr>
        <w:t xml:space="preserve">What is common to all the case studies is the centrality of computational design processes to support the integration of the biological in the architectural realm. As documented in Table 2, the complexity of the optimization required for the avoidance of structural, ecological, experiential and economic goals in each project resulted in an inability to simultaneously process these multiple objectives with traditional intuitive design methods. Multi-objective optimization algorithms were used, such as NSGA-II in Costa Rica, Pareto-coupled simulation in the Maldives, and parametric hygrothermal-biological modeling in Australia, to enable design teams to explore high-dimensional solution spaces and discover a design that met multiple competing objectives in each without imposing unacceptable compromise in any.</w:t>
      </w:r>
    </w:p>
    <w:p>
      <w:pPr>
        <w:spacing w:after="120"/>
        <w:jc w:val="both"/>
      </w:pPr>
      <w:r>
        <w:rPr>
          <w:sz w:val="22"/>
        </w:rPr>
        <w:t xml:space="preserve">This result fits into the wider context of the computational design research and literature [25, 26] but takes it into new dimensions. In contrast to past computational design applications, which had focused mainly on physical metrics (structural efficiency, thermal comfort, daylight availability), the inclusion of ecological goals (biodiversity support, habitat connectivity, ecosystem service provision) as key design considerations form the basis for a new approach, called bio-integrated computational design. This is a big methodological leap that not only demands novel simulation tools (models of biological growths and ecological agent-based models) but also novel optimization frameworks that can deal with longer timescales and inherent uncertainties in ecological processes.</w:t>
      </w:r>
    </w:p>
    <w:p>
      <w:pPr>
        <w:spacing w:after="120"/>
        <w:jc w:val="both"/>
      </w:pPr>
      <w:r>
        <w:rPr>
          <w:sz w:val="22"/>
        </w:rPr>
        <w:t xml:space="preserve">It is particularly worth underlining the dimension of time. Conventional buildings begin to break down at construction time, while bio-integrated buildings enhance. The mycelium panels sequester carbon (Table 3), the reef structure becomes covered in corals and has an increase in fish diversity and complexity, and the cryptogamic envelope becomes more species-rich and has an increased functional complexity. The models, therefore, should not only reflect these static performances but be able to show how a bio-integrated system develops over the years and decades. The prediction-observation agreements of 85–95% across the three case studies validate the predictive capacity of the modeling approaches employed, though longer-term validation over decadal timescales remains necessary.</w:t>
      </w:r>
    </w:p>
    <w:p>
      <w:pPr>
        <w:pStyle w:val="Heading3"/>
        <w:spacing w:before="200" w:after="100"/>
      </w:pPr>
      <w:r>
        <w:rPr>
          <w:b/>
          <w:sz w:val="24"/>
        </w:rPr>
        <w:t>5.3 Indigenous Knowledge as Design Intelligence</w:t>
      </w:r>
    </w:p>
    <w:p>
      <w:pPr>
        <w:spacing w:after="120"/>
        <w:jc w:val="both"/>
      </w:pPr>
      <w:r>
        <w:rPr>
          <w:sz w:val="22"/>
        </w:rPr>
        <w:t xml:space="preserve">The Australian case study demonstrates the potential of indigenous ecological knowledge (IEK) as a means to represent design intelligence in addition to, and in support of, computational design methods. The bio-responsive design concept of the building was directly inspired by the Martu Traditional Owners understanding of the ecological dynamics of the arid-zone, especially the pulsed nature of arid zone ecosystems, which are biologically dormant for long periods of time, followed by short periods of intense biological activity in response to rainfall. The ability of the cryptogamic envelope to go to sleep and come back awake situates the architecture within the ecological landscape in a way that might not be possible by synthesizing the same way, as a purely computational optimization.</w:t>
      </w:r>
    </w:p>
    <w:p>
      <w:pPr>
        <w:spacing w:after="120"/>
        <w:jc w:val="both"/>
      </w:pPr>
      <w:r>
        <w:rPr>
          <w:sz w:val="22"/>
        </w:rPr>
        <w:t xml:space="preserve">The discovery is congruent with Kimmerer's conviction [31] that there are forms of ecological knowledge, relational, reciprocal and place-based, that both indigenous knowledge systems and Western scientific systems miss. IEK does not just demonstrate cultural sensitivity and social license (though it shows both) it also shows an ability to tap into the design intelligence developed in a landscape through careful, sensitive, millennia-long engagement. An ethical framework for integrating knowledge is needed, which must ensure that indigenous communities have control in terms of intellectual sovereignty of their knowledge and benefit materially in the application of their knowledge in commercial tourism settings [33, 32].</w:t>
      </w:r>
    </w:p>
    <w:p>
      <w:pPr>
        <w:pStyle w:val="Heading3"/>
        <w:spacing w:before="200" w:after="100"/>
      </w:pPr>
      <w:r>
        <w:rPr>
          <w:b/>
          <w:sz w:val="24"/>
        </w:rPr>
        <w:t>5.4 Proposing the Bio-Integration Maturity Model (BIMM)</w:t>
      </w:r>
    </w:p>
    <w:p>
      <w:pPr>
        <w:spacing w:after="120"/>
        <w:jc w:val="both"/>
      </w:pPr>
      <w:r>
        <w:rPr>
          <w:sz w:val="22"/>
        </w:rPr>
        <w:t xml:space="preserve">Based on the results of the case studies and computational modelling, this section lays out a pragmatic Bio-Integration Maturity Model (BIMM) to recommend for assessing, and moving up, tourism infrastructure along the continuum of "traditional" construction to complete ecological reciprocity. The BIMM comprises five levels, detailed in Table 4:</w:t>
      </w:r>
    </w:p>
    <w:p>
      <w:pPr>
        <w:spacing w:before="200" w:after="100"/>
      </w:pPr>
      <w:r>
        <w:rPr>
          <w:b/>
          <w:sz w:val="22"/>
        </w:rPr>
        <w:t>Table 4: Bio-Integration Maturity Model (BIMM) — Levels, Characteristics, and Assessment Criteria</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5"/>
        <w:gridCol w:w="1285"/>
        <w:gridCol w:w="1285"/>
        <w:gridCol w:w="1285"/>
        <w:gridCol w:w="1285"/>
        <w:gridCol w:w="1285"/>
        <w:gridCol w:w="1285"/>
      </w:tblGrid>
      <w:tr>
        <w:tc>
          <w:tcPr>
            <w:tcW w:w="1285" w:type="dxa"/>
          </w:tcPr>
          <w:p>
            <w:r>
              <w:rPr>
                <w:b/>
                <w:sz w:val="18"/>
              </w:rPr>
              <w:t xml:space="preserve">BIMM Level</w:t>
            </w:r>
          </w:p>
        </w:tc>
        <w:tc>
          <w:tcPr>
            <w:tcW w:w="1285" w:type="dxa"/>
          </w:tcPr>
          <w:p>
            <w:r>
              <w:rPr>
                <w:b/>
                <w:sz w:val="18"/>
              </w:rPr>
              <w:t xml:space="preserve">Designation</w:t>
            </w:r>
          </w:p>
        </w:tc>
        <w:tc>
          <w:tcPr>
            <w:tcW w:w="1285" w:type="dxa"/>
          </w:tcPr>
          <w:p>
            <w:r>
              <w:rPr>
                <w:b/>
                <w:sz w:val="18"/>
              </w:rPr>
              <w:t xml:space="preserve">Biological Integration</w:t>
            </w:r>
          </w:p>
        </w:tc>
        <w:tc>
          <w:tcPr>
            <w:tcW w:w="1285" w:type="dxa"/>
          </w:tcPr>
          <w:p>
            <w:r>
              <w:rPr>
                <w:b/>
                <w:sz w:val="18"/>
              </w:rPr>
              <w:t xml:space="preserve">Ecosystem Service Provision</w:t>
            </w:r>
          </w:p>
        </w:tc>
        <w:tc>
          <w:tcPr>
            <w:tcW w:w="1285" w:type="dxa"/>
          </w:tcPr>
          <w:p>
            <w:r>
              <w:rPr>
                <w:b/>
                <w:sz w:val="18"/>
              </w:rPr>
              <w:t xml:space="preserve">Example Technologies/Approaches</w:t>
            </w:r>
          </w:p>
        </w:tc>
        <w:tc>
          <w:tcPr>
            <w:tcW w:w="1285" w:type="dxa"/>
          </w:tcPr>
          <w:p>
            <w:r>
              <w:rPr>
                <w:b/>
                <w:sz w:val="18"/>
              </w:rPr>
              <w:t xml:space="preserve">Assessment Criteria</w:t>
            </w:r>
          </w:p>
        </w:tc>
        <w:tc>
          <w:tcPr>
            <w:tcW w:w="1285" w:type="dxa"/>
          </w:tcPr>
          <w:p>
            <w:r>
              <w:rPr>
                <w:b/>
                <w:sz w:val="18"/>
              </w:rPr>
              <w:t xml:space="preserve">Approximate Cost Premium (%)</w:t>
            </w:r>
          </w:p>
        </w:tc>
      </w:tr>
      <w:tr>
        <w:tc>
          <w:tcPr>
            <w:tcW w:w="1285" w:type="dxa"/>
          </w:tcPr>
          <w:p>
            <w:r>
              <w:rPr>
                <w:sz w:val="18"/>
              </w:rPr>
              <w:t xml:space="preserve">Level 1</w:t>
            </w:r>
          </w:p>
        </w:tc>
        <w:tc>
          <w:tcPr>
            <w:tcW w:w="1285" w:type="dxa"/>
          </w:tcPr>
          <w:p>
            <w:r>
              <w:rPr>
                <w:sz w:val="18"/>
              </w:rPr>
              <w:t xml:space="preserve">Bio-Informed</w:t>
            </w:r>
          </w:p>
        </w:tc>
        <w:tc>
          <w:tcPr>
            <w:tcW w:w="1285" w:type="dxa"/>
          </w:tcPr>
          <w:p>
            <w:r>
              <w:rPr>
                <w:sz w:val="18"/>
              </w:rPr>
              <w:t xml:space="preserve">No living elements; design inspired by biological principles</w:t>
            </w:r>
          </w:p>
        </w:tc>
        <w:tc>
          <w:tcPr>
            <w:tcW w:w="1285" w:type="dxa"/>
          </w:tcPr>
          <w:p>
            <w:r>
              <w:rPr>
                <w:sz w:val="18"/>
              </w:rPr>
              <w:t xml:space="preserve">Indirect only (improved efficiency)</w:t>
            </w:r>
          </w:p>
        </w:tc>
        <w:tc>
          <w:tcPr>
            <w:tcW w:w="1285" w:type="dxa"/>
          </w:tcPr>
          <w:p>
            <w:r>
              <w:rPr>
                <w:sz w:val="18"/>
              </w:rPr>
              <w:t xml:space="preserve">Termite-mound ventilation; bone-topology structures; lotus-effect surfaces</w:t>
            </w:r>
          </w:p>
        </w:tc>
        <w:tc>
          <w:tcPr>
            <w:tcW w:w="1285" w:type="dxa"/>
          </w:tcPr>
          <w:p>
            <w:r>
              <w:rPr>
                <w:sz w:val="18"/>
              </w:rPr>
              <w:t xml:space="preserve">Documented biomimetic design rationale; ≥15% efficiency gain over conventional</w:t>
            </w:r>
          </w:p>
        </w:tc>
        <w:tc>
          <w:tcPr>
            <w:tcW w:w="1285" w:type="dxa"/>
          </w:tcPr>
          <w:p>
            <w:r>
              <w:rPr>
                <w:sz w:val="18"/>
              </w:rPr>
              <w:t xml:space="preserve">0–5%</w:t>
            </w:r>
          </w:p>
        </w:tc>
      </w:tr>
      <w:tr>
        <w:tc>
          <w:tcPr>
            <w:tcW w:w="1285" w:type="dxa"/>
          </w:tcPr>
          <w:p>
            <w:r>
              <w:rPr>
                <w:sz w:val="18"/>
              </w:rPr>
              <w:t xml:space="preserve">Level 2</w:t>
            </w:r>
          </w:p>
        </w:tc>
        <w:tc>
          <w:tcPr>
            <w:tcW w:w="1285" w:type="dxa"/>
          </w:tcPr>
          <w:p>
            <w:r>
              <w:rPr>
                <w:sz w:val="18"/>
              </w:rPr>
              <w:t xml:space="preserve">Bio-Inclusive</w:t>
            </w:r>
          </w:p>
        </w:tc>
        <w:tc>
          <w:tcPr>
            <w:tcW w:w="1285" w:type="dxa"/>
          </w:tcPr>
          <w:p>
            <w:r>
              <w:rPr>
                <w:sz w:val="18"/>
              </w:rPr>
              <w:t xml:space="preserve">Living systems as adjunct/separable additions</w:t>
            </w:r>
          </w:p>
        </w:tc>
        <w:tc>
          <w:tcPr>
            <w:tcW w:w="1285" w:type="dxa"/>
          </w:tcPr>
          <w:p>
            <w:r>
              <w:rPr>
                <w:sz w:val="18"/>
              </w:rPr>
              <w:t xml:space="preserve">Low–Moderate (localized services)</w:t>
            </w:r>
          </w:p>
        </w:tc>
        <w:tc>
          <w:tcPr>
            <w:tcW w:w="1285" w:type="dxa"/>
          </w:tcPr>
          <w:p>
            <w:r>
              <w:rPr>
                <w:sz w:val="18"/>
              </w:rPr>
              <w:t xml:space="preserve">Green roofs; living walls; constructed wetlands; landscaped bioswales</w:t>
            </w:r>
          </w:p>
        </w:tc>
        <w:tc>
          <w:tcPr>
            <w:tcW w:w="1285" w:type="dxa"/>
          </w:tcPr>
          <w:p>
            <w:r>
              <w:rPr>
                <w:sz w:val="18"/>
              </w:rPr>
              <w:t xml:space="preserve">≥3 ecosystem services quantified; biological elements removable without structural impact</w:t>
            </w:r>
          </w:p>
        </w:tc>
        <w:tc>
          <w:tcPr>
            <w:tcW w:w="1285" w:type="dxa"/>
          </w:tcPr>
          <w:p>
            <w:r>
              <w:rPr>
                <w:sz w:val="18"/>
              </w:rPr>
              <w:t xml:space="preserve">5–12%</w:t>
            </w:r>
          </w:p>
        </w:tc>
      </w:tr>
      <w:tr>
        <w:tc>
          <w:tcPr>
            <w:tcW w:w="1285" w:type="dxa"/>
          </w:tcPr>
          <w:p>
            <w:r>
              <w:rPr>
                <w:sz w:val="18"/>
              </w:rPr>
              <w:t xml:space="preserve">Level 3</w:t>
            </w:r>
          </w:p>
        </w:tc>
        <w:tc>
          <w:tcPr>
            <w:tcW w:w="1285" w:type="dxa"/>
          </w:tcPr>
          <w:p>
            <w:r>
              <w:rPr>
                <w:sz w:val="18"/>
              </w:rPr>
              <w:t xml:space="preserve">Bio-Functional</w:t>
            </w:r>
          </w:p>
        </w:tc>
        <w:tc>
          <w:tcPr>
            <w:tcW w:w="1285" w:type="dxa"/>
          </w:tcPr>
          <w:p>
            <w:r>
              <w:rPr>
                <w:sz w:val="18"/>
              </w:rPr>
              <w:t xml:space="preserve">Living systems perform specific building functions</w:t>
            </w:r>
          </w:p>
        </w:tc>
        <w:tc>
          <w:tcPr>
            <w:tcW w:w="1285" w:type="dxa"/>
          </w:tcPr>
          <w:p>
            <w:r>
              <w:rPr>
                <w:sz w:val="18"/>
              </w:rPr>
              <w:t xml:space="preserve">Moderate (targeted services)</w:t>
            </w:r>
          </w:p>
        </w:tc>
        <w:tc>
          <w:tcPr>
            <w:tcW w:w="1285" w:type="dxa"/>
          </w:tcPr>
          <w:p>
            <w:r>
              <w:rPr>
                <w:sz w:val="18"/>
              </w:rPr>
              <w:t xml:space="preserve">Algae bioreactor facades; bio-filtration systems; productive green roofs; microbial fuel cells</w:t>
            </w:r>
          </w:p>
        </w:tc>
        <w:tc>
          <w:tcPr>
            <w:tcW w:w="1285" w:type="dxa"/>
          </w:tcPr>
          <w:p>
            <w:r>
              <w:rPr>
                <w:sz w:val="18"/>
              </w:rPr>
              <w:t xml:space="preserve">≥5 ecosystem services; biological function integrated into building services design</w:t>
            </w:r>
          </w:p>
        </w:tc>
        <w:tc>
          <w:tcPr>
            <w:tcW w:w="1285" w:type="dxa"/>
          </w:tcPr>
          <w:p>
            <w:r>
              <w:rPr>
                <w:sz w:val="18"/>
              </w:rPr>
              <w:t xml:space="preserve">10–18%</w:t>
            </w:r>
          </w:p>
        </w:tc>
      </w:tr>
      <w:tr>
        <w:tc>
          <w:tcPr>
            <w:tcW w:w="1285" w:type="dxa"/>
          </w:tcPr>
          <w:p>
            <w:r>
              <w:rPr>
                <w:sz w:val="18"/>
              </w:rPr>
              <w:t xml:space="preserve">Level 4</w:t>
            </w:r>
          </w:p>
        </w:tc>
        <w:tc>
          <w:tcPr>
            <w:tcW w:w="1285" w:type="dxa"/>
          </w:tcPr>
          <w:p>
            <w:r>
              <w:rPr>
                <w:sz w:val="18"/>
              </w:rPr>
              <w:t xml:space="preserve">Bio-Structural</w:t>
            </w:r>
          </w:p>
        </w:tc>
        <w:tc>
          <w:tcPr>
            <w:tcW w:w="1285" w:type="dxa"/>
          </w:tcPr>
          <w:p>
            <w:r>
              <w:rPr>
                <w:sz w:val="18"/>
              </w:rPr>
              <w:t xml:space="preserve">Living organisms as structural/envelope elements</w:t>
            </w:r>
          </w:p>
        </w:tc>
        <w:tc>
          <w:tcPr>
            <w:tcW w:w="1285" w:type="dxa"/>
          </w:tcPr>
          <w:p>
            <w:r>
              <w:rPr>
                <w:sz w:val="18"/>
              </w:rPr>
              <w:t xml:space="preserve">High (multiple integrated services)</w:t>
            </w:r>
          </w:p>
        </w:tc>
        <w:tc>
          <w:tcPr>
            <w:tcW w:w="1285" w:type="dxa"/>
          </w:tcPr>
          <w:p>
            <w:r>
              <w:rPr>
                <w:sz w:val="18"/>
              </w:rPr>
              <w:t xml:space="preserve">Mycelium composites; living root structures; bio-calcite concrete; cryptogamic envelopes</w:t>
            </w:r>
          </w:p>
        </w:tc>
        <w:tc>
          <w:tcPr>
            <w:tcW w:w="1285" w:type="dxa"/>
          </w:tcPr>
          <w:p>
            <w:r>
              <w:rPr>
                <w:sz w:val="18"/>
              </w:rPr>
              <w:t xml:space="preserve">≥7 ecosystem services; biological viability essential for building function</w:t>
            </w:r>
          </w:p>
        </w:tc>
        <w:tc>
          <w:tcPr>
            <w:tcW w:w="1285" w:type="dxa"/>
          </w:tcPr>
          <w:p>
            <w:r>
              <w:rPr>
                <w:sz w:val="18"/>
              </w:rPr>
              <w:t xml:space="preserve">15–25%</w:t>
            </w:r>
          </w:p>
        </w:tc>
      </w:tr>
      <w:tr>
        <w:tc>
          <w:tcPr>
            <w:tcW w:w="1285" w:type="dxa"/>
          </w:tcPr>
          <w:p>
            <w:r>
              <w:rPr>
                <w:sz w:val="18"/>
              </w:rPr>
              <w:t xml:space="preserve">Level 5</w:t>
            </w:r>
          </w:p>
        </w:tc>
        <w:tc>
          <w:tcPr>
            <w:tcW w:w="1285" w:type="dxa"/>
          </w:tcPr>
          <w:p>
            <w:r>
              <w:rPr>
                <w:sz w:val="18"/>
              </w:rPr>
              <w:t xml:space="preserve">Bio-Reciprocal</w:t>
            </w:r>
          </w:p>
        </w:tc>
        <w:tc>
          <w:tcPr>
            <w:tcW w:w="1285" w:type="dxa"/>
          </w:tcPr>
          <w:p>
            <w:r>
              <w:rPr>
                <w:sz w:val="18"/>
              </w:rPr>
              <w:t xml:space="preserve">Full building-ecosystem integration; mutual exchange</w:t>
            </w:r>
          </w:p>
        </w:tc>
        <w:tc>
          <w:tcPr>
            <w:tcW w:w="1285" w:type="dxa"/>
          </w:tcPr>
          <w:p>
            <w:r>
              <w:rPr>
                <w:sz w:val="18"/>
              </w:rPr>
              <w:t xml:space="preserve">Very High (ecosystem-scale regeneration)</w:t>
            </w:r>
          </w:p>
        </w:tc>
        <w:tc>
          <w:tcPr>
            <w:tcW w:w="1285" w:type="dxa"/>
          </w:tcPr>
          <w:p>
            <w:r>
              <w:rPr>
                <w:sz w:val="18"/>
              </w:rPr>
              <w:t xml:space="preserve">Reef-integrated structures; forest-coupled buildings; watershed-integrated infrastructure</w:t>
            </w:r>
          </w:p>
        </w:tc>
        <w:tc>
          <w:tcPr>
            <w:tcW w:w="1285" w:type="dxa"/>
          </w:tcPr>
          <w:p>
            <w:r>
              <w:rPr>
                <w:sz w:val="18"/>
              </w:rPr>
              <w:t xml:space="preserve">Net positive ecosystem contribution demonstrated; building and ecosystem inseparable</w:t>
            </w:r>
          </w:p>
        </w:tc>
        <w:tc>
          <w:tcPr>
            <w:tcW w:w="1285" w:type="dxa"/>
          </w:tcPr>
          <w:p>
            <w:r>
              <w:rPr>
                <w:sz w:val="18"/>
              </w:rPr>
              <w:t xml:space="preserve">20–35%</w:t>
            </w:r>
          </w:p>
        </w:tc>
      </w:tr>
    </w:tbl>
    <w:p>
      <w:pPr>
        <w:spacing w:after="200"/>
      </w:pPr>
    </w:p>
    <w:p>
      <w:pPr>
        <w:spacing w:after="120"/>
        <w:jc w:val="both"/>
      </w:pPr>
      <w:r>
        <w:rPr>
          <w:sz w:val="22"/>
        </w:rPr>
        <w:t xml:space="preserve">As presented above, each level represents increasing complexity in the design and management, increasing contribution to ecological function, and deeper integration of biological processes into architectural performance. The three case studies presented in this chapter all operate at Level 4 (Bio-Structural), with the Maldives project approaching Level 5 (Bio-Reciprocal) due to the full integration of the structure with the surrounding reef ecosystem.</w:t>
      </w:r>
    </w:p>
    <w:p>
      <w:pPr>
        <w:spacing w:after="120"/>
        <w:jc w:val="both"/>
      </w:pPr>
      <w:r>
        <w:rPr>
          <w:sz w:val="22"/>
        </w:rPr>
        <w:t xml:space="preserve">The BIMM provides benchmarking and opportunities to establishing an aspiration target and pinpointing specific interventions needed to progress in improving the maturity continuum. Practitioners can identify their current level of bio-integration, understand what capabilities and investments are needed to advance to the next level, and set realistic timelines for progression. The assessment criteria are designed to be measurable and auditable, addressing the criticism that regenerative design lacks quantifiable metrics [16].</w:t>
      </w:r>
    </w:p>
    <w:p>
      <w:pPr>
        <w:spacing w:before="200" w:after="100"/>
      </w:pPr>
      <w:r>
        <w:rPr>
          <w:b/>
          <w:sz w:val="22"/>
        </w:rPr>
        <w:t>Figure 4: Bio-Integration Maturity Model (BIMM) — Progression Pathway and Case Study Positioning</w:t>
      </w:r>
    </w:p>
    <w:p>
      <w:pPr>
        <w:pStyle w:val="CodeBlock"/>
      </w:pPr>
      <w:r>
        <w:rPr>
          <w:rFonts w:ascii="Courier New" w:hAnsi="Courier New"/>
          <w:sz w:val="18"/>
        </w:rPr>
        <w:t xml:space="preserve">    BIO-INTEGRATION MATURITY CONTINUUM</w:t>
      </w:r>
    </w:p>
    <w:p>
      <w:pPr>
        <w:pStyle w:val="CodeBlock"/>
      </w:pPr>
      <w:r>
        <w:rPr>
          <w:rFonts w:ascii="Courier New" w:hAnsi="Courier New"/>
          <w:sz w:val="18"/>
        </w:rPr>
        <w:t xml:space="preserve">    ═══════════════════════════════════════════════════════════════════════════</w:t>
      </w:r>
    </w:p>
    <w:p>
      <w:pPr>
        <w:pStyle w:val="CodeBlock"/>
      </w:pPr>
      <w:r>
        <w:rPr>
          <w:rFonts w:ascii="Courier New" w:hAnsi="Courier New"/>
          <w:sz w:val="18"/>
        </w:rPr>
        <w:t xml:space="preserve"/>
      </w:r>
    </w:p>
    <w:p>
      <w:pPr>
        <w:pStyle w:val="CodeBlock"/>
      </w:pPr>
      <w:r>
        <w:rPr>
          <w:rFonts w:ascii="Courier New" w:hAnsi="Courier New"/>
          <w:sz w:val="18"/>
        </w:rPr>
        <w:t xml:space="preserve">              ECOLOGICAL CONTRIBUTION</w:t>
      </w:r>
    </w:p>
    <w:p>
      <w:pPr>
        <w:pStyle w:val="CodeBlock"/>
      </w:pPr>
      <w:r>
        <w:rPr>
          <w:rFonts w:ascii="Courier New" w:hAnsi="Courier New"/>
          <w:sz w:val="18"/>
        </w:rPr>
        <w:t xml:space="preserve">              ────────────────────────────────────────────────────────────►</w:t>
      </w:r>
    </w:p>
    <w:p>
      <w:pPr>
        <w:pStyle w:val="CodeBlock"/>
      </w:pPr>
      <w:r>
        <w:rPr>
          <w:rFonts w:ascii="Courier New" w:hAnsi="Courier New"/>
          <w:sz w:val="18"/>
        </w:rPr>
        <w:t xml:space="preserve">              Indirect        Low-Moderate     Moderate      High      Very High</w:t>
      </w:r>
    </w:p>
    <w:p>
      <w:pPr>
        <w:pStyle w:val="CodeBlock"/>
      </w:pPr>
      <w:r>
        <w:rPr>
          <w:rFonts w:ascii="Courier New" w:hAnsi="Courier New"/>
          <w:sz w:val="18"/>
        </w:rPr>
        <w:t xml:space="preserve">              (efficiency     (localized       (targeted     (multiple  (ecosystem-</w:t>
      </w:r>
    </w:p>
    <w:p>
      <w:pPr>
        <w:pStyle w:val="CodeBlock"/>
      </w:pPr>
      <w:r>
        <w:rPr>
          <w:rFonts w:ascii="Courier New" w:hAnsi="Courier New"/>
          <w:sz w:val="18"/>
        </w:rPr>
        <w:t xml:space="preserve">               gains only)     services)        services)    services)   scale)</w:t>
      </w:r>
    </w:p>
    <w:p>
      <w:pPr>
        <w:pStyle w:val="CodeBlock"/>
      </w:pPr>
      <w:r>
        <w:rPr>
          <w:rFonts w:ascii="Courier New" w:hAnsi="Courier New"/>
          <w:sz w:val="18"/>
        </w:rPr>
        <w:t xml:space="preserve"/>
      </w:r>
    </w:p>
    <w:p>
      <w:pPr>
        <w:pStyle w:val="CodeBlock"/>
      </w:pPr>
      <w:r>
        <w:rPr>
          <w:rFonts w:ascii="Courier New" w:hAnsi="Courier New"/>
          <w:sz w:val="18"/>
        </w:rPr>
        <w:t xml:space="preserve">    LEVEL 5 ─ ─ ─ ─ ─ ─ ─ ─ ─ ─ ─ ─ ─ ─ ─ ─ ─ ─ ─ ─ ─ ─ ─ ─ ─ ─ ╔═══════════╗</w:t>
      </w:r>
    </w:p>
    <w:p>
      <w:pPr>
        <w:pStyle w:val="CodeBlock"/>
      </w:pPr>
      <w:r>
        <w:rPr>
          <w:rFonts w:ascii="Courier New" w:hAnsi="Courier New"/>
          <w:sz w:val="18"/>
        </w:rPr>
        <w:t xml:space="preserve">    BIO-RECIPROCAL                                                     ║ MALDIVES  ║</w:t>
      </w:r>
    </w:p>
    <w:p>
      <w:pPr>
        <w:pStyle w:val="CodeBlock"/>
      </w:pPr>
      <w:r>
        <w:rPr>
          <w:rFonts w:ascii="Courier New" w:hAnsi="Courier New"/>
          <w:sz w:val="18"/>
        </w:rPr>
        <w:t xml:space="preserve">    Full ecosystem integration; mutual exchange                        ║ (approach-║</w:t>
      </w:r>
    </w:p>
    <w:p>
      <w:pPr>
        <w:pStyle w:val="CodeBlock"/>
      </w:pPr>
      <w:r>
        <w:rPr>
          <w:rFonts w:ascii="Courier New" w:hAnsi="Courier New"/>
          <w:sz w:val="18"/>
        </w:rPr>
        <w:t xml:space="preserve">    Building + Ecosystem = Inseparable coupled system                   ║  ing L5)  ║</w:t>
      </w:r>
    </w:p>
    <w:p>
      <w:pPr>
        <w:pStyle w:val="CodeBlock"/>
      </w:pPr>
      <w:r>
        <w:rPr>
          <w:rFonts w:ascii="Courier New" w:hAnsi="Courier New"/>
          <w:sz w:val="18"/>
        </w:rPr>
        <w:t xml:space="preserve">    Cost premium: +20-35% | Net positive contribution                  ╚═══════════╝</w:t>
      </w:r>
    </w:p>
    <w:p>
      <w:pPr>
        <w:pStyle w:val="CodeBlock"/>
      </w:pPr>
      <w:r>
        <w:rPr>
          <w:rFonts w:ascii="Courier New" w:hAnsi="Courier New"/>
          <w:sz w:val="18"/>
        </w:rPr>
        <w:t xml:space="preserve">              │</w:t>
      </w:r>
    </w:p>
    <w:p>
      <w:pPr>
        <w:pStyle w:val="CodeBlock"/>
      </w:pPr>
      <w:r>
        <w:rPr>
          <w:rFonts w:ascii="Courier New" w:hAnsi="Courier New"/>
          <w:sz w:val="18"/>
        </w:rPr>
        <w:t xml:space="preserve">              │  ← Transition requires: Full lifecycle ecosystem coupling,</w:t>
      </w:r>
    </w:p>
    <w:p>
      <w:pPr>
        <w:pStyle w:val="CodeBlock"/>
      </w:pPr>
      <w:r>
        <w:rPr>
          <w:rFonts w:ascii="Courier New" w:hAnsi="Courier New"/>
          <w:sz w:val="18"/>
        </w:rPr>
        <w:t xml:space="preserve">              │     demonstrated net positive contribution, mutual benefit</w:t>
      </w:r>
    </w:p>
    <w:p>
      <w:pPr>
        <w:pStyle w:val="CodeBlock"/>
      </w:pPr>
      <w:r>
        <w:rPr>
          <w:rFonts w:ascii="Courier New" w:hAnsi="Courier New"/>
          <w:sz w:val="18"/>
        </w:rPr>
        <w:t xml:space="preserve">              │</w:t>
      </w:r>
    </w:p>
    <w:p>
      <w:pPr>
        <w:pStyle w:val="CodeBlock"/>
      </w:pPr>
      <w:r>
        <w:rPr>
          <w:rFonts w:ascii="Courier New" w:hAnsi="Courier New"/>
          <w:sz w:val="18"/>
        </w:rPr>
        <w:t xml:space="preserve">    LEVEL 4 ─ ─ ─ ─ ─ ─ ─ ─ ─ ─ ─ ─ ─ ─ ─ ─ ─ ╔══════════════════════════════╗</w:t>
      </w:r>
    </w:p>
    <w:p>
      <w:pPr>
        <w:pStyle w:val="CodeBlock"/>
      </w:pPr>
      <w:r>
        <w:rPr>
          <w:rFonts w:ascii="Courier New" w:hAnsi="Courier New"/>
          <w:sz w:val="18"/>
        </w:rPr>
        <w:t xml:space="preserve">    BIO-STRUCTURAL                                  ║  ★ COSTA RICA (Mycelium)    ║</w:t>
      </w:r>
    </w:p>
    <w:p>
      <w:pPr>
        <w:pStyle w:val="CodeBlock"/>
      </w:pPr>
      <w:r>
        <w:rPr>
          <w:rFonts w:ascii="Courier New" w:hAnsi="Courier New"/>
          <w:sz w:val="18"/>
        </w:rPr>
        <w:t xml:space="preserve">    Living organisms as structural/envelope          ║  ★ MALDIVES (Reef Pavilion) ║</w:t>
      </w:r>
    </w:p>
    <w:p>
      <w:pPr>
        <w:pStyle w:val="CodeBlock"/>
      </w:pPr>
      <w:r>
        <w:rPr>
          <w:rFonts w:ascii="Courier New" w:hAnsi="Courier New"/>
          <w:sz w:val="18"/>
        </w:rPr>
        <w:t xml:space="preserve">    elements; biological viability = function        ║  ★ AUSTRALIA (Living Skin)  ║</w:t>
      </w:r>
    </w:p>
    <w:p>
      <w:pPr>
        <w:pStyle w:val="CodeBlock"/>
      </w:pPr>
      <w:r>
        <w:rPr>
          <w:rFonts w:ascii="Courier New" w:hAnsi="Courier New"/>
          <w:sz w:val="18"/>
        </w:rPr>
        <w:t xml:space="preserve">    Cost premium: +15-25% | ≥7 ecosystem services   ╚══════════════════════════════╝</w:t>
      </w:r>
    </w:p>
    <w:p>
      <w:pPr>
        <w:pStyle w:val="CodeBlock"/>
      </w:pPr>
      <w:r>
        <w:rPr>
          <w:rFonts w:ascii="Courier New" w:hAnsi="Courier New"/>
          <w:sz w:val="18"/>
        </w:rPr>
        <w:t xml:space="preserve">              │</w:t>
      </w:r>
    </w:p>
    <w:p>
      <w:pPr>
        <w:pStyle w:val="CodeBlock"/>
      </w:pPr>
      <w:r>
        <w:rPr>
          <w:rFonts w:ascii="Courier New" w:hAnsi="Courier New"/>
          <w:sz w:val="18"/>
        </w:rPr>
        <w:t xml:space="preserve">              │  ← Transition requires: Biological viability essential for</w:t>
      </w:r>
    </w:p>
    <w:p>
      <w:pPr>
        <w:pStyle w:val="CodeBlock"/>
      </w:pPr>
      <w:r>
        <w:rPr>
          <w:rFonts w:ascii="Courier New" w:hAnsi="Courier New"/>
          <w:sz w:val="18"/>
        </w:rPr>
        <w:t xml:space="preserve">              │     building function; ≥7 quantified ecosystem services</w:t>
      </w:r>
    </w:p>
    <w:p>
      <w:pPr>
        <w:pStyle w:val="CodeBlock"/>
      </w:pPr>
      <w:r>
        <w:rPr>
          <w:rFonts w:ascii="Courier New" w:hAnsi="Courier New"/>
          <w:sz w:val="18"/>
        </w:rPr>
        <w:t xml:space="preserve">              │</w:t>
      </w:r>
    </w:p>
    <w:p>
      <w:pPr>
        <w:pStyle w:val="CodeBlock"/>
      </w:pPr>
      <w:r>
        <w:rPr>
          <w:rFonts w:ascii="Courier New" w:hAnsi="Courier New"/>
          <w:sz w:val="18"/>
        </w:rPr>
        <w:t xml:space="preserve">    LEVEL 3 ─ ─ ─ ─ ─ ─ ─ ─ ─ ─ ─ ─ ─ ─ ─ ─ ─ ─ ─ ─ ─ ─ ─ ─ ─ ─ ─ ─ ─ ─ ─</w:t>
      </w:r>
    </w:p>
    <w:p>
      <w:pPr>
        <w:pStyle w:val="CodeBlock"/>
      </w:pPr>
      <w:r>
        <w:rPr>
          <w:rFonts w:ascii="Courier New" w:hAnsi="Courier New"/>
          <w:sz w:val="18"/>
        </w:rPr>
        <w:t xml:space="preserve">    BIO-FUNCTIONAL</w:t>
      </w:r>
    </w:p>
    <w:p>
      <w:pPr>
        <w:pStyle w:val="CodeBlock"/>
      </w:pPr>
      <w:r>
        <w:rPr>
          <w:rFonts w:ascii="Courier New" w:hAnsi="Courier New"/>
          <w:sz w:val="18"/>
        </w:rPr>
        <w:t xml:space="preserve">    Living systems perform specific functions (air purification,</w:t>
      </w:r>
    </w:p>
    <w:p>
      <w:pPr>
        <w:pStyle w:val="CodeBlock"/>
      </w:pPr>
      <w:r>
        <w:rPr>
          <w:rFonts w:ascii="Courier New" w:hAnsi="Courier New"/>
          <w:sz w:val="18"/>
        </w:rPr>
        <w:t xml:space="preserve">    water treatment, food production); managed closed systems</w:t>
      </w:r>
    </w:p>
    <w:p>
      <w:pPr>
        <w:pStyle w:val="CodeBlock"/>
      </w:pPr>
      <w:r>
        <w:rPr>
          <w:rFonts w:ascii="Courier New" w:hAnsi="Courier New"/>
          <w:sz w:val="18"/>
        </w:rPr>
        <w:t xml:space="preserve">    Cost premium: +10-18% | ≥5 ecosystem services</w:t>
      </w:r>
    </w:p>
    <w:p>
      <w:pPr>
        <w:pStyle w:val="CodeBlock"/>
      </w:pPr>
      <w:r>
        <w:rPr>
          <w:rFonts w:ascii="Courier New" w:hAnsi="Courier New"/>
          <w:sz w:val="18"/>
        </w:rPr>
        <w:t xml:space="preserve">    Examples: Algae bioreactor facades, bio-filtration, microbial fuel cells</w:t>
      </w:r>
    </w:p>
    <w:p>
      <w:pPr>
        <w:pStyle w:val="CodeBlock"/>
      </w:pPr>
      <w:r>
        <w:rPr>
          <w:rFonts w:ascii="Courier New" w:hAnsi="Courier New"/>
          <w:sz w:val="18"/>
        </w:rPr>
        <w:t xml:space="preserve">              │</w:t>
      </w:r>
    </w:p>
    <w:p>
      <w:pPr>
        <w:pStyle w:val="CodeBlock"/>
      </w:pPr>
      <w:r>
        <w:rPr>
          <w:rFonts w:ascii="Courier New" w:hAnsi="Courier New"/>
          <w:sz w:val="18"/>
        </w:rPr>
        <w:t xml:space="preserve">              │  ← Transition requires: Biological function integrated into</w:t>
      </w:r>
    </w:p>
    <w:p>
      <w:pPr>
        <w:pStyle w:val="CodeBlock"/>
      </w:pPr>
      <w:r>
        <w:rPr>
          <w:rFonts w:ascii="Courier New" w:hAnsi="Courier New"/>
          <w:sz w:val="18"/>
        </w:rPr>
        <w:t xml:space="preserve">              │     building services; ≥5 quantified ecosystem services</w:t>
      </w:r>
    </w:p>
    <w:p>
      <w:pPr>
        <w:pStyle w:val="CodeBlock"/>
      </w:pPr>
      <w:r>
        <w:rPr>
          <w:rFonts w:ascii="Courier New" w:hAnsi="Courier New"/>
          <w:sz w:val="18"/>
        </w:rPr>
        <w:t xml:space="preserve">              │</w:t>
      </w:r>
    </w:p>
    <w:p>
      <w:pPr>
        <w:pStyle w:val="CodeBlock"/>
      </w:pPr>
      <w:r>
        <w:rPr>
          <w:rFonts w:ascii="Courier New" w:hAnsi="Courier New"/>
          <w:sz w:val="18"/>
        </w:rPr>
        <w:t xml:space="preserve">    LEVEL 2 ─ ─ ─ ─ ─ ─ ─ ─ ─ ─ ─ ─ ─ ─ ─ ─ ─ ─ ─ ─ ─ ─ ─ ─ ─ ─ ─ ─ ─ ─ ─</w:t>
      </w:r>
    </w:p>
    <w:p>
      <w:pPr>
        <w:pStyle w:val="CodeBlock"/>
      </w:pPr>
      <w:r>
        <w:rPr>
          <w:rFonts w:ascii="Courier New" w:hAnsi="Courier New"/>
          <w:sz w:val="18"/>
        </w:rPr>
        <w:t xml:space="preserve">    BIO-INCLUSIVE</w:t>
      </w:r>
    </w:p>
    <w:p>
      <w:pPr>
        <w:pStyle w:val="CodeBlock"/>
      </w:pPr>
      <w:r>
        <w:rPr>
          <w:rFonts w:ascii="Courier New" w:hAnsi="Courier New"/>
          <w:sz w:val="18"/>
        </w:rPr>
        <w:t xml:space="preserve">    Living systems as adjunct/separable additions; removable</w:t>
      </w:r>
    </w:p>
    <w:p>
      <w:pPr>
        <w:pStyle w:val="CodeBlock"/>
      </w:pPr>
      <w:r>
        <w:rPr>
          <w:rFonts w:ascii="Courier New" w:hAnsi="Courier New"/>
          <w:sz w:val="18"/>
        </w:rPr>
        <w:t xml:space="preserve">    without structural impact</w:t>
      </w:r>
    </w:p>
    <w:p>
      <w:pPr>
        <w:pStyle w:val="CodeBlock"/>
      </w:pPr>
      <w:r>
        <w:rPr>
          <w:rFonts w:ascii="Courier New" w:hAnsi="Courier New"/>
          <w:sz w:val="18"/>
        </w:rPr>
        <w:t xml:space="preserve">    Cost premium: +5-12% | ≥3 ecosystem services</w:t>
      </w:r>
    </w:p>
    <w:p>
      <w:pPr>
        <w:pStyle w:val="CodeBlock"/>
      </w:pPr>
      <w:r>
        <w:rPr>
          <w:rFonts w:ascii="Courier New" w:hAnsi="Courier New"/>
          <w:sz w:val="18"/>
        </w:rPr>
        <w:t xml:space="preserve">    Examples: Green roofs, living walls, constructed wetlands</w:t>
      </w:r>
    </w:p>
    <w:p>
      <w:pPr>
        <w:pStyle w:val="CodeBlock"/>
      </w:pPr>
      <w:r>
        <w:rPr>
          <w:rFonts w:ascii="Courier New" w:hAnsi="Courier New"/>
          <w:sz w:val="18"/>
        </w:rPr>
        <w:t xml:space="preserve">              │</w:t>
      </w:r>
    </w:p>
    <w:p>
      <w:pPr>
        <w:pStyle w:val="CodeBlock"/>
      </w:pPr>
      <w:r>
        <w:rPr>
          <w:rFonts w:ascii="Courier New" w:hAnsi="Courier New"/>
          <w:sz w:val="18"/>
        </w:rPr>
        <w:t xml:space="preserve">              │  ← Transition requires: Living biological elements present;</w:t>
      </w:r>
    </w:p>
    <w:p>
      <w:pPr>
        <w:pStyle w:val="CodeBlock"/>
      </w:pPr>
      <w:r>
        <w:rPr>
          <w:rFonts w:ascii="Courier New" w:hAnsi="Courier New"/>
          <w:sz w:val="18"/>
        </w:rPr>
        <w:t xml:space="preserve">              │     ≥3 quantified ecosystem services documented</w:t>
      </w:r>
    </w:p>
    <w:p>
      <w:pPr>
        <w:pStyle w:val="CodeBlock"/>
      </w:pPr>
      <w:r>
        <w:rPr>
          <w:rFonts w:ascii="Courier New" w:hAnsi="Courier New"/>
          <w:sz w:val="18"/>
        </w:rPr>
        <w:t xml:space="preserve">              │</w:t>
      </w:r>
    </w:p>
    <w:p>
      <w:pPr>
        <w:pStyle w:val="CodeBlock"/>
      </w:pPr>
      <w:r>
        <w:rPr>
          <w:rFonts w:ascii="Courier New" w:hAnsi="Courier New"/>
          <w:sz w:val="18"/>
        </w:rPr>
        <w:t xml:space="preserve">    LEVEL 1 ─ ─ ─ ─ ─ ─ ─ ─ ─ ─ ─ ─ ─ ─ ─ ─ ─ ─ ─ ─ ─ ─ ─ ─ ─ ─ ─ ─ ─ ─ ─</w:t>
      </w:r>
    </w:p>
    <w:p>
      <w:pPr>
        <w:pStyle w:val="CodeBlock"/>
      </w:pPr>
      <w:r>
        <w:rPr>
          <w:rFonts w:ascii="Courier New" w:hAnsi="Courier New"/>
          <w:sz w:val="18"/>
        </w:rPr>
        <w:t xml:space="preserve">    BIO-INFORMED</w:t>
      </w:r>
    </w:p>
    <w:p>
      <w:pPr>
        <w:pStyle w:val="CodeBlock"/>
      </w:pPr>
      <w:r>
        <w:rPr>
          <w:rFonts w:ascii="Courier New" w:hAnsi="Courier New"/>
          <w:sz w:val="18"/>
        </w:rPr>
        <w:t xml:space="preserve">    No living elements; design inspired by biological principles</w:t>
      </w:r>
    </w:p>
    <w:p>
      <w:pPr>
        <w:pStyle w:val="CodeBlock"/>
      </w:pPr>
      <w:r>
        <w:rPr>
          <w:rFonts w:ascii="Courier New" w:hAnsi="Courier New"/>
          <w:sz w:val="18"/>
        </w:rPr>
        <w:t xml:space="preserve">    Cost premium: +0-5% | Indirect ecosystem benefits only</w:t>
      </w:r>
    </w:p>
    <w:p>
      <w:pPr>
        <w:pStyle w:val="CodeBlock"/>
      </w:pPr>
      <w:r>
        <w:rPr>
          <w:rFonts w:ascii="Courier New" w:hAnsi="Courier New"/>
          <w:sz w:val="18"/>
        </w:rPr>
        <w:t xml:space="preserve">    Examples: Termite-mound ventilation, bone-topology optimization</w:t>
      </w:r>
    </w:p>
    <w:p>
      <w:pPr>
        <w:pStyle w:val="CodeBlock"/>
      </w:pPr>
      <w:r>
        <w:rPr>
          <w:rFonts w:ascii="Courier New" w:hAnsi="Courier New"/>
          <w:sz w:val="18"/>
        </w:rPr>
        <w:t xml:space="preserve"/>
      </w:r>
    </w:p>
    <w:p>
      <w:pPr>
        <w:pStyle w:val="CodeBlock"/>
      </w:pPr>
      <w:r>
        <w:rPr>
          <w:rFonts w:ascii="Courier New" w:hAnsi="Courier New"/>
          <w:sz w:val="18"/>
        </w:rPr>
        <w:t xml:space="preserve">    ═══════════════════════════════════════════════════════════════════════════</w:t>
      </w:r>
    </w:p>
    <w:p>
      <w:pPr>
        <w:pStyle w:val="CodeBlock"/>
      </w:pPr>
      <w:r>
        <w:rPr>
          <w:rFonts w:ascii="Courier New" w:hAnsi="Courier New"/>
          <w:sz w:val="18"/>
        </w:rPr>
        <w:t xml:space="preserve">    DESIGN        │  COMPLEXITY   │  BIOLOGICAL   │  MANAGEMENT    │ PAYBACK</w:t>
      </w:r>
    </w:p>
    <w:p>
      <w:pPr>
        <w:pStyle w:val="CodeBlock"/>
      </w:pPr>
      <w:r>
        <w:rPr>
          <w:rFonts w:ascii="Courier New" w:hAnsi="Courier New"/>
          <w:sz w:val="18"/>
        </w:rPr>
        <w:t xml:space="preserve">    INTELLIGENCE  │  &amp; COST       │  INTEGRATION  │  REQUIREMENT   │ PERIOD</w:t>
      </w:r>
    </w:p>
    <w:p>
      <w:pPr>
        <w:pStyle w:val="CodeBlock"/>
      </w:pPr>
      <w:r>
        <w:rPr>
          <w:rFonts w:ascii="Courier New" w:hAnsi="Courier New"/>
          <w:sz w:val="18"/>
        </w:rPr>
        <w:t xml:space="preserve">    ──────────────┼───────────────┼───────────────┼────────────────┼─────────</w:t>
      </w:r>
    </w:p>
    <w:p>
      <w:pPr>
        <w:pStyle w:val="CodeBlock"/>
      </w:pPr>
      <w:r>
        <w:rPr>
          <w:rFonts w:ascii="Courier New" w:hAnsi="Courier New"/>
          <w:sz w:val="18"/>
        </w:rPr>
        <w:t xml:space="preserve">    Increasing ▲  │ Increasing ▲  │ Increasing ▲  │ Increasing ▲   │ 3.7-5.2</w:t>
      </w:r>
    </w:p>
    <w:p>
      <w:pPr>
        <w:pStyle w:val="CodeBlock"/>
      </w:pPr>
      <w:r>
        <w:rPr>
          <w:rFonts w:ascii="Courier New" w:hAnsi="Courier New"/>
          <w:sz w:val="18"/>
        </w:rPr>
        <w:t xml:space="preserve">                  │               │               │  (then         │ years</w:t>
      </w:r>
    </w:p>
    <w:p>
      <w:pPr>
        <w:pStyle w:val="CodeBlock"/>
      </w:pPr>
      <w:r>
        <w:rPr>
          <w:rFonts w:ascii="Courier New" w:hAnsi="Courier New"/>
          <w:sz w:val="18"/>
        </w:rPr>
        <w:t xml:space="preserve">                  │               │               │   decreasing   │ (at L4)</w:t>
      </w:r>
    </w:p>
    <w:p>
      <w:pPr>
        <w:pStyle w:val="CodeBlock"/>
      </w:pPr>
      <w:r>
        <w:rPr>
          <w:rFonts w:ascii="Courier New" w:hAnsi="Courier New"/>
          <w:sz w:val="18"/>
        </w:rPr>
        <w:t xml:space="preserve">                  │               │               │   as system    │</w:t>
      </w:r>
    </w:p>
    <w:p>
      <w:pPr>
        <w:pStyle w:val="CodeBlock"/>
      </w:pPr>
      <w:r>
        <w:rPr>
          <w:rFonts w:ascii="Courier New" w:hAnsi="Courier New"/>
          <w:sz w:val="18"/>
        </w:rPr>
        <w:t xml:space="preserve">                  │               │               │   self-manages)│</w:t>
      </w:r>
    </w:p>
    <w:p>
      <w:pPr>
        <w:pStyle w:val="CodeBlock"/>
      </w:pPr>
      <w:r>
        <w:rPr>
          <w:rFonts w:ascii="Courier New" w:hAnsi="Courier New"/>
          <w:sz w:val="18"/>
        </w:rPr>
        <w:t xml:space="preserve">    ═══════════════════════════════════════════════════════════════════════════</w:t>
      </w:r>
    </w:p>
    <w:p>
      <w:pPr>
        <w:spacing w:before="100" w:after="200"/>
      </w:pPr>
      <w:r>
        <w:rPr>
          <w:i/>
          <w:sz w:val="20"/>
        </w:rPr>
        <w:t xml:space="preserve">Figure 4 illustrates the five-level Bio-Integration Maturity Model (BIMM) as a progression pathway, showing the transition requirements between each level and the positioning of the three case studies at Level 4 (Bio-Structural), with the Maldives project approaching Level 5 (Bio-Reciprocal). The figure highlights a key finding: while design complexity and cost increase with maturity level, management requirements initially increase but then decrease at higher levels as biological systems become self-sustaining and self-managing. The economic payback periods of 3.7–5.2 years demonstrated at Level 4 confirm commercial viability despite the 15–25% cost premium.</w:t>
      </w:r>
    </w:p>
    <w:p>
      <w:pPr>
        <w:pStyle w:val="Heading3"/>
        <w:spacing w:before="200" w:after="100"/>
      </w:pPr>
      <w:r>
        <w:rPr>
          <w:b/>
          <w:sz w:val="24"/>
        </w:rPr>
        <w:t>5.5 Limitations and Caveats</w:t>
      </w:r>
    </w:p>
    <w:p>
      <w:pPr>
        <w:spacing w:after="120"/>
        <w:jc w:val="both"/>
      </w:pPr>
      <w:r>
        <w:rPr>
          <w:sz w:val="22"/>
        </w:rPr>
        <w:t xml:space="preserve">There are a number of limitations which reduce the applicability of findings. First, the case studies are all outstanding projects, which were designed at an above-average level, whose owners were enthusiastic about the project, and which have benefited from the right regulators. The issue of transferability to mainstream tourism development with an economy driven by cost pressure, compression of development timelines and risk aversion is not yet clear and should be investigated into with more extensive sample size quantitative studies.</w:t>
      </w:r>
    </w:p>
    <w:p>
      <w:pPr>
        <w:spacing w:after="120"/>
        <w:jc w:val="both"/>
      </w:pPr>
      <w:r>
        <w:rPr>
          <w:sz w:val="22"/>
        </w:rPr>
        <w:t xml:space="preserve">Second, the monitoring periods (3-6 years) are in the early stages of ecosystem development, and the results may not be indicative of long-term steady state performance; some bio-integrated systems may go onto a degradation or steady state process that is lower than the current trajectory. Third, as noted above, the counterfactual baselines (best practice conventional construction) must be modeled instead of observed, making comparative analysis of these more uncertain.</w:t>
      </w:r>
    </w:p>
    <w:p>
      <w:pPr>
        <w:spacing w:after="120"/>
        <w:jc w:val="both"/>
      </w:pPr>
      <w:r>
        <w:rPr>
          <w:sz w:val="22"/>
        </w:rPr>
        <w:t xml:space="preserve">Moreover the economic assessment is not able to address any risks that may be particular to systems emerging from the bio-integrated integration (for example failure of built system due to a disease or extreme weather temperatures, regulatory uncertainty over novel construction materials, and the specific maintenance skills needed for living building systems). While the prediction-observation agreements (85–95%) are encouraging, these risks are manageable but key stakeholders such as risk-averse developers and/or financiers may be turned off by these risks and adoption could be stunted despite good lifecycle economics.</w:t>
      </w:r>
    </w:p>
    <w:p>
      <w:pPr>
        <w:pBdr>
          <w:bottom w:val="single" w:sz="6" w:space="1" w:color="000000"/>
        </w:pBdr>
      </w:pPr>
    </w:p>
    <w:p>
      <w:pPr>
        <w:pStyle w:val="Heading2"/>
        <w:spacing w:before="240" w:after="120"/>
      </w:pPr>
      <w:r>
        <w:rPr>
          <w:b/>
          <w:sz w:val="28"/>
        </w:rPr>
        <w:t>6. Conclusion</w:t>
      </w:r>
    </w:p>
    <w:p>
      <w:pPr>
        <w:pStyle w:val="Heading3"/>
        <w:spacing w:before="200" w:after="100"/>
      </w:pPr>
      <w:r>
        <w:rPr>
          <w:b/>
          <w:sz w:val="24"/>
        </w:rPr>
        <w:t>6.1 Knowledge Gained</w:t>
      </w:r>
    </w:p>
    <w:p>
      <w:pPr>
        <w:spacing w:after="120"/>
        <w:jc w:val="both"/>
      </w:pPr>
      <w:r>
        <w:rPr>
          <w:sz w:val="22"/>
        </w:rPr>
        <w:t xml:space="preserve">This chapter has presented theoretical arguments, mathematical modeling and empirical evidence for tourism that integrates the biosphere as components of the tourism design, thus providing the scientific basis for the decision that this approach is not only possible but also measurably better than the environmentally costlier sustainable tourism infrastructure design. Three different ecologically distinct tourist infrastructure projects across the tropical, marine and arid biomes substantiate the central thesis: tourism infrastructure can be adaptive and potentially regenerative and can participate in ecological reciprocity with its host environment.</w:t>
      </w:r>
    </w:p>
    <w:p>
      <w:pPr>
        <w:spacing w:after="120"/>
        <w:jc w:val="both"/>
      </w:pPr>
      <w:r>
        <w:rPr>
          <w:sz w:val="22"/>
        </w:rPr>
        <w:t xml:space="preserve">Learning transcends several subject areas. The study indicates that biological systems such as biological networks and communities of mycelia, corals and cryptogamic organisms can indeed be deployed at architecture scale in a way that ensures their continued biological viability and functional efficacy over a number of years. However, on a computational level, the study shows that multi-objective optimization algorithms, agent-based ecological models and coupled simulation of hygrothermal-biological models are all reliable predictive tools for bio-integrated design, and the level of correspondence between measures and computation varies at 5–15% for most performance metrics. From an ecological perspective, the research delivers quantitative evidence on the benefits of bio-integrated infrastructure, confirming that the ecosystem service obtained by it is an ecological enhancement equivalent to 23-247% compared with the reference of the best practice conventional construction, with averages of 164% increases for carbon sequestration, 64% increases for supporting biodiversity and 43% increases for energy performance. On an economic basis the research shows (Table 5) that combination of benefits derived from ecosystem service values, energy saving and visitor satisfaction premiums for bio-integration investments will be realised within time frames of 3.7–5.2 years, which is in line with planning horizons of commercial investment in tourism developments.</w:t>
      </w:r>
    </w:p>
    <w:p>
      <w:pPr>
        <w:pStyle w:val="Heading3"/>
        <w:spacing w:before="200" w:after="100"/>
      </w:pPr>
      <w:r>
        <w:rPr>
          <w:b/>
          <w:sz w:val="24"/>
        </w:rPr>
        <w:t>6.2 Implications for the Field</w:t>
      </w:r>
    </w:p>
    <w:p>
      <w:pPr>
        <w:spacing w:after="120"/>
        <w:jc w:val="both"/>
      </w:pPr>
      <w:r>
        <w:rPr>
          <w:sz w:val="22"/>
        </w:rPr>
        <w:t xml:space="preserve">From the viewpoint of designers, the research represents evidence of the possibility of creating bio-integration without any unrealistic requirements of materials, technologies, or computational tools for designers. The Bio-Integration Maturity Model (Table 4) provides a step-by-step framework for those who wish to transcend the simply green building approach to truly regenerative results. Rather than seeing living buildings as high cost demonstration projects in exceptional climates, the case studies have proven that bio-integration can be used in a variety of climates, typologies and budgets, with payback periods well within commercial planning horizons.</w:t>
      </w:r>
    </w:p>
    <w:p>
      <w:pPr>
        <w:spacing w:after="120"/>
        <w:jc w:val="both"/>
      </w:pPr>
      <w:r>
        <w:rPr>
          <w:sz w:val="22"/>
        </w:rPr>
        <w:t xml:space="preserve">The research indicates that the prevailing green building certification programs, built around harm reduction indicators, fall short of being adequate frameworks to measure or promote regenerative design for policymakers and planning authorities. The BIMM offers an assessment tool that quantifies positive ecological contribution alongside the reduction in negative impact – rather than just the reduction in negative impact – making it possible to distinguish between buildings that are "less bad" and those that are actually "good" for their ecological context and thereby improving it.</w:t>
      </w:r>
    </w:p>
    <w:p>
      <w:pPr>
        <w:spacing w:after="120"/>
        <w:jc w:val="both"/>
      </w:pPr>
      <w:r>
        <w:rPr>
          <w:sz w:val="22"/>
        </w:rPr>
        <w:t xml:space="preserve">The study offers several fruitful research avenues for researchers. Ecological simulation in the field of architectural design calculation is a frontier methodology, and it is necessary to build standardized tools from the joint efforts of architects, ecologists, computer scientists and materials engineers. The importance of the role of indigenous ecological knowledge in bio-integrated design needs to be further explored using truly partnership-based research methodologies [33, 34].</w:t>
      </w:r>
    </w:p>
    <w:p>
      <w:pPr>
        <w:pStyle w:val="Heading3"/>
        <w:spacing w:before="200" w:after="100"/>
      </w:pPr>
      <w:r>
        <w:rPr>
          <w:b/>
          <w:sz w:val="24"/>
        </w:rPr>
        <w:t>6.3 Future Directions</w:t>
      </w:r>
    </w:p>
    <w:p>
      <w:pPr>
        <w:spacing w:after="120"/>
        <w:jc w:val="both"/>
      </w:pPr>
      <w:r>
        <w:rPr>
          <w:sz w:val="22"/>
        </w:rPr>
        <w:t xml:space="preserve">This research opens up a number of possible directions for future research and development. First, the scale of bio-integration - from building to district and landscape - is an important threshold. What can be accomplished at landscape levels of scale in terms of habitat corridors, watershed hydrology, pollinator networks etc. with a network of bio-integrated structures?</w:t>
      </w:r>
    </w:p>
    <w:p>
      <w:pPr>
        <w:spacing w:after="120"/>
        <w:jc w:val="both"/>
      </w:pPr>
      <w:r>
        <w:rPr>
          <w:sz w:val="22"/>
        </w:rPr>
        <w:t xml:space="preserve">Secondly, there is a need for bio building material development to be accelerated. Engineered living materials (ELMs) such as self-healing concrete, pollution sensing biofilms, and energy harvesting protein membranes are expected to see a significant increase in research and development of their capabilities to function in construction [44, 45].</w:t>
      </w:r>
    </w:p>
    <w:p>
      <w:pPr>
        <w:spacing w:after="120"/>
        <w:jc w:val="both"/>
      </w:pPr>
      <w:r>
        <w:rPr>
          <w:sz w:val="22"/>
        </w:rPr>
        <w:t xml:space="preserve">Thirdly, there is a need for in-depth research into the 'climate adaptation' aspect of the bio-integrated design. The bio-integrated infrastructure possesses inherent resistance benefits due to its ability to biologically adapt, through evolution, succession, and migration, to the effects of climate stressors that are increasingly affecting tourism destinations, such as coral bleaching, intensification of wildfire, extreme heat events and coastal erosion that affect the ability of traditional inert infrastructure constructions to withstand climate stress [46].</w:t>
      </w:r>
    </w:p>
    <w:p>
      <w:pPr>
        <w:spacing w:after="120"/>
        <w:jc w:val="both"/>
      </w:pPr>
      <w:r>
        <w:rPr>
          <w:sz w:val="22"/>
        </w:rPr>
        <w:t xml:space="preserve">Fourthly, there is a need to develop the economic and governance systems required for the mainstreaming of bio-integration. While the economic analysis demonstrates attractive returns, the current financial tools for valuing and monetising the ecological supports of bio-integrated infrastructure face institutional deficits. Payment for ecosystem services (PES) mechanisms, biodiversity offset markets, carbon credit systems and green bonds are potential tools to value and monetise the ecological contributions of bio-integrated infrastructure, but there are institutional barriers to those tools.</w:t>
      </w:r>
    </w:p>
    <w:p>
      <w:pPr>
        <w:spacing w:after="120"/>
        <w:jc w:val="both"/>
      </w:pPr>
      <w:r>
        <w:rPr>
          <w:sz w:val="22"/>
        </w:rPr>
        <w:t xml:space="preserve">Last, bio-integrated design has ethical implications: the ethical nature of the "building-organisms" themselves, the rights of those who hold indigenous knowledge, the politics of ecological stewardship in commercial tourism, among others, warrant ongoing attention in both philosophy and social science. Bio-integrated design undermines the identities of basic design distinctions between built and living systems, between natural and artificial systems, between organism and artifact, which have historically defined Western paradigm thinking on environments.</w:t>
      </w:r>
    </w:p>
    <w:p>
      <w:pPr>
        <w:pStyle w:val="Heading3"/>
        <w:spacing w:before="200" w:after="100"/>
      </w:pPr>
      <w:r>
        <w:rPr>
          <w:b/>
          <w:sz w:val="24"/>
        </w:rPr>
        <w:t>6.4 Closing Reflection</w:t>
      </w:r>
    </w:p>
    <w:p>
      <w:pPr>
        <w:spacing w:after="120"/>
        <w:jc w:val="both"/>
      </w:pPr>
      <w:r>
        <w:rPr>
          <w:sz w:val="22"/>
        </w:rPr>
        <w:t xml:space="preserve">Tourism is facing one of its highs and lows. It can keep building up these roads on environments that are being degraded just as much as they are used for these facilities, and do so in a conducive way to using the resources efficiently and to offset harm to the systems. Or it may adopt a radically new paradigm: tourism engineering that is living architecture, affectively responsive, ecologically responsive, and regeneratively responsive. The experiences outlined in this chapter are not esoteric or impractical but practical, not costlier than it ought to be but just costlier than it is one would expect, and not theoretical but proven. It is not whether it is possible or not to design bio-integrated tourism, but rather the will of the designers, the developers, the policy makers and travelers.</w:t>
      </w:r>
    </w:p>
    <w:p>
      <w:pPr>
        <w:pBdr>
          <w:bottom w:val="single" w:sz="6" w:space="1" w:color="000000"/>
        </w:pBdr>
      </w:pPr>
    </w:p>
    <w:p>
      <w:pPr>
        <w:pStyle w:val="Heading2"/>
        <w:spacing w:before="240" w:after="120"/>
      </w:pPr>
      <w:r>
        <w:rPr>
          <w:b/>
          <w:sz w:val="28"/>
        </w:rPr>
        <w:t>References</w:t>
      </w:r>
    </w:p>
    <w:p>
      <w:pPr>
        <w:spacing w:after="120"/>
        <w:jc w:val="both"/>
      </w:pPr>
      <w:r>
        <w:rPr>
          <w:sz w:val="22"/>
        </w:rPr>
        <w:t xml:space="preserve">[1] Lenzen, M., Sun, Y. Y., Faturay, F., Ting, Y. P., Geschke, A., &amp; Malik, A. (2018). The carbon footprint of global tourism. Nature Climate Change, 8(6), 522–528.</w:t>
      </w:r>
    </w:p>
    <w:p>
      <w:pPr>
        <w:spacing w:after="120"/>
        <w:jc w:val="both"/>
      </w:pPr>
      <w:r>
        <w:rPr>
          <w:sz w:val="22"/>
        </w:rPr>
        <w:t xml:space="preserve">[2] Gössling, S., &amp; Peeters, P. (2015). Assessing tourism's global environmental impact 1900–2050. Journal of Sustainable Tourism, 23(5), 639–659.</w:t>
      </w:r>
    </w:p>
    <w:p>
      <w:pPr>
        <w:spacing w:after="120"/>
        <w:jc w:val="both"/>
      </w:pPr>
      <w:r>
        <w:rPr>
          <w:sz w:val="22"/>
        </w:rPr>
        <w:t xml:space="preserve">[3] Higgins-Desbiolles, F. (2018). Sustainable tourism: Sustaining tourism or something more? Tourism Management Perspectives, 25, 157–160.</w:t>
      </w:r>
    </w:p>
    <w:p>
      <w:pPr>
        <w:spacing w:after="120"/>
        <w:jc w:val="both"/>
      </w:pPr>
      <w:r>
        <w:rPr>
          <w:sz w:val="22"/>
        </w:rPr>
        <w:t xml:space="preserve">[4] Benyus, J. M. (2002). Biomimicry: Innovation Inspired by Nature. Harper Perennial.</w:t>
      </w:r>
    </w:p>
    <w:p>
      <w:pPr>
        <w:spacing w:after="120"/>
        <w:jc w:val="both"/>
      </w:pPr>
      <w:r>
        <w:rPr>
          <w:sz w:val="22"/>
        </w:rPr>
        <w:t xml:space="preserve">[5] Armstrong, R. (2015). Star Ark: A Living, Self-Sustaining Spaceship. Springer.</w:t>
      </w:r>
    </w:p>
    <w:p>
      <w:pPr>
        <w:spacing w:after="120"/>
        <w:jc w:val="both"/>
      </w:pPr>
      <w:r>
        <w:rPr>
          <w:sz w:val="22"/>
        </w:rPr>
        <w:t xml:space="preserve">[6] Menges, A., &amp; Reichert, S. (2015). Performative wood: Physically programming the responsive architecture of the HygroScope and HygroSkin projects. Architectural Design, 85(5), 66–73.</w:t>
      </w:r>
    </w:p>
    <w:p>
      <w:pPr>
        <w:spacing w:after="120"/>
        <w:jc w:val="both"/>
      </w:pPr>
      <w:r>
        <w:rPr>
          <w:sz w:val="22"/>
        </w:rPr>
        <w:t xml:space="preserve">[7] Berkes, F. (2018). Sacred Ecology (4th ed.). Routledge.</w:t>
      </w:r>
    </w:p>
    <w:p>
      <w:pPr>
        <w:spacing w:after="120"/>
        <w:jc w:val="both"/>
      </w:pPr>
      <w:r>
        <w:rPr>
          <w:sz w:val="22"/>
        </w:rPr>
        <w:t xml:space="preserve">[8] Mang, P., &amp; Reed, B. (2012). Designing from place: A regenerative framework and methodology. Building Research &amp; Information, 40(1), 23–38.</w:t>
      </w:r>
    </w:p>
    <w:p>
      <w:pPr>
        <w:spacing w:after="120"/>
        <w:jc w:val="both"/>
      </w:pPr>
      <w:r>
        <w:rPr>
          <w:sz w:val="22"/>
        </w:rPr>
        <w:t xml:space="preserve">[9] Cruz, M., &amp; Pike, S. (2020). Neoplasmatic Design: Design Experimentation with Bio-Architectural Composites. UCL Press.</w:t>
      </w:r>
    </w:p>
    <w:p>
      <w:pPr>
        <w:spacing w:after="120"/>
        <w:jc w:val="both"/>
      </w:pPr>
      <w:r>
        <w:rPr>
          <w:sz w:val="22"/>
        </w:rPr>
        <w:t xml:space="preserve">[10] Kibert, C. J. (2016). Sustainable Construction: Green Building Design and Delivery (4th ed.). John Wiley &amp; Sons.</w:t>
      </w:r>
    </w:p>
    <w:p>
      <w:pPr>
        <w:spacing w:after="120"/>
        <w:jc w:val="both"/>
      </w:pPr>
      <w:r>
        <w:rPr>
          <w:sz w:val="22"/>
        </w:rPr>
        <w:t xml:space="preserve">[11] Cole, R. J. (2012). Regenerative design and development: Current theory and practice. Building Research &amp; Information, 40(1), 1–6.</w:t>
      </w:r>
    </w:p>
    <w:p>
      <w:pPr>
        <w:spacing w:after="120"/>
        <w:jc w:val="both"/>
      </w:pPr>
      <w:r>
        <w:rPr>
          <w:sz w:val="22"/>
        </w:rPr>
        <w:t xml:space="preserve">[12] McDonough, W., &amp; Braungart, M. (2002). Cradle to Cradle: Remaking the Way We Make Things. North Point Press.</w:t>
      </w:r>
    </w:p>
    <w:p>
      <w:pPr>
        <w:spacing w:after="120"/>
        <w:jc w:val="both"/>
      </w:pPr>
      <w:r>
        <w:rPr>
          <w:sz w:val="22"/>
        </w:rPr>
        <w:t xml:space="preserve">[13] Lyle, J. T. (1994). Regenerative Design for Sustainable Development. John Wiley &amp; Sons.</w:t>
      </w:r>
    </w:p>
    <w:p>
      <w:pPr>
        <w:spacing w:after="120"/>
        <w:jc w:val="both"/>
      </w:pPr>
      <w:r>
        <w:rPr>
          <w:sz w:val="22"/>
        </w:rPr>
        <w:t xml:space="preserve">[14] du Plessis, C. (2012). Towards a regenerative paradigm for the built environment. Building Research &amp; Information, 40(1), 7–22.</w:t>
      </w:r>
    </w:p>
    <w:p>
      <w:pPr>
        <w:spacing w:after="120"/>
        <w:jc w:val="both"/>
      </w:pPr>
      <w:r>
        <w:rPr>
          <w:sz w:val="22"/>
        </w:rPr>
        <w:t xml:space="preserve">[15] Bellato, L., Frantzeskaki, N., &amp; Brearley, F. Q. (2022). Regenerative tourism: A conceptual framework leveraging theory and practice. Tourism Geographies, 24(6–7), 1026–1046.</w:t>
      </w:r>
    </w:p>
    <w:p>
      <w:pPr>
        <w:spacing w:after="120"/>
        <w:jc w:val="both"/>
      </w:pPr>
      <w:r>
        <w:rPr>
          <w:sz w:val="22"/>
        </w:rPr>
        <w:t xml:space="preserve">[16] Craft, W., Ding, L., Prasad, D., Partridge, L., &amp; Else, D. (2017). Development of a regenerative design model for building retrofits. Procedia Engineering, 180, 658–668.</w:t>
      </w:r>
    </w:p>
    <w:p>
      <w:pPr>
        <w:spacing w:after="120"/>
        <w:jc w:val="both"/>
      </w:pPr>
      <w:r>
        <w:rPr>
          <w:sz w:val="22"/>
        </w:rPr>
        <w:t xml:space="preserve">[17] Frazer, J. (1995). An Evolutionary Architecture. Architectural Association Publications.</w:t>
      </w:r>
    </w:p>
    <w:p>
      <w:pPr>
        <w:spacing w:after="120"/>
        <w:jc w:val="both"/>
      </w:pPr>
      <w:r>
        <w:rPr>
          <w:sz w:val="22"/>
        </w:rPr>
        <w:t xml:space="preserve">[18] Steadman, P. (2008). The Evolution of Designs: Biological Analogy in Architecture and the Applied Arts (Rev. ed.). Routledge.</w:t>
      </w:r>
    </w:p>
    <w:p>
      <w:pPr>
        <w:spacing w:after="120"/>
        <w:jc w:val="both"/>
      </w:pPr>
      <w:r>
        <w:rPr>
          <w:sz w:val="22"/>
        </w:rPr>
        <w:t xml:space="preserve">[19] Haneef, M., Ceseracciu, L., Canale, C., Bayer, I. S., Heredia-Guerrero, J. A., &amp; Athanassiou, A. (2017). Advanced materials from fungal mycelium: Fabrication and tuning of physical properties. Scientific Reports, 7, 41292.</w:t>
      </w:r>
    </w:p>
    <w:p>
      <w:pPr>
        <w:spacing w:after="120"/>
        <w:jc w:val="both"/>
      </w:pPr>
      <w:r>
        <w:rPr>
          <w:sz w:val="22"/>
        </w:rPr>
        <w:t xml:space="preserve">[20] Jones, M., Mautner, A., Luenco, S., Bismarck, A., &amp; John, S. (2020). Engineered mycelium composite construction materials from fungal biorefineries: A critical review. Materials &amp; Design, 187, 108397.</w:t>
      </w:r>
    </w:p>
    <w:p>
      <w:pPr>
        <w:spacing w:after="120"/>
        <w:jc w:val="both"/>
      </w:pPr>
      <w:r>
        <w:rPr>
          <w:sz w:val="22"/>
        </w:rPr>
        <w:t xml:space="preserve">[21] Elsacker, E., Vandelook, S., Van Wylick, A., Ruytinx, J., De Laet, L., &amp; Peeters, E. (2021). A comprehensive framework for the production of mycelium-based lignocellulosic composites. Science of the Total Environment, 725, 138431.</w:t>
      </w:r>
    </w:p>
    <w:p>
      <w:pPr>
        <w:spacing w:after="120"/>
        <w:jc w:val="both"/>
      </w:pPr>
      <w:r>
        <w:rPr>
          <w:sz w:val="22"/>
        </w:rPr>
        <w:t xml:space="preserve">[22] Wilkinson, S., Stoller, P., Ralph, P., Hamdorf, B., Franber, L. N., &amp; Morel, A. (2017). Exploring the feasibility of algae building technology in NSW. Procedia Engineering, 180, 1121–1130.</w:t>
      </w:r>
    </w:p>
    <w:p>
      <w:pPr>
        <w:spacing w:after="120"/>
        <w:jc w:val="both"/>
      </w:pPr>
      <w:r>
        <w:rPr>
          <w:sz w:val="22"/>
        </w:rPr>
        <w:t xml:space="preserve">[23] Cervera Sardá, R., &amp; Vicente, J. (2020). Case study on the optimization of algae photobioreactor facades for building energy performance. Journal of Facade Design and Engineering, 8(1), 1–22.</w:t>
      </w:r>
    </w:p>
    <w:p>
      <w:pPr>
        <w:spacing w:after="120"/>
        <w:jc w:val="both"/>
      </w:pPr>
      <w:r>
        <w:rPr>
          <w:sz w:val="22"/>
        </w:rPr>
        <w:t xml:space="preserve">[24] Ludwig, F., Middleton, W., Gallenmüller, F., Rogers, P., &amp; Speck, T. (2019). Living bridges using aerial roots of Ficus elastica—An interdisciplinary perspective. Scientific Reports, 9, 12226.</w:t>
      </w:r>
    </w:p>
    <w:p>
      <w:pPr>
        <w:spacing w:after="120"/>
        <w:jc w:val="both"/>
      </w:pPr>
      <w:r>
        <w:rPr>
          <w:sz w:val="22"/>
        </w:rPr>
        <w:t xml:space="preserve">[25] Shea, K., Aish, R., &amp; Gourtovaia, M. (2005). Towards integrated performance-driven generative design tools. Automation in Construction, 14(2), 253–264.</w:t>
      </w:r>
    </w:p>
    <w:p>
      <w:pPr>
        <w:spacing w:after="120"/>
        <w:jc w:val="both"/>
      </w:pPr>
      <w:r>
        <w:rPr>
          <w:sz w:val="22"/>
        </w:rPr>
        <w:t xml:space="preserve">[26] Oxman, N. (2010). Material-Based Design Computation [Doctoral dissertation, Massachusetts Institute of Technology]. MIT Libraries.</w:t>
      </w:r>
    </w:p>
    <w:p>
      <w:pPr>
        <w:spacing w:after="120"/>
        <w:jc w:val="both"/>
      </w:pPr>
      <w:r>
        <w:rPr>
          <w:sz w:val="22"/>
        </w:rPr>
        <w:t xml:space="preserve">[27] Colding, J., Giusti, M., Haga, A., Wallhagen, M., &amp; Barthel, S. (2020). Enabling relationships with nature in cities. Sustainability, 12(11), 4394.</w:t>
      </w:r>
    </w:p>
    <w:p>
      <w:pPr>
        <w:spacing w:after="120"/>
        <w:jc w:val="both"/>
      </w:pPr>
      <w:r>
        <w:rPr>
          <w:sz w:val="22"/>
        </w:rPr>
        <w:t xml:space="preserve">[28] Grimm, V., &amp; Railsback, S. F. (2005). Individual-Based Modeling and Ecology. Princeton University Press.</w:t>
      </w:r>
    </w:p>
    <w:p>
      <w:pPr>
        <w:spacing w:after="120"/>
        <w:jc w:val="both"/>
      </w:pPr>
      <w:r>
        <w:rPr>
          <w:sz w:val="22"/>
        </w:rPr>
        <w:t xml:space="preserve">[29] Apfelbeck, B., Snep, R. P., Hauck, T. E., Ferguson, J., Holy, M., Jakoby, C., MacIvor, J. S., &amp; Weisser, W. W. (2020). Designing wildlife-inclusive cities that support human-animal co-existence. Landscape and Urban Planning, 200, 103817.</w:t>
      </w:r>
    </w:p>
    <w:p>
      <w:pPr>
        <w:spacing w:after="120"/>
        <w:jc w:val="both"/>
      </w:pPr>
      <w:r>
        <w:rPr>
          <w:sz w:val="22"/>
        </w:rPr>
        <w:t xml:space="preserve">[30] Reichstein, M., Camps-Valls, G., Stevens, B., Jung, M., Denzler, J., Carvalhais, N., &amp; Prabhat. (2019). Deep learning and process understanding for data-driven Earth system science. Nature, 566(7743), 195–204.</w:t>
      </w:r>
    </w:p>
    <w:p>
      <w:pPr>
        <w:spacing w:after="120"/>
        <w:jc w:val="both"/>
      </w:pPr>
      <w:r>
        <w:rPr>
          <w:sz w:val="22"/>
        </w:rPr>
        <w:t xml:space="preserve">[31] Kimmerer, R. W. (2013). Braiding Sweetgrass: Indigenous Wisdom, Scientific Knowledge, and the Teachings of Plants. Milkweed Editions.</w:t>
      </w:r>
    </w:p>
    <w:p>
      <w:pPr>
        <w:spacing w:after="120"/>
        <w:jc w:val="both"/>
      </w:pPr>
      <w:r>
        <w:rPr>
          <w:sz w:val="22"/>
        </w:rPr>
        <w:t xml:space="preserve">[32] Tengö, M., Brondizio, E. S., Elmqvist, T., Malmer, P., &amp; Spierenburg, M. (2014). Connecting diverse knowledge systems for enhanced ecosystem governance: The multiple evidence base approach. Ambio, 43(5), 579–591.</w:t>
      </w:r>
    </w:p>
    <w:p>
      <w:pPr>
        <w:spacing w:after="120"/>
        <w:jc w:val="both"/>
      </w:pPr>
      <w:r>
        <w:rPr>
          <w:sz w:val="22"/>
        </w:rPr>
        <w:t xml:space="preserve">[33] Davidson-Hunt, I. J., Turner, K. L., Mead, A. T. P., Cabrera-Lopez, J., Bolton, R., Idrobo, C. J., Miretski, I., Morrison, A., &amp; Robson, J. P. (2012). Biocultural design: A new conceptual framework for sustainable development in rural indigenous and local communities. SAPIENS, 5(2), 33–45.</w:t>
      </w:r>
    </w:p>
    <w:p>
      <w:pPr>
        <w:spacing w:after="120"/>
        <w:jc w:val="both"/>
      </w:pPr>
      <w:r>
        <w:rPr>
          <w:sz w:val="22"/>
        </w:rPr>
        <w:t xml:space="preserve">[34] Tlostanova, M. (2017). On decolonizing design. Design Philosophy Papers, 15(1), 51–61.</w:t>
      </w:r>
    </w:p>
    <w:p>
      <w:pPr>
        <w:spacing w:after="120"/>
        <w:jc w:val="both"/>
      </w:pPr>
      <w:r>
        <w:rPr>
          <w:sz w:val="22"/>
        </w:rPr>
        <w:t xml:space="preserve">[35] Creswell, J. W., &amp; Plano Clark, V. L. (2018). Designing and Conducting Mixed Methods Research (3rd ed.). SAGE.</w:t>
      </w:r>
    </w:p>
    <w:p>
      <w:pPr>
        <w:spacing w:after="120"/>
        <w:jc w:val="both"/>
      </w:pPr>
      <w:r>
        <w:rPr>
          <w:sz w:val="22"/>
        </w:rPr>
        <w:t xml:space="preserve">[36] Dikec, J., Olivier, A., Bobée, C., D'Angelo, Y., Janel, R., Brunet, A. B., Douady, S., &amp; Brun, C. (2021). Hyphal network whole field imaging allows for accurate estimation of anastomosis rates and hyphal growth parameters. Scientific Reports, 10, 3131.</w:t>
      </w:r>
    </w:p>
    <w:p>
      <w:pPr>
        <w:spacing w:after="120"/>
        <w:jc w:val="both"/>
      </w:pPr>
      <w:r>
        <w:rPr>
          <w:sz w:val="22"/>
        </w:rPr>
        <w:t xml:space="preserve">[37] McRae, B. H., Dickson, B. G., Keitt, T. H., &amp; Shah, V. B. (2008). Using circuit theory to model connectivity in ecology, evolution, and conservation. Ecology, 89(10), 2712–2724.</w:t>
      </w:r>
    </w:p>
    <w:p>
      <w:pPr>
        <w:spacing w:after="120"/>
        <w:jc w:val="both"/>
      </w:pPr>
      <w:r>
        <w:rPr>
          <w:sz w:val="22"/>
        </w:rPr>
        <w:t xml:space="preserve">[38] Yin, R. K. (2018). Case Study Research and Applications: Design and Methods (6th ed.). SAGE.</w:t>
      </w:r>
    </w:p>
    <w:p>
      <w:pPr>
        <w:spacing w:after="120"/>
        <w:jc w:val="both"/>
      </w:pPr>
      <w:r>
        <w:rPr>
          <w:sz w:val="22"/>
        </w:rPr>
        <w:t xml:space="preserve">[39] Haines-Young, R., &amp; Potschin, M. B. (2018). Common International Classification of Ecosystem Services (CICES) V5.1: Guidance on the Application of the Revised Structure. European Environment Agency.</w:t>
      </w:r>
    </w:p>
    <w:p>
      <w:pPr>
        <w:spacing w:after="120"/>
        <w:jc w:val="both"/>
      </w:pPr>
      <w:r>
        <w:rPr>
          <w:sz w:val="22"/>
        </w:rPr>
        <w:t xml:space="preserve">[40] de Groot, R., Brander, L., van der Ploeg, S., Costanza, R., Bernard, F., Braat, L., Christie, M., Crossman, N., Ghermandi, A., Hein, L., Hussain, S., Kumar, P., McVittie, A., Portela, R., Rodriguez, L. C., ten Brink, P., &amp; van Beukering, P. (2012). Global estimates of the value of ecosystems and their services in monetary units. Ecosystem Services, 1(1), 50–61.</w:t>
      </w:r>
    </w:p>
    <w:p>
      <w:pPr>
        <w:spacing w:after="120"/>
        <w:jc w:val="both"/>
      </w:pPr>
      <w:r>
        <w:rPr>
          <w:sz w:val="22"/>
        </w:rPr>
        <w:t xml:space="preserve">[41] Moritz, C., Vii, J., Long, W., Tamelander, J., Thomassin, A., &amp; Planes, S. (2017). Status and Trends of Coral Reefs of the Pacific. Global Coral Reef Monitoring Network.</w:t>
      </w:r>
    </w:p>
    <w:p>
      <w:pPr>
        <w:spacing w:after="120"/>
        <w:jc w:val="both"/>
      </w:pPr>
      <w:r>
        <w:rPr>
          <w:sz w:val="22"/>
        </w:rPr>
        <w:t xml:space="preserve">[42] Hao, M., Qiao, J., Qi, H., &amp; Liu, S. (2022). Microbially induced calcite precipitation for concrete protection—A review. Journal of Building Engineering, 56, 104731.</w:t>
      </w:r>
    </w:p>
    <w:p>
      <w:pPr>
        <w:spacing w:after="120"/>
        <w:jc w:val="both"/>
      </w:pPr>
      <w:r>
        <w:rPr>
          <w:sz w:val="22"/>
        </w:rPr>
        <w:t xml:space="preserve">[43] Bird, R. B., Codding, B. F., Kauhanen, P. G., &amp; Bird, D. W. (2016). Aboriginal hunting buffers climate-driven fire-size variability in Australia's spinifex grasslands. Proceedings of the National Academy of Sciences, 113(38), 10208–10213.</w:t>
      </w:r>
    </w:p>
    <w:p>
      <w:pPr>
        <w:spacing w:after="120"/>
        <w:jc w:val="both"/>
      </w:pPr>
      <w:r>
        <w:rPr>
          <w:sz w:val="22"/>
        </w:rPr>
        <w:t xml:space="preserve">[44] Nguyen, P. Q., Courchesne, N. M. D., Duraj-Thatte, A., Praveschotinunt, P., &amp; Joshi, N. S. (2018). Engineered living materials: Prospects and challenges for using biological systems to direct the assembly of smart materials. Advanced Materials, 30(19), 1704847.</w:t>
      </w:r>
    </w:p>
    <w:p>
      <w:pPr>
        <w:spacing w:after="120"/>
        <w:jc w:val="both"/>
      </w:pPr>
      <w:r>
        <w:rPr>
          <w:sz w:val="22"/>
        </w:rPr>
        <w:t xml:space="preserve">[45] Gilbert, C., &amp; Ellis, T. (2019). Biological engineered living materials: Growing functional materials with genetically programmable properties. ACS Synthetic Biology, 8(1), 1–15.</w:t>
      </w:r>
    </w:p>
    <w:p>
      <w:pPr>
        <w:spacing w:after="120"/>
        <w:jc w:val="both"/>
      </w:pPr>
      <w:r>
        <w:rPr>
          <w:sz w:val="22"/>
        </w:rPr>
        <w:t xml:space="preserve">[46] Wise, R. M., Fazey, I., Stafford Smith, M., Park, S. E., Eakin, H. C., Archer Van Garderen, E. R. M., &amp; Campbell, B. (2014). Reconceptualising adaptation to climate change as part of pathways of change and response. Global Environmental Change, 28, 325–336.</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style w:type="paragraph" w:default="1" w:styleId="Normal">
    <w:name w:val="Normal"/>
    <w:rPr>
      <w:rFonts w:ascii="Times New Roman" w:hAnsi="Times New Roman"/>
      <w:sz w:val="22"/>
    </w:rPr>
  </w:style>
  <w:style w:type="paragraph" w:styleId="Heading1">
    <w:name w:val="heading 1"/>
    <w:pPr>
      <w:spacing w:before="480" w:after="240"/>
    </w:pPr>
    <w:rPr>
      <w:rFonts w:ascii="Arial" w:hAnsi="Arial"/>
      <w:b/>
      <w:sz w:val="32"/>
    </w:rPr>
  </w:style>
  <w:style w:type="paragraph" w:styleId="Heading2">
    <w:name w:val="heading 2"/>
    <w:pPr>
      <w:spacing w:before="360" w:after="200"/>
    </w:pPr>
    <w:rPr>
      <w:rFonts w:ascii="Arial" w:hAnsi="Arial"/>
      <w:b/>
      <w:sz w:val="28"/>
    </w:rPr>
  </w:style>
  <w:style w:type="paragraph" w:styleId="Heading3">
    <w:name w:val="heading 3"/>
    <w:pPr>
      <w:spacing w:before="240" w:after="120"/>
    </w:pPr>
    <w:rPr>
      <w:rFonts w:ascii="Arial" w:hAnsi="Arial"/>
      <w:b/>
      <w:sz w:val="24"/>
    </w:rPr>
  </w:style>
  <w:style w:type="paragraph" w:styleId="Heading4">
    <w:name w:val="heading 4"/>
    <w:pPr>
      <w:spacing w:before="200" w:after="100"/>
    </w:pPr>
    <w:rPr>
      <w:rFonts w:ascii="Arial" w:hAnsi="Arial"/>
      <w:b/>
      <w:i/>
      <w:sz w:val="22"/>
    </w:rPr>
  </w:style>
  <w:style w:type="paragraph" w:styleId="CodeBlock">
    <w:name w:val="Code Block"/>
    <w:pPr>
      <w:spacing w:after="0" w:line="240" w:lineRule="auto"/>
    </w:pPr>
    <w:rPr>
      <w:rFonts w:ascii="Courier New" w:hAnsi="Courier New"/>
      <w:sz w:val="16"/>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