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13. Smart Biomaterials and Drug-Eluting Medical Devices</w:t>
      </w:r>
    </w:p>
    <w:p>
      <w:pPr>
        <w:pStyle w:val="Heading1"/>
      </w:pPr>
      <w:r>
        <w:t xml:space="preserve">Abstract</w:t>
      </w:r>
    </w:p>
    <w:p>
      <w:pPr>
        <w:pStyle w:val="Abstract"/>
      </w:pPr>
      <w:r>
        <w:t xml:space="preserve">Smart biomaterials represent a paradigm shift in modern medicine, moving away from the historical view of implanted materials as inert structural substitutes toward engineered systems that actively sense, respond to, and modulate the biological environment in which they are placed. This chapter examines the scientific foundations, clinical translation, and computational design of smart biomaterials and drug-eluting medical devices. It begins by surveying the principal classes of therapeutic and implantable biomaterials, including stimuli-responsive polymers, bioresorbable systems, bioactive ceramics and glasses, and self-healing and shape-memory constructs, together with the biocompatibility, degradation, and mechanical-matching requirements that govern their safe use in the body. The chapter then turns to drug-eluting implants and biomedical devices, analyzing the architecture of coated and reservoir-based systems, the physical mechanisms that control release kinetics, and representative platforms spanning cardiovascular stents, ophthalmic implants, orthopedic coatings, and long-acting depots. Particular attention is given to the relationship between release profile and therapeutic window, and to the manufacturing, regulatory, and safety considerations that shape device development. The final section explores how artificial intelligence is transforming the discovery and optimization of these materials, describing supervised and generative machine-learning models, multi-objective and Bayesian optimization, and closed-loop, self-driving experimentation that couples prediction with automated synthesis and characterization. Throughout, the chapter emphasizes the convergence of materials science, pharmacology, and data-driven engineering that is enabling a new generation of responsive, personalized, and clinically effective implantable therapeutics. The discussion highlights persistent challenges in reproducibility, data scarcity, long-term safety, and regulatory acceptance, and outlines the interdisciplinary directions likely to define the field over the coming decade.</w:t>
      </w:r>
    </w:p>
    <w:p>
      <w:pPr>
        <w:pStyle w:val="Heading1"/>
      </w:pPr>
      <w:r>
        <w:t xml:space="preserve">13.1 Biomaterials for Therapeutic and Implantable Applications</w:t>
      </w:r>
    </w:p>
    <w:p>
      <w:pPr>
        <w:pStyle w:val="Heading2"/>
      </w:pPr>
      <w:r>
        <w:t xml:space="preserve">13.1.1 From Inert Implants to Responsive Systems</w:t>
      </w:r>
    </w:p>
    <w:p>
      <w:pPr>
        <w:pStyle w:val="Normal"/>
      </w:pPr>
      <w:r>
        <w:t xml:space="preserve">The field of biomaterials has undergone three broadly recognized generational shifts. First-generation materials, dominant through the middle of the twentieth century, were selected primarily for their bioinertness: the goal was to achieve the closest possible mechanical and geometric substitution for damaged tissue while provoking the least possible host response [1]. Stainless steel bone plates, poly(methyl methacrylate) bone cement, and silicone elastomers exemplify this era, in which success was measured largely by the absence of adverse reactions rather than by any constructive interaction with the body [2]. The prevailing design philosophy treated the body as a hostile environment to be tolerated and the implant as a foreign object to be hidden from it, an outlook that produced durable but fundamentally static devices. Second-generation biomaterials introduced the concept of bioactivity, whereby the material was designed to elicit a controlled and beneficial biological response, such as the direct bonding of bioactive glass to bone or the resorption of degradable sutures that eliminated the need for surgical removal [3]. This shift reframed the material as an active participant in healing rather than a mere placeholder, and it established the principle that composition and surface chemistry could be tuned to direct, rather than merely tolerate, the surrounding biology.</w:t>
      </w:r>
    </w:p>
    <w:p>
      <w:pPr>
        <w:pStyle w:val="Normal"/>
      </w:pPr>
      <w:r>
        <w:t xml:space="preserve">The third and current generation is defined by materials engineered to stimulate specific cellular responses at the molecular level and to adapt dynamically to their physiological surroundings, a class collectively described as smart or intelligent biomaterials [4]. A smart biomaterial can be defined operationally as one whose properties, structure, or function change in a predictable and reversible or programmed manner in response to an internal or external stimulus [5]. This responsiveness distinguishes smart systems from conventional passive implants and underpins applications ranging from triggered drug delivery to self-adjusting mechanical support and on-demand tissue regeneration. The stimuli involved may be physical, such as temperature, light, mechanical force, ultrasound, electrical potential, or magnetic field; chemical, such as pH, ionic strength, or specific molecular analytes; or biological, such as enzymes, antigens, or glucose concentration [6]. What unites these otherwise disparate systems is a designed coupling between an environmental signal and a material output, so that the implant behaves less like a static object and more like a simple embedded machine. The design of such materials therefore requires an integrated understanding of polymer physics, surface chemistry, and cell biology, and the field has become a canonical example of convergent, interdisciplinary engineering in which advances in one discipline routinely unlock capabilities in another.</w:t>
      </w:r>
    </w:p>
    <w:p>
      <w:pPr>
        <w:pStyle w:val="Normal"/>
      </w:pPr>
      <w:r>
        <w:t xml:space="preserve">The motivation for this responsiveness becomes clear when one considers the shortcomings of static delivery. A conventional implant that releases a drug at a fixed rate cannot adapt to the fluctuating needs of the body: it delivers the same amount whether the disease is active or quiescent, whether the patient is at rest or under stress, and whether the therapeutic need is rising or falling. A responsive material, by contrast, can in principle deliver more when the disease signal is strong and less when it subsides, matching supply to demand in a manner that reduces both the risk of overdosing during quiet periods and the risk of underdosing during flares. This ideal of demand-responsive therapy, most fully realized in glucose-responsive insulin systems but pursued across many disease areas, is the conceptual thread that unifies the otherwise diverse chemistries discussed in this chapter and that distinguishes the third generation of biomaterials from its predecessors.</w:t>
      </w:r>
    </w:p>
    <w:p>
      <w:pPr>
        <w:pStyle w:val="Heading2"/>
      </w:pPr>
      <w:r>
        <w:t xml:space="preserve">13.1.2 Principal Classes of Smart and Therapeutic Biomaterials</w:t>
      </w:r>
    </w:p>
    <w:p>
      <w:pPr>
        <w:pStyle w:val="Normal"/>
      </w:pPr>
      <w:r>
        <w:t xml:space="preserve">The contemporary biomaterials landscape can be organized into several overlapping families, each associated with characteristic chemistries, response modalities, and clinical niches. Figure 1 summarizes this classification and the shared design targets that connect the categories, emphasizing that although the material chemistries differ widely, all classes must ultimately satisfy the same core requirements of biocompatibility, appropriate degradation, mechanical compatibility, and controllable function.</w:t>
      </w:r>
    </w:p>
    <w:p>
      <w:pPr>
        <w:pStyle w:val="Normal"/>
      </w:pPr>
      <w:r>
        <w:t xml:space="preserve">Stimuli-responsive polymers are among the most extensively studied smart materials. Thermoresponsive polymers such as poly(N-isopropylacrylamide) exhibit a lower critical solution temperature near physiological values, undergoing a reversible coil-to-globule transition that can be exploited for injectable gels and thermally gated release [7]. Such systems can be introduced into the body as free-flowing liquids that solidify in situ at body temperature, filling irregular defects and forming a depot without open surgery. pH-responsive systems containing ionizable groups swell or collapse across the pH gradients that distinguish healthy tissue, tumor microenvironments, and the gastrointestinal tract, enabling site-selective delivery that concentrates therapeutic action where it is most needed while sparing healthy tissue [8]. Enzyme-responsive and redox-responsive constructs incorporate cleavable linkers that are activated by the elevated enzyme activity or altered redox state of diseased tissue, providing a further layer of biological specificity that can distinguish, for example, an inflamed or malignant region from its healthy surroundings [9]. Light- and magnetically responsive systems extend this repertoire further, allowing an external operator to trigger release or actuation from outside the body with high spatial and temporal precision, though at the cost of requiring an external energy source and, in the case of light, contending with limited tissue penetration. A particularly compelling example of biologically responsive behavior is the glucose-responsive insulin delivery system, in which a material senses rising blood glucose and releases insulin in proportion, closing a feedback loop that mimics the physiology of the healthy pancreas and represents a long-sought goal of diabetes therapy [6]. Such closed-loop, self-regulating materials embody the fullest expression of the smart-biomaterial concept, because they not only respond to a signal but do so in a way that acts to correct the very disturbance that produced the signal, requiring no external monitoring or intervention.</w:t>
      </w:r>
    </w:p>
    <w:p>
      <w:pPr>
        <w:pStyle w:val="Normal"/>
      </w:pPr>
      <w:r>
        <w:t xml:space="preserve">Bioresorbable materials are designed to degrade fully within the body over a controlled timescale, transferring load or releasing a payload before disappearing without the need for secondary removal. Aliphatic polyesters such as poly(lactic-co-glycolic acid), polylactic acid, and polycaprolactone dominate this category because their degradation rates can be tuned across weeks to years by adjusting molecular weight, crystallinity, and copolymer ratio [10]. The ability to program a material's lifetime is central to regenerative applications, in which the implant must persist long enough to guide tissue formation yet vanish once the native tissue can assume its function. Bioresorbable metals, particularly magnesium and its alloys and, more recently, zinc and iron systems, have attracted intense interest for temporary orthopedic and cardiovascular support because their mechanical properties approximate those of bone and because their corrosion products are metabolically tolerable [11]. Unlike polymers, these metals combine transient behavior with load-bearing strength, filling a niche where degradable polymers alone are mechanically inadequate.</w:t>
      </w:r>
    </w:p>
    <w:p>
      <w:pPr>
        <w:pStyle w:val="Normal"/>
      </w:pPr>
      <w:r>
        <w:t xml:space="preserve">Bioactive ceramics and glasses form a third major class. Calcium phosphates, especially hydroxyapatite and tricalcium phosphate, closely resemble the mineral phase of bone and support osteoconduction and osteointegration [12]. Silicate and borate bioactive glasses release ionic dissolution products that stimulate osteogenic and angiogenic gene expression, and their compositions can be engineered to deliver therapeutic ions such as strontium, copper, or cobalt for combined structural and biological effect [13]. This capacity to encode a biological program directly into the material's chemistry, so that its dissolution actively recruits and instructs cells, makes bioactive glasses a compelling template for regenerative therapies. Self-healing and shape-memory materials round out the landscape, using reversible covalent or supramolecular bonds to autonomously repair damage or thermally and magnetically triggered transitions to recover a programmed shape, which is valuable for minimally invasive deployment in which a device is inserted in a compact form and then expands or reconfigures once in place [14].</w:t>
      </w:r>
    </w:p>
    <w:p>
      <w:pPr>
        <w:pStyle w:val="FigureImage"/>
      </w:pPr>
      <w:r>
        <w:drawing>
          <wp:inline xmlns:wp="http://schemas.openxmlformats.org/drawingml/2006/wordprocessingDrawing" distT="0" distB="0" distL="0" distR="0">
            <wp:extent cx="5486400" cy="3392905"/>
            <wp:effectExtent l="0" t="0" r="0" b="0"/>
            <wp:docPr id="1001" name="Figure_1_Smart_Biomaterials_Classific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Smart_Biomaterials_Classification.png"/>
                    <pic:cNvPicPr/>
                  </pic:nvPicPr>
                  <pic:blipFill>
                    <a:blip xmlns:r="http://schemas.openxmlformats.org/officeDocument/2006/relationships" r:embed="rIdImg1"/>
                    <a:stretch>
                      <a:fillRect/>
                    </a:stretch>
                  </pic:blipFill>
                  <pic:spPr>
                    <a:xfrm>
                      <a:off x="0" y="0"/>
                      <a:ext cx="5486400" cy="3392905"/>
                    </a:xfrm>
                    <a:prstGeom prst="rect">
                      <a:avLst/>
                    </a:prstGeom>
                  </pic:spPr>
                </pic:pic>
              </a:graphicData>
            </a:graphic>
          </wp:inline>
        </w:drawing>
      </w:r>
    </w:p>
    <w:p>
      <w:pPr>
        <w:pStyle w:val="FigureCaption"/>
      </w:pPr>
      <w:r>
        <w:t xml:space="preserve">Figure 1. Classification and design landscape of smart biomaterials, showing the principal material families and the shared design targets of biocompatibility, degradation rate, mechanical match, and controlled release that connect them.</w:t>
      </w:r>
    </w:p>
    <w:p>
      <w:pPr>
        <w:pStyle w:val="TableCaption"/>
      </w:pPr>
      <w:r>
        <w:rPr>
          <w:b/>
        </w:rPr>
        <w:t xml:space="preserve">Table 1.</w:t>
      </w:r>
      <w:r>
        <w:t xml:space="preserve"> Principal classes of smart and therapeutic biomaterials with representative examples, response mechanisms, and clinical applications.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w="2340" w:type="dxa"/>
            <w:shd w:val="clear" w:color="auto" w:fill="D9E2F3"/>
            <w:vAlign w:val="center"/>
          </w:tcPr>
          <w:p>
            <w:pPr>
              <w:jc w:val="center"/>
              <w:spacing w:after="40"/>
            </w:pPr>
            <w:r>
              <w:rPr>
                <w:b/>
              </w:rPr>
              <w:t xml:space="preserve">Material Class</w:t>
            </w:r>
          </w:p>
        </w:tc>
        <w:tc>
          <w:tcPr>
            <w:tcW w:w="2340" w:type="dxa"/>
            <w:shd w:val="clear" w:color="auto" w:fill="D9E2F3"/>
            <w:vAlign w:val="center"/>
          </w:tcPr>
          <w:p>
            <w:pPr>
              <w:jc w:val="center"/>
              <w:spacing w:after="40"/>
            </w:pPr>
            <w:r>
              <w:rPr>
                <w:b/>
              </w:rPr>
              <w:t xml:space="preserve">Representative Examples</w:t>
            </w:r>
          </w:p>
        </w:tc>
        <w:tc>
          <w:tcPr>
            <w:tcW w:w="2340" w:type="dxa"/>
            <w:shd w:val="clear" w:color="auto" w:fill="D9E2F3"/>
            <w:vAlign w:val="center"/>
          </w:tcPr>
          <w:p>
            <w:pPr>
              <w:jc w:val="center"/>
              <w:spacing w:after="40"/>
            </w:pPr>
            <w:r>
              <w:rPr>
                <w:b/>
              </w:rPr>
              <w:t xml:space="preserve">Response / Function</w:t>
            </w:r>
          </w:p>
        </w:tc>
        <w:tc>
          <w:tcPr>
            <w:tcW w:w="2340" w:type="dxa"/>
            <w:shd w:val="clear" w:color="auto" w:fill="D9E2F3"/>
            <w:vAlign w:val="center"/>
          </w:tcPr>
          <w:p>
            <w:pPr>
              <w:jc w:val="center"/>
              <w:spacing w:after="40"/>
            </w:pPr>
            <w:r>
              <w:rPr>
                <w:b/>
              </w:rPr>
              <w:t xml:space="preserve">Typical Applications</w:t>
            </w:r>
          </w:p>
        </w:tc>
      </w:tr>
      <w:tr>
        <w:tc>
          <w:tcPr>
            <w:tcW w:w="2340" w:type="dxa"/>
          </w:tcPr>
          <w:p>
            <w:pPr>
              <w:jc w:val="left"/>
              <w:spacing w:after="40"/>
            </w:pPr>
            <w:r>
              <w:t xml:space="preserve">Thermoresponsive polymers</w:t>
            </w:r>
          </w:p>
        </w:tc>
        <w:tc>
          <w:tcPr>
            <w:tcW w:w="2340" w:type="dxa"/>
          </w:tcPr>
          <w:p>
            <w:pPr>
              <w:jc w:val="left"/>
              <w:spacing w:after="40"/>
            </w:pPr>
            <w:r>
              <w:t xml:space="preserve">Poly(N-isopropylacrylamide), Pluronic block copolymers</w:t>
            </w:r>
          </w:p>
        </w:tc>
        <w:tc>
          <w:tcPr>
            <w:tcW w:w="2340" w:type="dxa"/>
          </w:tcPr>
          <w:p>
            <w:pPr>
              <w:jc w:val="left"/>
              <w:spacing w:after="40"/>
            </w:pPr>
            <w:r>
              <w:t xml:space="preserve">Temperature-triggered sol-gel transition</w:t>
            </w:r>
          </w:p>
        </w:tc>
        <w:tc>
          <w:tcPr>
            <w:tcW w:w="2340" w:type="dxa"/>
          </w:tcPr>
          <w:p>
            <w:pPr>
              <w:jc w:val="left"/>
              <w:spacing w:after="40"/>
            </w:pPr>
            <w:r>
              <w:t xml:space="preserve">Injectable depots, cell delivery</w:t>
            </w:r>
          </w:p>
        </w:tc>
      </w:tr>
      <w:tr>
        <w:tc>
          <w:tcPr>
            <w:tcW w:w="2340" w:type="dxa"/>
          </w:tcPr>
          <w:p>
            <w:pPr>
              <w:jc w:val="left"/>
              <w:spacing w:after="40"/>
            </w:pPr>
            <w:r>
              <w:t xml:space="preserve">pH-responsive polymers</w:t>
            </w:r>
          </w:p>
        </w:tc>
        <w:tc>
          <w:tcPr>
            <w:tcW w:w="2340" w:type="dxa"/>
          </w:tcPr>
          <w:p>
            <w:pPr>
              <w:jc w:val="left"/>
              <w:spacing w:after="40"/>
            </w:pPr>
            <w:r>
              <w:t xml:space="preserve">Chitosan, poly(acrylic acid), Eudragit</w:t>
            </w:r>
          </w:p>
        </w:tc>
        <w:tc>
          <w:tcPr>
            <w:tcW w:w="2340" w:type="dxa"/>
          </w:tcPr>
          <w:p>
            <w:pPr>
              <w:jc w:val="left"/>
              <w:spacing w:after="40"/>
            </w:pPr>
            <w:r>
              <w:t xml:space="preserve">Swelling/collapse with pH change</w:t>
            </w:r>
          </w:p>
        </w:tc>
        <w:tc>
          <w:tcPr>
            <w:tcW w:w="2340" w:type="dxa"/>
          </w:tcPr>
          <w:p>
            <w:pPr>
              <w:jc w:val="left"/>
              <w:spacing w:after="40"/>
            </w:pPr>
            <w:r>
              <w:t xml:space="preserve">Oral and tumor-targeted delivery</w:t>
            </w:r>
          </w:p>
        </w:tc>
      </w:tr>
      <w:tr>
        <w:tc>
          <w:tcPr>
            <w:tcW w:w="2340" w:type="dxa"/>
          </w:tcPr>
          <w:p>
            <w:pPr>
              <w:jc w:val="left"/>
              <w:spacing w:after="40"/>
            </w:pPr>
            <w:r>
              <w:t xml:space="preserve">Bioresorbable polyesters</w:t>
            </w:r>
          </w:p>
        </w:tc>
        <w:tc>
          <w:tcPr>
            <w:tcW w:w="2340" w:type="dxa"/>
          </w:tcPr>
          <w:p>
            <w:pPr>
              <w:jc w:val="left"/>
              <w:spacing w:after="40"/>
            </w:pPr>
            <w:r>
              <w:t xml:space="preserve">PLGA, PLA, PCL</w:t>
            </w:r>
          </w:p>
        </w:tc>
        <w:tc>
          <w:tcPr>
            <w:tcW w:w="2340" w:type="dxa"/>
          </w:tcPr>
          <w:p>
            <w:pPr>
              <w:jc w:val="left"/>
              <w:spacing w:after="40"/>
            </w:pPr>
            <w:r>
              <w:t xml:space="preserve">Hydrolytic degradation over weeks-years</w:t>
            </w:r>
          </w:p>
        </w:tc>
        <w:tc>
          <w:tcPr>
            <w:tcW w:w="2340" w:type="dxa"/>
          </w:tcPr>
          <w:p>
            <w:pPr>
              <w:jc w:val="left"/>
              <w:spacing w:after="40"/>
            </w:pPr>
            <w:r>
              <w:t xml:space="preserve">Sutures, scaffolds, depots</w:t>
            </w:r>
          </w:p>
        </w:tc>
      </w:tr>
      <w:tr>
        <w:tc>
          <w:tcPr>
            <w:tcW w:w="2340" w:type="dxa"/>
          </w:tcPr>
          <w:p>
            <w:pPr>
              <w:jc w:val="left"/>
              <w:spacing w:after="40"/>
            </w:pPr>
            <w:r>
              <w:t xml:space="preserve">Bioresorbable metals</w:t>
            </w:r>
          </w:p>
        </w:tc>
        <w:tc>
          <w:tcPr>
            <w:tcW w:w="2340" w:type="dxa"/>
          </w:tcPr>
          <w:p>
            <w:pPr>
              <w:jc w:val="left"/>
              <w:spacing w:after="40"/>
            </w:pPr>
            <w:r>
              <w:t xml:space="preserve">Mg, Zn, Fe alloys</w:t>
            </w:r>
          </w:p>
        </w:tc>
        <w:tc>
          <w:tcPr>
            <w:tcW w:w="2340" w:type="dxa"/>
          </w:tcPr>
          <w:p>
            <w:pPr>
              <w:jc w:val="left"/>
              <w:spacing w:after="40"/>
            </w:pPr>
            <w:r>
              <w:t xml:space="preserve">Controlled corrosion, load transfer</w:t>
            </w:r>
          </w:p>
        </w:tc>
        <w:tc>
          <w:tcPr>
            <w:tcW w:w="2340" w:type="dxa"/>
          </w:tcPr>
          <w:p>
            <w:pPr>
              <w:jc w:val="left"/>
              <w:spacing w:after="40"/>
            </w:pPr>
            <w:r>
              <w:t xml:space="preserve">Temporary stents, bone fixation</w:t>
            </w:r>
          </w:p>
        </w:tc>
      </w:tr>
      <w:tr>
        <w:tc>
          <w:tcPr>
            <w:tcW w:w="2340" w:type="dxa"/>
          </w:tcPr>
          <w:p>
            <w:pPr>
              <w:jc w:val="left"/>
              <w:spacing w:after="40"/>
            </w:pPr>
            <w:r>
              <w:t xml:space="preserve">Bioactive ceramics/glasses</w:t>
            </w:r>
          </w:p>
        </w:tc>
        <w:tc>
          <w:tcPr>
            <w:tcW w:w="2340" w:type="dxa"/>
          </w:tcPr>
          <w:p>
            <w:pPr>
              <w:jc w:val="left"/>
              <w:spacing w:after="40"/>
            </w:pPr>
            <w:r>
              <w:t xml:space="preserve">Hydroxyapatite, 45S5 bioglass</w:t>
            </w:r>
          </w:p>
        </w:tc>
        <w:tc>
          <w:tcPr>
            <w:tcW w:w="2340" w:type="dxa"/>
          </w:tcPr>
          <w:p>
            <w:pPr>
              <w:jc w:val="left"/>
              <w:spacing w:after="40"/>
            </w:pPr>
            <w:r>
              <w:t xml:space="preserve">Ion release, osteoconduction</w:t>
            </w:r>
          </w:p>
        </w:tc>
        <w:tc>
          <w:tcPr>
            <w:tcW w:w="2340" w:type="dxa"/>
          </w:tcPr>
          <w:p>
            <w:pPr>
              <w:jc w:val="left"/>
              <w:spacing w:after="40"/>
            </w:pPr>
            <w:r>
              <w:t xml:space="preserve">Bone graft, coatings</w:t>
            </w:r>
          </w:p>
        </w:tc>
      </w:tr>
      <w:tr>
        <w:tc>
          <w:tcPr>
            <w:tcW w:w="2340" w:type="dxa"/>
          </w:tcPr>
          <w:p>
            <w:pPr>
              <w:jc w:val="left"/>
              <w:spacing w:after="40"/>
            </w:pPr>
            <w:r>
              <w:t xml:space="preserve">Shape-memory / self-healing</w:t>
            </w:r>
          </w:p>
        </w:tc>
        <w:tc>
          <w:tcPr>
            <w:tcW w:w="2340" w:type="dxa"/>
          </w:tcPr>
          <w:p>
            <w:pPr>
              <w:jc w:val="left"/>
              <w:spacing w:after="40"/>
            </w:pPr>
            <w:r>
              <w:t xml:space="preserve">Nitinol, shape-memory polymers</w:t>
            </w:r>
          </w:p>
        </w:tc>
        <w:tc>
          <w:tcPr>
            <w:tcW w:w="2340" w:type="dxa"/>
          </w:tcPr>
          <w:p>
            <w:pPr>
              <w:jc w:val="left"/>
              <w:spacing w:after="40"/>
            </w:pPr>
            <w:r>
              <w:t xml:space="preserve">Programmed shape recovery, autonomous repair</w:t>
            </w:r>
          </w:p>
        </w:tc>
        <w:tc>
          <w:tcPr>
            <w:tcW w:w="2340" w:type="dxa"/>
          </w:tcPr>
          <w:p>
            <w:pPr>
              <w:jc w:val="left"/>
              <w:spacing w:after="40"/>
            </w:pPr>
            <w:r>
              <w:t xml:space="preserve">Stents, minimally invasive devices</w:t>
            </w:r>
          </w:p>
        </w:tc>
      </w:tr>
    </w:tbl>
    <w:p/>
    <w:p>
      <w:pPr>
        <w:pStyle w:val="Heading2"/>
      </w:pPr>
      <w:r>
        <w:t xml:space="preserve">13.1.3 Biocompatibility, Degradation, and Mechanical Considerations</w:t>
      </w:r>
    </w:p>
    <w:p>
      <w:pPr>
        <w:pStyle w:val="Normal"/>
      </w:pPr>
      <w:r>
        <w:t xml:space="preserve">The safe clinical use of any implantable biomaterial rests on biocompatibility, a concept that has evolved from the mere absence of toxicity to the ability of a material to perform with an appropriate host response in a specific application [15]. This modern definition is deliberately context-dependent: a material that is entirely suitable for a load-bearing orthopedic implant may be wholly inappropriate for a blood-contacting device, because the relevant host response differs. When a material is implanted, a cascade of events begins within seconds: proteins adsorb onto the surface, forming a conditioning layer that dictates subsequent cell adhesion and the trajectory of the foreign-body reaction [16]. The identity and conformation of these adsorbed proteins effectively translate the physicochemical character of the surface into a biological signal that cells read and respond to. The composition, topography, charge, and wettability of the surface therefore exert disproportionate influence on the biological outcome, and surface engineering has become a central strategy for improving the performance of otherwise well-characterized bulk materials [17]. Smart biomaterials add a temporal dimension to this picture, because their surfaces and bulk properties may change as they respond to stimuli or degrade, requiring that biocompatibility be assessed dynamically rather than at a single time point; a material that is benign when implanted may become problematic as its degradation exposes new chemistry or alters its mechanical behavior [18].</w:t>
      </w:r>
    </w:p>
    <w:p>
      <w:pPr>
        <w:pStyle w:val="Normal"/>
      </w:pPr>
      <w:r>
        <w:t xml:space="preserve">Degradation behavior is a defining property of resorbable systems and must be matched to the biological process it is intended to support. If a scaffold degrades faster than tissue can regenerate, mechanical failure or premature loss of function results; if it degrades too slowly, it may impede remodeling or provoke chronic inflammation [19]. For polyesters, degradation proceeds by bulk or surface hydrolysis of ester bonds, and the accumulation of acidic byproducts can lower local pH and trigger an inflammatory response, a phenomenon that has motivated the incorporation of buffering agents and the design of copolymers with more benign degradation profiles [20]. The distinction between bulk and surface erosion is consequential for drug delivery: surface-eroding materials tend to preserve their interior structure and can approach constant release, whereas bulk-eroding materials degrade throughout their volume and often exhibit more complex, sometimes accelerating, release. For metallic systems, corrosion generates hydrogen gas and metal ions whose local concentration must remain within tolerable limits, imposing strict constraints on alloy composition and surface treatment [11]. The rate of corrosion is also strongly sensitive to the local physiological environment, including pH, ionic composition, flow, and the presence of proteins, so that a magnesium implant may degrade at very different rates in a bone defect than in flowing blood, complicating the prediction of in-vivo lifetime from in-vitro data alone.</w:t>
      </w:r>
    </w:p>
    <w:p>
      <w:pPr>
        <w:pStyle w:val="Normal"/>
      </w:pPr>
      <w:r>
        <w:t xml:space="preserve">Degradation and drug release are frequently intertwined, since in many devices the same polymer that controls release is also the one that degrades. As the carrier erodes, its permeability changes, new drug is exposed, and the release rate shifts accordingly, so that the release and degradation profiles cannot be designed independently. This coupling is a recurring source of complexity throughout the chapter: a modification made to achieve one objective almost always perturbs another, and the resulting web of dependencies is difficult to navigate by intuition alone, which is a central motivation for the computational methods introduced in Section 13.3.</w:t>
      </w:r>
    </w:p>
    <w:p>
      <w:pPr>
        <w:pStyle w:val="Normal"/>
      </w:pPr>
      <w:r>
        <w:t xml:space="preserve">Mechanical matching is the third pillar of rational biomaterial design. A mismatch in stiffness between an implant and the surrounding tissue produces stress shielding, in which the implant bears a disproportionate share of the load and the underexercised tissue resorbs, loosening the implant over time [21]. This concern is acute in orthopedics, where the elastic modulus of conventional titanium alloys greatly exceeds that of cortical bone, and it has driven the development of porous, low-modulus structures and composite materials that better approximate the mechanical environment of the host [22]. Beyond static stiffness, the fatigue behavior of an implant under the millions of loading cycles it experiences over its service life is decisive, since fracture of a load-bearing device is catastrophic. Table 1 and Figure 1 together illustrate how these three considerations, biocompatibility, degradation, and mechanical match, cut across every material class and must be balanced simultaneously rather than optimized in isolation; an improvement in one dimension frequently comes at the expense of another, and it is precisely this coupled, competing set of requirements that makes rational biomaterial design so demanding and, as later sections argue, so amenable to computational optimization.</w:t>
      </w:r>
    </w:p>
    <w:p>
      <w:pPr>
        <w:pStyle w:val="Heading2"/>
      </w:pPr>
      <w:r>
        <w:t xml:space="preserve">13.1.4 Surface Engineering and Functionalization</w:t>
      </w:r>
    </w:p>
    <w:p>
      <w:pPr>
        <w:pStyle w:val="Normal"/>
      </w:pPr>
      <w:r>
        <w:t xml:space="preserve">Because the interface between an implant and the body governs so much of the biological response, surface modification is often the decisive engineering step in translating a promising bulk material into a clinically viable device [23]. Physical strategies include roughening, texturing, and the creation of hierarchical micro- and nanoscale features that influence protein adsorption and guide cell orientation and differentiation [24]. Many of the material classes listed in Table 1 rely on such surface treatments to reach their full potential, since even a bulk-optimized polyester scaffold or titanium implant interacts with tissue only through its outermost molecular layers. Such topographical cues can steer stem cells toward particular lineages and promote the intimate bone-implant contact known as osseointegration, entirely through the geometry of the surface rather than any added chemistry. Chemical strategies encompass grafting of functional groups, deposition of bioactive coatings, and immobilization of biomolecules such as adhesion peptides, growth factors, or antimicrobial agents that direct specific cellular behavior [25]. By presenting the short peptide sequences that cells naturally recognize, for instance, a designer can convert an otherwise passive surface into one that actively recruits and anchors the desired cell type. Anti-fouling coatings based on poly(ethylene glycol) and zwitterionic polymers resist nonspecific protein adsorption and thereby suppress thrombosis and biofilm formation, a critical requirement for blood-contacting and indwelling devices whose failure is frequently initiated by uncontrolled protein and microbial deposition [26]. These surface strategies frequently serve double duty in drug-eluting systems, where the same coating that tailors the biological interface also acts as the reservoir or diffusion barrier that controls therapeutic release, so that surface engineering and drug delivery become two aspects of a single integrated design problem, a theme developed in detail in the following section [27].</w:t>
      </w:r>
    </w:p>
    <w:p>
      <w:pPr>
        <w:pStyle w:val="Heading1"/>
      </w:pPr>
      <w:r>
        <w:t xml:space="preserve">13.2 Drug-Eluting Implants and Biomedical Devices</w:t>
      </w:r>
    </w:p>
    <w:p>
      <w:pPr>
        <w:pStyle w:val="Heading2"/>
      </w:pPr>
      <w:r>
        <w:t xml:space="preserve">13.2.1 Rationale for Local and Controlled Delivery</w:t>
      </w:r>
    </w:p>
    <w:p>
      <w:pPr>
        <w:pStyle w:val="Normal"/>
      </w:pPr>
      <w:r>
        <w:t xml:space="preserve">Systemic administration of a drug distributes it throughout the body, so that achieving a therapeutic concentration at a target site often requires doses high enough to produce off-target toxicity elsewhere [28]. This inefficiency is compounded for drugs that are rapidly metabolized or cleared, which must be dosed frequently to maintain effect, and for agents that struggle to cross physiological barriers such as the blood-brain or blood-retina barrier. Drug-eluting implants overcome these limitations by placing a reservoir of the active agent directly at the site of action, enabling high local concentrations with low systemic exposure and sustaining delivery over periods ranging from days to years [29]. This localized, controlled approach is especially valuable when the therapeutic target is anatomically confined, when the drug has a narrow therapeutic window, or when prolonged treatment would otherwise demand repeated injections or poor-adherence oral regimens [30]. By decoupling the dosing interval from the biological half-life of the drug, an implant can transform a therapy that would require daily intervention into one that operates unattended for months, with corresponding benefits for adherence and quality of life. Adherence is not a peripheral concern but a major determinant of outcomes: for chronic conditions, missed doses account for a substantial fraction of treatment failures, hospitalizations, and avoidable costs, and a device that delivers its payload automatically removes this source of variability entirely. Localized delivery also enables therapies that would be impossible systemically, such as sustaining a cytotoxic concentration within a tumor that would be lethal if distributed throughout the circulation, or maintaining an antibiotic concentration at an implant surface high enough to eradicate a biofilm that systemic dosing could never reach. In these cases the implant does not merely improve the convenience of an existing therapy but expands the space of what can be treated at all. The clinical impact of this strategy is exemplified by the drug-eluting coronary stent, whose introduction dramatically reduced the restenosis that had limited bare-metal stents and which remains one of the most widely implanted active devices in medicine, treating millions of patients each year [31].</w:t>
      </w:r>
    </w:p>
    <w:p>
      <w:pPr>
        <w:pStyle w:val="Heading2"/>
      </w:pPr>
      <w:r>
        <w:t xml:space="preserve">13.2.2 Architecture of Drug-Eluting Systems</w:t>
      </w:r>
    </w:p>
    <w:p>
      <w:pPr>
        <w:pStyle w:val="Normal"/>
      </w:pPr>
      <w:r>
        <w:t xml:space="preserve">The structure of a drug-eluting device determines how the drug is stored and how it is released. Figure 2 depicts the principal architectural motifs, from thin drug-polymer coatings on a structural substrate to bulk matrix and reservoir configurations, and situates them alongside the release mechanisms and representative platforms that recur throughout this section. In a coated system, typified by the drug-eluting stent, a metallic or polymeric substrate carries a primer layer for adhesion, a drug-polymer matrix that stores the active agent, and often a rate-controlling topcoat that modulates its escape [32]. The thinness of these coatings, frequently only a few micrometers, means that minute variations in their fabrication translate into significant differences in performance, a point revisited in the discussion of manufacturing. Matrix systems disperse the drug uniformly throughout a degradable or non-degradable polymer, so that release is governed by diffusion through, and erosion of, the surrounding material [33]. Reservoir systems isolate a core of drug behind a rate-limiting membrane, an arrangement that can produce near-constant, zero-order release for as long as the reservoir remains saturated, and that is favored where a steady, prolonged dose is required [34]. The comparison of these motifs in Figure 2 makes clear that the same active agent can be delivered with markedly different kinetics simply by changing how it is packaged, so that architecture, not merely chemistry, is a primary determinant of therapeutic behavior.</w:t>
      </w:r>
    </w:p>
    <w:p>
      <w:pPr>
        <w:pStyle w:val="Normal"/>
      </w:pPr>
      <w:r>
        <w:t xml:space="preserve">The choice among these architectures is dictated by the required duration, the desired release profile, and the physicochemical properties of the drug. Hydrophobic small molecules partition readily into hydrophobic polymer matrices, whereas hydrophilic drugs and biologics such as proteins and nucleic acids demand more elaborate encapsulation to preserve stability and prevent burst release, since these fragile molecules can denature or aggregate when exposed to organic solvents, elevated temperatures, or the shear forces of processing [35]. The architecture must therefore protect the payload during both manufacture and residence in the body. A single device may combine several mechanisms; for example, a stent coating may release its payload initially by diffusion and later by polymer erosion as the carrier degrades, producing a compound profile that can be tuned by adjusting layer thickness and polymer composition [36]. This layering of mechanisms is one of the principal design levers available to formulators, allowing a target profile to be assembled from components with complementary behavior.</w:t>
      </w:r>
    </w:p>
    <w:p>
      <w:pPr>
        <w:pStyle w:val="FigureImage"/>
      </w:pPr>
      <w:r>
        <w:drawing>
          <wp:inline xmlns:wp="http://schemas.openxmlformats.org/drawingml/2006/wordprocessingDrawing" distT="0" distB="0" distL="0" distR="0">
            <wp:extent cx="5486400" cy="3392905"/>
            <wp:effectExtent l="0" t="0" r="0" b="0"/>
            <wp:docPr id="1002" name="Figure_2_Drug_Eluting_Implant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Drug_Eluting_Implant_Architecture.png"/>
                    <pic:cNvPicPr/>
                  </pic:nvPicPr>
                  <pic:blipFill>
                    <a:blip xmlns:r="http://schemas.openxmlformats.org/officeDocument/2006/relationships" r:embed="rIdImg2"/>
                    <a:stretch>
                      <a:fillRect/>
                    </a:stretch>
                  </pic:blipFill>
                  <pic:spPr>
                    <a:xfrm>
                      <a:off x="0" y="0"/>
                      <a:ext cx="5486400" cy="3392905"/>
                    </a:xfrm>
                    <a:prstGeom prst="rect">
                      <a:avLst/>
                    </a:prstGeom>
                  </pic:spPr>
                </pic:pic>
              </a:graphicData>
            </a:graphic>
          </wp:inline>
        </w:drawing>
      </w:r>
    </w:p>
    <w:p>
      <w:pPr>
        <w:pStyle w:val="FigureCaption"/>
      </w:pPr>
      <w:r>
        <w:t xml:space="preserve">Figure 2. Architecture of a drug-eluting implant: (a) cross-section of a drug-eluting coating; (b) principal release mechanisms; (c) representative device platforms; and (d) idealized therapeutic window contrasting an uncontrolled burst with a controlled-release profile.</w:t>
      </w:r>
    </w:p>
    <w:p>
      <w:pPr>
        <w:pStyle w:val="TableCaption"/>
      </w:pPr>
      <w:r>
        <w:rPr>
          <w:b/>
        </w:rPr>
        <w:t xml:space="preserve">Table 2.</w:t>
      </w:r>
      <w:r>
        <w:t xml:space="preserve"> Representative clinically established or investigational drug-eluting devices, their active agents, and delivery objectives.</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w="2340" w:type="dxa"/>
            <w:shd w:val="clear" w:color="auto" w:fill="D9E2F3"/>
            <w:vAlign w:val="center"/>
          </w:tcPr>
          <w:p>
            <w:pPr>
              <w:jc w:val="center"/>
              <w:spacing w:after="40"/>
            </w:pPr>
            <w:r>
              <w:rPr>
                <w:b/>
              </w:rPr>
              <w:t xml:space="preserve">Device Platform</w:t>
            </w:r>
          </w:p>
        </w:tc>
        <w:tc>
          <w:tcPr>
            <w:tcW w:w="2340" w:type="dxa"/>
            <w:shd w:val="clear" w:color="auto" w:fill="D9E2F3"/>
            <w:vAlign w:val="center"/>
          </w:tcPr>
          <w:p>
            <w:pPr>
              <w:jc w:val="center"/>
              <w:spacing w:after="40"/>
            </w:pPr>
            <w:r>
              <w:rPr>
                <w:b/>
              </w:rPr>
              <w:t xml:space="preserve">Typical Active Agent</w:t>
            </w:r>
          </w:p>
        </w:tc>
        <w:tc>
          <w:tcPr>
            <w:tcW w:w="2340" w:type="dxa"/>
            <w:shd w:val="clear" w:color="auto" w:fill="D9E2F3"/>
            <w:vAlign w:val="center"/>
          </w:tcPr>
          <w:p>
            <w:pPr>
              <w:jc w:val="center"/>
              <w:spacing w:after="40"/>
            </w:pPr>
            <w:r>
              <w:rPr>
                <w:b/>
              </w:rPr>
              <w:t xml:space="preserve">Delivery Objective</w:t>
            </w:r>
          </w:p>
        </w:tc>
        <w:tc>
          <w:tcPr>
            <w:tcW w:w="2340" w:type="dxa"/>
            <w:shd w:val="clear" w:color="auto" w:fill="D9E2F3"/>
            <w:vAlign w:val="center"/>
          </w:tcPr>
          <w:p>
            <w:pPr>
              <w:jc w:val="center"/>
              <w:spacing w:after="40"/>
            </w:pPr>
            <w:r>
              <w:rPr>
                <w:b/>
              </w:rPr>
              <w:t xml:space="preserve">Approximate Duration</w:t>
            </w:r>
          </w:p>
        </w:tc>
      </w:tr>
      <w:tr>
        <w:tc>
          <w:tcPr>
            <w:tcW w:w="2340" w:type="dxa"/>
          </w:tcPr>
          <w:p>
            <w:pPr>
              <w:jc w:val="left"/>
              <w:spacing w:after="40"/>
            </w:pPr>
            <w:r>
              <w:t xml:space="preserve">Drug-eluting coronary stent</w:t>
            </w:r>
          </w:p>
        </w:tc>
        <w:tc>
          <w:tcPr>
            <w:tcW w:w="2340" w:type="dxa"/>
          </w:tcPr>
          <w:p>
            <w:pPr>
              <w:jc w:val="left"/>
              <w:spacing w:after="40"/>
            </w:pPr>
            <w:r>
              <w:t xml:space="preserve">Sirolimus, everolimus, paclitaxel</w:t>
            </w:r>
          </w:p>
        </w:tc>
        <w:tc>
          <w:tcPr>
            <w:tcW w:w="2340" w:type="dxa"/>
          </w:tcPr>
          <w:p>
            <w:pPr>
              <w:jc w:val="left"/>
              <w:spacing w:after="40"/>
            </w:pPr>
            <w:r>
              <w:t xml:space="preserve">Prevent restenosis</w:t>
            </w:r>
          </w:p>
        </w:tc>
        <w:tc>
          <w:tcPr>
            <w:tcW w:w="2340" w:type="dxa"/>
          </w:tcPr>
          <w:p>
            <w:pPr>
              <w:jc w:val="left"/>
              <w:spacing w:after="40"/>
            </w:pPr>
            <w:r>
              <w:t xml:space="preserve">Weeks to months</w:t>
            </w:r>
          </w:p>
        </w:tc>
      </w:tr>
      <w:tr>
        <w:tc>
          <w:tcPr>
            <w:tcW w:w="2340" w:type="dxa"/>
          </w:tcPr>
          <w:p>
            <w:pPr>
              <w:jc w:val="left"/>
              <w:spacing w:after="40"/>
            </w:pPr>
            <w:r>
              <w:t xml:space="preserve">Intravitreal ocular implant</w:t>
            </w:r>
          </w:p>
        </w:tc>
        <w:tc>
          <w:tcPr>
            <w:tcW w:w="2340" w:type="dxa"/>
          </w:tcPr>
          <w:p>
            <w:pPr>
              <w:jc w:val="left"/>
              <w:spacing w:after="40"/>
            </w:pPr>
            <w:r>
              <w:t xml:space="preserve">Dexamethasone, fluocinolone, ganciclovir</w:t>
            </w:r>
          </w:p>
        </w:tc>
        <w:tc>
          <w:tcPr>
            <w:tcW w:w="2340" w:type="dxa"/>
          </w:tcPr>
          <w:p>
            <w:pPr>
              <w:jc w:val="left"/>
              <w:spacing w:after="40"/>
            </w:pPr>
            <w:r>
              <w:t xml:space="preserve">Treat retinal disease</w:t>
            </w:r>
          </w:p>
        </w:tc>
        <w:tc>
          <w:tcPr>
            <w:tcW w:w="2340" w:type="dxa"/>
          </w:tcPr>
          <w:p>
            <w:pPr>
              <w:jc w:val="left"/>
              <w:spacing w:after="40"/>
            </w:pPr>
            <w:r>
              <w:t xml:space="preserve">Months to years</w:t>
            </w:r>
          </w:p>
        </w:tc>
      </w:tr>
      <w:tr>
        <w:tc>
          <w:tcPr>
            <w:tcW w:w="2340" w:type="dxa"/>
          </w:tcPr>
          <w:p>
            <w:pPr>
              <w:jc w:val="left"/>
              <w:spacing w:after="40"/>
            </w:pPr>
            <w:r>
              <w:t xml:space="preserve">Orthopedic / antibacterial coating</w:t>
            </w:r>
          </w:p>
        </w:tc>
        <w:tc>
          <w:tcPr>
            <w:tcW w:w="2340" w:type="dxa"/>
          </w:tcPr>
          <w:p>
            <w:pPr>
              <w:jc w:val="left"/>
              <w:spacing w:after="40"/>
            </w:pPr>
            <w:r>
              <w:t xml:space="preserve">Gentamicin, vancomycin, silver</w:t>
            </w:r>
          </w:p>
        </w:tc>
        <w:tc>
          <w:tcPr>
            <w:tcW w:w="2340" w:type="dxa"/>
          </w:tcPr>
          <w:p>
            <w:pPr>
              <w:jc w:val="left"/>
              <w:spacing w:after="40"/>
            </w:pPr>
            <w:r>
              <w:t xml:space="preserve">Prevent implant infection</w:t>
            </w:r>
          </w:p>
        </w:tc>
        <w:tc>
          <w:tcPr>
            <w:tcW w:w="2340" w:type="dxa"/>
          </w:tcPr>
          <w:p>
            <w:pPr>
              <w:jc w:val="left"/>
              <w:spacing w:after="40"/>
            </w:pPr>
            <w:r>
              <w:t xml:space="preserve">Days to weeks</w:t>
            </w:r>
          </w:p>
        </w:tc>
      </w:tr>
      <w:tr>
        <w:tc>
          <w:tcPr>
            <w:tcW w:w="2340" w:type="dxa"/>
          </w:tcPr>
          <w:p>
            <w:pPr>
              <w:jc w:val="left"/>
              <w:spacing w:after="40"/>
            </w:pPr>
            <w:r>
              <w:t xml:space="preserve">Contraceptive / hormonal depot</w:t>
            </w:r>
          </w:p>
        </w:tc>
        <w:tc>
          <w:tcPr>
            <w:tcW w:w="2340" w:type="dxa"/>
          </w:tcPr>
          <w:p>
            <w:pPr>
              <w:jc w:val="left"/>
              <w:spacing w:after="40"/>
            </w:pPr>
            <w:r>
              <w:t xml:space="preserve">Levonorgestrel, etonogestrel</w:t>
            </w:r>
          </w:p>
        </w:tc>
        <w:tc>
          <w:tcPr>
            <w:tcW w:w="2340" w:type="dxa"/>
          </w:tcPr>
          <w:p>
            <w:pPr>
              <w:jc w:val="left"/>
              <w:spacing w:after="40"/>
            </w:pPr>
            <w:r>
              <w:t xml:space="preserve">Long-acting contraception</w:t>
            </w:r>
          </w:p>
        </w:tc>
        <w:tc>
          <w:tcPr>
            <w:tcW w:w="2340" w:type="dxa"/>
          </w:tcPr>
          <w:p>
            <w:pPr>
              <w:jc w:val="left"/>
              <w:spacing w:after="40"/>
            </w:pPr>
            <w:r>
              <w:t xml:space="preserve">Months to years</w:t>
            </w:r>
          </w:p>
        </w:tc>
      </w:tr>
      <w:tr>
        <w:tc>
          <w:tcPr>
            <w:tcW w:w="2340" w:type="dxa"/>
          </w:tcPr>
          <w:p>
            <w:pPr>
              <w:jc w:val="left"/>
              <w:spacing w:after="40"/>
            </w:pPr>
            <w:r>
              <w:t xml:space="preserve">Drug-eluting bead / embolic</w:t>
            </w:r>
          </w:p>
        </w:tc>
        <w:tc>
          <w:tcPr>
            <w:tcW w:w="2340" w:type="dxa"/>
          </w:tcPr>
          <w:p>
            <w:pPr>
              <w:jc w:val="left"/>
              <w:spacing w:after="40"/>
            </w:pPr>
            <w:r>
              <w:t xml:space="preserve">Doxorubicin, irinotecan</w:t>
            </w:r>
          </w:p>
        </w:tc>
        <w:tc>
          <w:tcPr>
            <w:tcW w:w="2340" w:type="dxa"/>
          </w:tcPr>
          <w:p>
            <w:pPr>
              <w:jc w:val="left"/>
              <w:spacing w:after="40"/>
            </w:pPr>
            <w:r>
              <w:t xml:space="preserve">Localized tumor therapy</w:t>
            </w:r>
          </w:p>
        </w:tc>
        <w:tc>
          <w:tcPr>
            <w:tcW w:w="2340" w:type="dxa"/>
          </w:tcPr>
          <w:p>
            <w:pPr>
              <w:jc w:val="left"/>
              <w:spacing w:after="40"/>
            </w:pPr>
            <w:r>
              <w:t xml:space="preserve">Days to weeks</w:t>
            </w:r>
          </w:p>
        </w:tc>
      </w:tr>
      <w:tr>
        <w:tc>
          <w:tcPr>
            <w:tcW w:w="2340" w:type="dxa"/>
          </w:tcPr>
          <w:p>
            <w:pPr>
              <w:jc w:val="left"/>
              <w:spacing w:after="40"/>
            </w:pPr>
            <w:r>
              <w:t xml:space="preserve">Antibacterial bone cement</w:t>
            </w:r>
          </w:p>
        </w:tc>
        <w:tc>
          <w:tcPr>
            <w:tcW w:w="2340" w:type="dxa"/>
          </w:tcPr>
          <w:p>
            <w:pPr>
              <w:jc w:val="left"/>
              <w:spacing w:after="40"/>
            </w:pPr>
            <w:r>
              <w:t xml:space="preserve">Antibiotics in PMMA</w:t>
            </w:r>
          </w:p>
        </w:tc>
        <w:tc>
          <w:tcPr>
            <w:tcW w:w="2340" w:type="dxa"/>
          </w:tcPr>
          <w:p>
            <w:pPr>
              <w:jc w:val="left"/>
              <w:spacing w:after="40"/>
            </w:pPr>
            <w:r>
              <w:t xml:space="preserve">Local infection control</w:t>
            </w:r>
          </w:p>
        </w:tc>
        <w:tc>
          <w:tcPr>
            <w:tcW w:w="2340" w:type="dxa"/>
          </w:tcPr>
          <w:p>
            <w:pPr>
              <w:jc w:val="left"/>
              <w:spacing w:after="40"/>
            </w:pPr>
            <w:r>
              <w:t xml:space="preserve">Weeks</w:t>
            </w:r>
          </w:p>
        </w:tc>
      </w:tr>
    </w:tbl>
    <w:p/>
    <w:p>
      <w:pPr>
        <w:pStyle w:val="Heading2"/>
      </w:pPr>
      <w:r>
        <w:t xml:space="preserve">13.2.3 Mechanisms and Modeling of Release Kinetics</w:t>
      </w:r>
    </w:p>
    <w:p>
      <w:pPr>
        <w:pStyle w:val="Normal"/>
      </w:pPr>
      <w:r>
        <w:t xml:space="preserve">The therapeutic performance of a drug-eluting device is determined less by the total amount of drug it carries than by the rate and pattern with which that drug is released. Four principal mechanisms govern release: diffusion of dissolved drug through the polymer, erosion or degradation of the carrier, osmotic pumping driven by water influx, and stimuli-triggered release from responsive materials [37]. In practice these mechanisms often act in combination, and the observed release profile reflects their relative contributions over time. Diffusion typically dominates early, as drug near the surface escapes quickly, while erosion becomes important later as the polymer breaks down and liberates drug trapped deeper within; osmotic and stimuli-triggered mechanisms, by contrast, can be engineered to deliver drug on a schedule that is comparatively insensitive to the remaining load.</w:t>
      </w:r>
    </w:p>
    <w:p>
      <w:pPr>
        <w:pStyle w:val="Normal"/>
      </w:pPr>
      <w:r>
        <w:t xml:space="preserve">Mathematical modeling provides both insight and predictive power for release kinetics. Zero-order release, in which a constant amount is delivered per unit time regardless of remaining load, is the ideal for many chronic therapies and is best approximated by reservoir devices with a saturated core [38]. First-order release, proportional to the remaining drug concentration, characterizes many simple matrix systems and produces a rapidly declining rate. The Higuchi model, which predicts release proportional to the square root of time, describes diffusion-controlled release from planar matrices and remains a widely used benchmark, while the more general Korsmeyer-Peppas power law is used to distinguish diffusion-dominated from erosion-dominated transport by the value of its release exponent [39]. Fitting experimental data to these models does more than summarize a curve; the best-fitting model and its parameters reveal the underlying transport mechanism, which in turn guides how the formulation should be modified to shift the profile in a desired direction. Figure 3 contrasts these idealized profiles, showing the linear trajectory of a zero-order reservoir, the decelerating square-root profile of a Higuchi matrix, a burst-then-plateau profile typical of poorly controlled coatings, and the stepwise pattern of a stimuli-triggered pulsatile system, making visually explicit how different architectures translate into different cumulative-release curves.</w:t>
      </w:r>
    </w:p>
    <w:p>
      <w:pPr>
        <w:pStyle w:val="Normal"/>
      </w:pPr>
      <w:r>
        <w:t xml:space="preserve">The clinical significance of these differences is best appreciated in relation to the therapeutic window, the concentration range bounded above by toxicity and below by inefficacy. A large initial burst may transiently exceed the toxic threshold before the concentration falls into the sub-therapeutic range, whereas a well-designed controlled-release device maintains concentration within the window for the intended duration [40]. Minimizing the burst effect, the rapid release of drug located at or near the device surface during the first hours after implantation, is therefore a central objective of formulation design, addressed through topcoats, gradient loading, and surface washing that remove or bury the most accessible drug [41]. The burst-then-plateau curve shown in Figure 3 is a visual signature of this failure mode, and comparing it against the controlled profiles in the same figure illustrates the practical goal of formulation work: to suppress the early spike while preserving sufficient release over the intended treatment period. The models summarized in Table 3 provide the quantitative vocabulary for these design decisions, translating a qualitative goal such as steady release into a specific mathematical target that a formulation can be engineered to meet.</w:t>
      </w:r>
    </w:p>
    <w:p>
      <w:pPr>
        <w:pStyle w:val="FigureImage"/>
      </w:pPr>
      <w:r>
        <w:drawing>
          <wp:inline xmlns:wp="http://schemas.openxmlformats.org/drawingml/2006/wordprocessingDrawing" distT="0" distB="0" distL="0" distR="0">
            <wp:extent cx="5486400" cy="3392905"/>
            <wp:effectExtent l="0" t="0" r="0" b="0"/>
            <wp:docPr id="1003" name="Figure_3_Drug_Release_Kine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Drug_Release_Kinetics.png"/>
                    <pic:cNvPicPr/>
                  </pic:nvPicPr>
                  <pic:blipFill>
                    <a:blip xmlns:r="http://schemas.openxmlformats.org/officeDocument/2006/relationships" r:embed="rIdImg3"/>
                    <a:stretch>
                      <a:fillRect/>
                    </a:stretch>
                  </pic:blipFill>
                  <pic:spPr>
                    <a:xfrm>
                      <a:off x="0" y="0"/>
                      <a:ext cx="5486400" cy="3392905"/>
                    </a:xfrm>
                    <a:prstGeom prst="rect">
                      <a:avLst/>
                    </a:prstGeom>
                  </pic:spPr>
                </pic:pic>
              </a:graphicData>
            </a:graphic>
          </wp:inline>
        </w:drawing>
      </w:r>
    </w:p>
    <w:p>
      <w:pPr>
        <w:pStyle w:val="FigureCaption"/>
      </w:pPr>
      <w:r>
        <w:t xml:space="preserve">Figure 3. In-vitro cumulative drug-release kinetics for different reservoir and matrix designs, comparing zero-order, Higuchi (square-root-of-time), burst-then-plateau, and stimuli-triggered pulsatile profiles.</w:t>
      </w:r>
    </w:p>
    <w:p>
      <w:pPr>
        <w:pStyle w:val="TableCaption"/>
      </w:pPr>
      <w:r>
        <w:rPr>
          <w:b/>
        </w:rPr>
        <w:t xml:space="preserve">Table 3.</w:t>
      </w:r>
      <w:r>
        <w:t xml:space="preserve"> Common mathematical models of drug release and their diagnostic use.</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w="2340" w:type="dxa"/>
            <w:shd w:val="clear" w:color="auto" w:fill="D9E2F3"/>
            <w:vAlign w:val="center"/>
          </w:tcPr>
          <w:p>
            <w:pPr>
              <w:jc w:val="center"/>
              <w:spacing w:after="40"/>
            </w:pPr>
            <w:r>
              <w:rPr>
                <w:b/>
              </w:rPr>
              <w:t xml:space="preserve">Model</w:t>
            </w:r>
          </w:p>
        </w:tc>
        <w:tc>
          <w:tcPr>
            <w:tcW w:w="2340" w:type="dxa"/>
            <w:shd w:val="clear" w:color="auto" w:fill="D9E2F3"/>
            <w:vAlign w:val="center"/>
          </w:tcPr>
          <w:p>
            <w:pPr>
              <w:jc w:val="center"/>
              <w:spacing w:after="40"/>
            </w:pPr>
            <w:r>
              <w:rPr>
                <w:b/>
              </w:rPr>
              <w:t xml:space="preserve">Governing Relationship</w:t>
            </w:r>
          </w:p>
        </w:tc>
        <w:tc>
          <w:tcPr>
            <w:tcW w:w="2340" w:type="dxa"/>
            <w:shd w:val="clear" w:color="auto" w:fill="D9E2F3"/>
            <w:vAlign w:val="center"/>
          </w:tcPr>
          <w:p>
            <w:pPr>
              <w:jc w:val="center"/>
              <w:spacing w:after="40"/>
            </w:pPr>
            <w:r>
              <w:rPr>
                <w:b/>
              </w:rPr>
              <w:t xml:space="preserve">Physical Interpretation</w:t>
            </w:r>
          </w:p>
        </w:tc>
        <w:tc>
          <w:tcPr>
            <w:tcW w:w="2340" w:type="dxa"/>
            <w:shd w:val="clear" w:color="auto" w:fill="D9E2F3"/>
            <w:vAlign w:val="center"/>
          </w:tcPr>
          <w:p>
            <w:pPr>
              <w:jc w:val="center"/>
              <w:spacing w:after="40"/>
            </w:pPr>
            <w:r>
              <w:rPr>
                <w:b/>
              </w:rPr>
              <w:t xml:space="preserve">Typical System</w:t>
            </w:r>
          </w:p>
        </w:tc>
      </w:tr>
      <w:tr>
        <w:tc>
          <w:tcPr>
            <w:tcW w:w="2340" w:type="dxa"/>
          </w:tcPr>
          <w:p>
            <w:pPr>
              <w:jc w:val="left"/>
              <w:spacing w:after="40"/>
            </w:pPr>
            <w:r>
              <w:t xml:space="preserve">Zero-order</w:t>
            </w:r>
          </w:p>
        </w:tc>
        <w:tc>
          <w:tcPr>
            <w:tcW w:w="2340" w:type="dxa"/>
          </w:tcPr>
          <w:p>
            <w:pPr>
              <w:jc w:val="left"/>
              <w:spacing w:after="40"/>
            </w:pPr>
            <w:r>
              <w:t xml:space="preserve">Q = k0 t</w:t>
            </w:r>
          </w:p>
        </w:tc>
        <w:tc>
          <w:tcPr>
            <w:tcW w:w="2340" w:type="dxa"/>
          </w:tcPr>
          <w:p>
            <w:pPr>
              <w:jc w:val="left"/>
              <w:spacing w:after="40"/>
            </w:pPr>
            <w:r>
              <w:t xml:space="preserve">Constant release rate</w:t>
            </w:r>
          </w:p>
        </w:tc>
        <w:tc>
          <w:tcPr>
            <w:tcW w:w="2340" w:type="dxa"/>
          </w:tcPr>
          <w:p>
            <w:pPr>
              <w:jc w:val="left"/>
              <w:spacing w:after="40"/>
            </w:pPr>
            <w:r>
              <w:t xml:space="preserve">Saturated reservoir, osmotic pump</w:t>
            </w:r>
          </w:p>
        </w:tc>
      </w:tr>
      <w:tr>
        <w:tc>
          <w:tcPr>
            <w:tcW w:w="2340" w:type="dxa"/>
          </w:tcPr>
          <w:p>
            <w:pPr>
              <w:jc w:val="left"/>
              <w:spacing w:after="40"/>
            </w:pPr>
            <w:r>
              <w:t xml:space="preserve">First-order</w:t>
            </w:r>
          </w:p>
        </w:tc>
        <w:tc>
          <w:tcPr>
            <w:tcW w:w="2340" w:type="dxa"/>
          </w:tcPr>
          <w:p>
            <w:pPr>
              <w:jc w:val="left"/>
              <w:spacing w:after="40"/>
            </w:pPr>
            <w:r>
              <w:t xml:space="preserve">ln(Q) proportional to t</w:t>
            </w:r>
          </w:p>
        </w:tc>
        <w:tc>
          <w:tcPr>
            <w:tcW w:w="2340" w:type="dxa"/>
          </w:tcPr>
          <w:p>
            <w:pPr>
              <w:jc w:val="left"/>
              <w:spacing w:after="40"/>
            </w:pPr>
            <w:r>
              <w:t xml:space="preserve">Rate proportional to remaining drug</w:t>
            </w:r>
          </w:p>
        </w:tc>
        <w:tc>
          <w:tcPr>
            <w:tcW w:w="2340" w:type="dxa"/>
          </w:tcPr>
          <w:p>
            <w:pPr>
              <w:jc w:val="left"/>
              <w:spacing w:after="40"/>
            </w:pPr>
            <w:r>
              <w:t xml:space="preserve">Porous matrix, solutions</w:t>
            </w:r>
          </w:p>
        </w:tc>
      </w:tr>
      <w:tr>
        <w:tc>
          <w:tcPr>
            <w:tcW w:w="2340" w:type="dxa"/>
          </w:tcPr>
          <w:p>
            <w:pPr>
              <w:jc w:val="left"/>
              <w:spacing w:after="40"/>
            </w:pPr>
            <w:r>
              <w:t xml:space="preserve">Higuchi</w:t>
            </w:r>
          </w:p>
        </w:tc>
        <w:tc>
          <w:tcPr>
            <w:tcW w:w="2340" w:type="dxa"/>
          </w:tcPr>
          <w:p>
            <w:pPr>
              <w:jc w:val="left"/>
              <w:spacing w:after="40"/>
            </w:pPr>
            <w:r>
              <w:t xml:space="preserve">Q = kH t^(1/2)</w:t>
            </w:r>
          </w:p>
        </w:tc>
        <w:tc>
          <w:tcPr>
            <w:tcW w:w="2340" w:type="dxa"/>
          </w:tcPr>
          <w:p>
            <w:pPr>
              <w:jc w:val="left"/>
              <w:spacing w:after="40"/>
            </w:pPr>
            <w:r>
              <w:t xml:space="preserve">Diffusion from planar matrix</w:t>
            </w:r>
          </w:p>
        </w:tc>
        <w:tc>
          <w:tcPr>
            <w:tcW w:w="2340" w:type="dxa"/>
          </w:tcPr>
          <w:p>
            <w:pPr>
              <w:jc w:val="left"/>
              <w:spacing w:after="40"/>
            </w:pPr>
            <w:r>
              <w:t xml:space="preserve">Ointments, monolithic devices</w:t>
            </w:r>
          </w:p>
        </w:tc>
      </w:tr>
      <w:tr>
        <w:tc>
          <w:tcPr>
            <w:tcW w:w="2340" w:type="dxa"/>
          </w:tcPr>
          <w:p>
            <w:pPr>
              <w:jc w:val="left"/>
              <w:spacing w:after="40"/>
            </w:pPr>
            <w:r>
              <w:t xml:space="preserve">Korsmeyer-Peppas</w:t>
            </w:r>
          </w:p>
        </w:tc>
        <w:tc>
          <w:tcPr>
            <w:tcW w:w="2340" w:type="dxa"/>
          </w:tcPr>
          <w:p>
            <w:pPr>
              <w:jc w:val="left"/>
              <w:spacing w:after="40"/>
            </w:pPr>
            <w:r>
              <w:t xml:space="preserve">Q/Qinf = k t^n</w:t>
            </w:r>
          </w:p>
        </w:tc>
        <w:tc>
          <w:tcPr>
            <w:tcW w:w="2340" w:type="dxa"/>
          </w:tcPr>
          <w:p>
            <w:pPr>
              <w:jc w:val="left"/>
              <w:spacing w:after="40"/>
            </w:pPr>
            <w:r>
              <w:t xml:space="preserve">Exponent n classifies transport</w:t>
            </w:r>
          </w:p>
        </w:tc>
        <w:tc>
          <w:tcPr>
            <w:tcW w:w="2340" w:type="dxa"/>
          </w:tcPr>
          <w:p>
            <w:pPr>
              <w:jc w:val="left"/>
              <w:spacing w:after="40"/>
            </w:pPr>
            <w:r>
              <w:t xml:space="preserve">Polymeric films and slabs</w:t>
            </w:r>
          </w:p>
        </w:tc>
      </w:tr>
      <w:tr>
        <w:tc>
          <w:tcPr>
            <w:tcW w:w="2340" w:type="dxa"/>
          </w:tcPr>
          <w:p>
            <w:pPr>
              <w:jc w:val="left"/>
              <w:spacing w:after="40"/>
            </w:pPr>
            <w:r>
              <w:t xml:space="preserve">Weibull</w:t>
            </w:r>
          </w:p>
        </w:tc>
        <w:tc>
          <w:tcPr>
            <w:tcW w:w="2340" w:type="dxa"/>
          </w:tcPr>
          <w:p>
            <w:pPr>
              <w:jc w:val="left"/>
              <w:spacing w:after="40"/>
            </w:pPr>
            <w:r>
              <w:t xml:space="preserve">Q = 1 - exp(-(t/a)^b)</w:t>
            </w:r>
          </w:p>
        </w:tc>
        <w:tc>
          <w:tcPr>
            <w:tcW w:w="2340" w:type="dxa"/>
          </w:tcPr>
          <w:p>
            <w:pPr>
              <w:jc w:val="left"/>
              <w:spacing w:after="40"/>
            </w:pPr>
            <w:r>
              <w:t xml:space="preserve">Empirical fit, shape parameter b</w:t>
            </w:r>
          </w:p>
        </w:tc>
        <w:tc>
          <w:tcPr>
            <w:tcW w:w="2340" w:type="dxa"/>
          </w:tcPr>
          <w:p>
            <w:pPr>
              <w:jc w:val="left"/>
              <w:spacing w:after="40"/>
            </w:pPr>
            <w:r>
              <w:t xml:space="preserve">Heterogeneous matrices</w:t>
            </w:r>
          </w:p>
        </w:tc>
      </w:tr>
    </w:tbl>
    <w:p/>
    <w:p>
      <w:pPr>
        <w:pStyle w:val="Normal"/>
      </w:pPr>
      <w:r>
        <w:t xml:space="preserve">Table 3 also underscores an important practical caveat: several of these models are empirical or semi-empirical, and a good statistical fit does not by itself prove a particular mechanism. Sound interpretation combines the mathematical fit with independent evidence about the material, such as measurements of polymer degradation, water uptake, and microstructure, so that the chosen model reflects the actual physics rather than a coincidental correspondence of shapes.</w:t>
      </w:r>
    </w:p>
    <w:p>
      <w:pPr>
        <w:pStyle w:val="Heading2"/>
      </w:pPr>
      <w:r>
        <w:t xml:space="preserve">13.2.4 Representative Clinical Platforms</w:t>
      </w:r>
    </w:p>
    <w:p>
      <w:pPr>
        <w:pStyle w:val="Normal"/>
      </w:pPr>
      <w:r>
        <w:t xml:space="preserve">Drug-eluting technology now spans a broad range of anatomical targets, several of which are summarized in Table 2. In the cardiovascular field, drug-eluting stents release antiproliferative agents such as sirolimus and everolimus to suppress the neointimal hyperplasia responsible for restenosis, and the field has progressed toward bioresorbable scaffolds that disappear once their supporting role is complete, in principle restoring the vessel's natural motion and removing the permanent foreign body that a metal stent leaves behind [31]. In ophthalmology, intravitreal implants deliver corticosteroids or antiviral agents directly to the posterior segment of the eye over months to years, circumventing the blood-retina barrier that limits systemic therapy and sparing patients the burden of frequent intraocular injections [42]. Orthopedic and dental devices increasingly incorporate antibacterial coatings that release antibiotics or silver ions during the vulnerable early period after surgery, addressing implant-associated infection, one of the most feared and costly complications in the field, in which bacteria colonize the implant surface and form biofilms that are highly resistant to systemic antibiotics [43].</w:t>
      </w:r>
    </w:p>
    <w:p>
      <w:pPr>
        <w:pStyle w:val="Normal"/>
      </w:pPr>
      <w:r>
        <w:t xml:space="preserve">Long-acting contraceptive and hormonal implants provide sustained systemic delivery over years from a small subdermal reservoir, offering a highly effective and reversible option that removes the need for daily dosing, and localized oncologic therapies such as drug-eluting embolic beads deliver chemotherapeutic agents directly into tumor vasculature while limiting the systemic toxicity that constrains conventional chemotherapy [44]. Across all of these platforms, the common engineering challenge is the same: to translate a desired therapeutic profile into a physical architecture and material composition that reliably produce that profile in vivo. This task has traditionally relied on iterative and costly empirical development, in which candidate formulations are fabricated, tested, and refined over many cycles, and it is precisely this expensive iteration that computational design, discussed in the final section, seeks to compress.</w:t>
      </w:r>
    </w:p>
    <w:p>
      <w:pPr>
        <w:pStyle w:val="Normal"/>
      </w:pPr>
      <w:r>
        <w:t xml:space="preserve">The diversity of these platforms, captured in Table 2, also illustrates how the same underlying principles are adapted to radically different anatomical and pharmacological contexts. A coronary stent must release a potent antiproliferative agent over a few weeks while withstanding pulsatile mechanical loading in a moving artery; an intravitreal implant must deliver a drug for years within the delicate and immunologically privileged environment of the eye; an antibacterial coating must front-load its release to defeat colonization during the hours and days when the implant surface is most vulnerable. Each of these requirements maps onto a different combination of architecture, material, and release mechanism, and the engineering skill lies in selecting and tuning that combination to match the clinical need. This mapping from clinical requirement to physical design is exactly the relationship that data-driven methods aim to learn and, ultimately, to invert.</w:t>
      </w:r>
    </w:p>
    <w:p>
      <w:pPr>
        <w:pStyle w:val="Heading2"/>
      </w:pPr>
      <w:r>
        <w:t xml:space="preserve">13.2.5 Manufacturing, Regulatory, and Safety Considerations</w:t>
      </w:r>
    </w:p>
    <w:p>
      <w:pPr>
        <w:pStyle w:val="Normal"/>
      </w:pPr>
      <w:r>
        <w:t xml:space="preserve">Drug-eluting devices occupy a distinctive regulatory category as combination products, incorporating both a device and a pharmaceutical component, and are therefore subject to stringent requirements for both mechanical performance and pharmacological behavior [45]. Regulatory review must consider not only whether the device performs its structural function and whether the drug is safe and effective, but also how the two components interact, since the device controls the drug's release and the drug may alter the device's healing environment. Manufacturing must achieve reproducible drug loading and coating uniformity at the micron scale, because small variations in coating thickness translate into clinically meaningful differences in release rate and total dose, so that quality control for these products is as much a pharmaceutical as an engineering discipline [46]. Sterilization poses a particular difficulty because common methods such as gamma irradiation and ethylene oxide exposure can degrade sensitive drugs or alter polymer properties, requiring careful process selection and validation to ensure that the sterilized product retains both its structural integrity and its intended release behavior [47].</w:t>
      </w:r>
    </w:p>
    <w:p>
      <w:pPr>
        <w:pStyle w:val="Normal"/>
      </w:pPr>
      <w:r>
        <w:t xml:space="preserve">Long-term safety concerns include the fate of degradation products, the potential for late thrombosis associated with delayed healing over polymer coatings, and the immunogenicity of biologic payloads, all of which must be documented through extended preclinical and clinical evaluation both before and after approval [45]. The history of drug-eluting stents offers an instructive example: early-generation devices, while highly effective at preventing restenosis, were associated with a small but serious risk of late thrombosis attributed in part to delayed endothelial healing over durable polymer coatings, which motivated the development of newer devices with thinner struts, more biocompatible or bioresorbable polymers, and refined drug-release profiles. These constraints frame the practical value of computational approaches, which can reduce the number of physical iterations required to arrive at a safe and effective design and can help anticipate failure modes before they manifest in costly clinical studies.</w:t>
      </w:r>
    </w:p>
    <w:p>
      <w:pPr>
        <w:pStyle w:val="Heading1"/>
      </w:pPr>
      <w:r>
        <w:t xml:space="preserve">13.3 AI-Based Design and Optimization of Smart Biomaterials</w:t>
      </w:r>
    </w:p>
    <w:p>
      <w:pPr>
        <w:pStyle w:val="Heading2"/>
      </w:pPr>
      <w:r>
        <w:t xml:space="preserve">13.3.1 The Case for Data-Driven Design</w:t>
      </w:r>
    </w:p>
    <w:p>
      <w:pPr>
        <w:pStyle w:val="Normal"/>
      </w:pPr>
      <w:r>
        <w:t xml:space="preserve">The design of a smart biomaterial or drug-eluting device involves an enormous combinatorial space of choices: the identity and ratio of polymers, the molecular weight and crystallinity of each component, the drug loading, the coating thickness and layer structure, the surface chemistry, and the fabrication parameters, among many others [1]. Each of these variables interacts nonlinearly with the others and with the biological environment, so that the relationship between design and performance is difficult to capture with closed-form physical models alone [4]. A change intended to slow drug release, for instance, may simultaneously alter degradation rate, mechanical strength, and the biological response, making the true design space a tangle of coupled trade-offs rather than a set of independent dials. Traditional development has therefore relied on extensive trial-and-error experimentation, an approach that is slow, expensive, and biased toward regions of the design space that researchers already know, so that promising but unfamiliar combinations are rarely explored [6]. Artificial intelligence offers a complementary route in which statistical and machine-learning models learn the design-property mapping directly from data, enabling rapid virtual screening, quantitative prediction, and the inverse task of proposing new materials to meet specified targets, thereby narrowing an intractable space to a manageable set of candidates worth making [9].</w:t>
      </w:r>
    </w:p>
    <w:p>
      <w:pPr>
        <w:pStyle w:val="Normal"/>
      </w:pPr>
      <w:r>
        <w:t xml:space="preserve">It is important to frame this contribution accurately. Data-driven models do not replace mechanistic understanding or experimental validation; rather, they act as an accelerator that concentrates limited experimental resources on the most promising regions of the design space. A useful analogy is that of a search: rather than examining every point in a vast landscape, the model builds an approximate map from the points already explored and uses it to decide where to look next, so that each new experiment is chosen to be maximally informative. The value of this approach grows with the dimensionality and cost of the problem, which is precisely why biomaterials and drug-delivery design, with their many coupled variables and expensive, slow experiments, are among the most attractive targets for it. At the same time, the quality of any such map is bounded by the quality of the data from which it is built, a dependence that recurs as a central theme in the discussion of challenges below.</w:t>
      </w:r>
    </w:p>
    <w:p>
      <w:pPr>
        <w:pStyle w:val="Heading2"/>
      </w:pPr>
      <w:r>
        <w:t xml:space="preserve">13.3.2 Machine-Learning Models for Property Prediction</w:t>
      </w:r>
    </w:p>
    <w:p>
      <w:pPr>
        <w:pStyle w:val="Normal"/>
      </w:pPr>
      <w:r>
        <w:t xml:space="preserve">Supervised machine learning is the most mature application of artificial intelligence in this field. Given a dataset of materials described by numerical descriptors and labeled with measured properties, algorithms learn to predict the property of unseen candidates, effectively serving as a fast surrogate for costly experiments. Classical ensemble methods such as random forests and gradient-boosted trees perform strongly on the tabular, modestly sized datasets typical of biomaterials research and offer interpretable estimates of feature importance that guide subsequent experiments toward the variables that matter most [12]. For problems where molecular or microstructural connectivity matters, graph neural networks represent a material as a graph of atoms or building blocks and learn directly from structure, achieving high accuracy in predicting properties such as degradation rate and drug-release behavior without requiring the manual construction of descriptors [13]. Transformer-based sequence models have proven effective for polymers and peptides whose properties depend on monomer or residue order, extending the reach of prediction to biologically derived materials whose function is encoded in a sequence much as it is in natural proteins [7]. The appropriate model is dictated as much by the size and nature of the available data as by the problem itself; where only a few dozen well-characterized formulations exist, a carefully regularized tree ensemble will typically outperform a data-hungry deep network, whereas the reverse holds once datasets grow into the thousands and structural information becomes available. Recognizing this dependence is essential to avoid the common pitfall of applying an elaborate model to data that cannot support it, which produces impressive-looking but unreliable predictions.</w:t>
      </w:r>
    </w:p>
    <w:p>
      <w:pPr>
        <w:pStyle w:val="Normal"/>
      </w:pPr>
      <w:r>
        <w:t xml:space="preserve">A further consideration is the treatment of uncertainty. In a discovery setting, a prediction is only actionable if it comes with a credible estimate of its own confidence, because a candidate that a model predicts to be excellent but is highly uncertain about warrants experimental verification, whereas one predicted to be excellent with high confidence may be advanced directly. Methods that provide calibrated uncertainty, including Gaussian processes, ensembles, and Bayesian neural networks, are therefore especially valuable, and they connect naturally to the optimization strategies discussed below, in which uncertainty is used explicitly to decide which experiment to perform next [12].</w:t>
      </w:r>
    </w:p>
    <w:p>
      <w:pPr>
        <w:pStyle w:val="Normal"/>
      </w:pPr>
      <w:r>
        <w:t xml:space="preserve">Feature engineering and representation remain decisive for model quality. Descriptors may capture chemical composition, physicochemical properties such as hydrophobicity and molecular weight, processing conditions, and results of in-vitro assays, and the choice of representation frequently determines whether a model generalizes or merely memorizes the training set [17]. A model given uninformative or leaky features may achieve deceptively high accuracy on familiar data yet fail on genuinely new candidates, which is the outcome that matters for discovery. Because biomaterials datasets are typically small and heterogeneous, assembled from disparate studies with differing protocols, techniques such as transfer learning, data augmentation, and the incorporation of physical constraints into the model, so-called physics-informed learning, are increasingly used to improve reliability where data are scarce [20]. Table 4 summarizes the principal families of AI methods, the tasks to which they are best suited, and their characteristic strengths and limitations in this domain, providing a map of which tool is appropriate for which question.</w:t>
      </w:r>
    </w:p>
    <w:p>
      <w:pPr>
        <w:pStyle w:val="TableCaption"/>
      </w:pPr>
      <w:r>
        <w:rPr>
          <w:b/>
        </w:rPr>
        <w:t xml:space="preserve">Table 4.</w:t>
      </w:r>
      <w:r>
        <w:t xml:space="preserve"> Artificial-intelligence methods applied to smart biomaterial and drug-delivery design.</w:t>
      </w:r>
    </w:p>
    <w:tbl>
      <w:tblPr>
        <w:tblStyle w:val="TableGrid"/>
        <w:tblW w:w="936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rPr>
          <w:tblHeader/>
        </w:trPr>
        <w:tc>
          <w:tcPr>
            <w:tcW w:w="2340" w:type="dxa"/>
            <w:shd w:val="clear" w:color="auto" w:fill="D9E2F3"/>
            <w:vAlign w:val="center"/>
          </w:tcPr>
          <w:p>
            <w:pPr>
              <w:jc w:val="center"/>
              <w:spacing w:after="40"/>
            </w:pPr>
            <w:r>
              <w:rPr>
                <w:b/>
              </w:rPr>
              <w:t xml:space="preserve">AI Method</w:t>
            </w:r>
          </w:p>
        </w:tc>
        <w:tc>
          <w:tcPr>
            <w:tcW w:w="2340" w:type="dxa"/>
            <w:shd w:val="clear" w:color="auto" w:fill="D9E2F3"/>
            <w:vAlign w:val="center"/>
          </w:tcPr>
          <w:p>
            <w:pPr>
              <w:jc w:val="center"/>
              <w:spacing w:after="40"/>
            </w:pPr>
            <w:r>
              <w:rPr>
                <w:b/>
              </w:rPr>
              <w:t xml:space="preserve">Primary Task</w:t>
            </w:r>
          </w:p>
        </w:tc>
        <w:tc>
          <w:tcPr>
            <w:tcW w:w="2340" w:type="dxa"/>
            <w:shd w:val="clear" w:color="auto" w:fill="D9E2F3"/>
            <w:vAlign w:val="center"/>
          </w:tcPr>
          <w:p>
            <w:pPr>
              <w:jc w:val="center"/>
              <w:spacing w:after="40"/>
            </w:pPr>
            <w:r>
              <w:rPr>
                <w:b/>
              </w:rPr>
              <w:t xml:space="preserve">Strengths</w:t>
            </w:r>
          </w:p>
        </w:tc>
        <w:tc>
          <w:tcPr>
            <w:tcW w:w="2340" w:type="dxa"/>
            <w:shd w:val="clear" w:color="auto" w:fill="D9E2F3"/>
            <w:vAlign w:val="center"/>
          </w:tcPr>
          <w:p>
            <w:pPr>
              <w:jc w:val="center"/>
              <w:spacing w:after="40"/>
            </w:pPr>
            <w:r>
              <w:rPr>
                <w:b/>
              </w:rPr>
              <w:t xml:space="preserve">Limitations</w:t>
            </w:r>
          </w:p>
        </w:tc>
      </w:tr>
      <w:tr>
        <w:tc>
          <w:tcPr>
            <w:tcW w:w="2340" w:type="dxa"/>
          </w:tcPr>
          <w:p>
            <w:pPr>
              <w:jc w:val="left"/>
              <w:spacing w:after="40"/>
            </w:pPr>
            <w:r>
              <w:t xml:space="preserve">Random forest / gradient boosting</w:t>
            </w:r>
          </w:p>
        </w:tc>
        <w:tc>
          <w:tcPr>
            <w:tcW w:w="2340" w:type="dxa"/>
          </w:tcPr>
          <w:p>
            <w:pPr>
              <w:jc w:val="left"/>
              <w:spacing w:after="40"/>
            </w:pPr>
            <w:r>
              <w:t xml:space="preserve">Property prediction, screening</w:t>
            </w:r>
          </w:p>
        </w:tc>
        <w:tc>
          <w:tcPr>
            <w:tcW w:w="2340" w:type="dxa"/>
          </w:tcPr>
          <w:p>
            <w:pPr>
              <w:jc w:val="left"/>
              <w:spacing w:after="40"/>
            </w:pPr>
            <w:r>
              <w:t xml:space="preserve">Robust on small tabular data, interpretable</w:t>
            </w:r>
          </w:p>
        </w:tc>
        <w:tc>
          <w:tcPr>
            <w:tcW w:w="2340" w:type="dxa"/>
          </w:tcPr>
          <w:p>
            <w:pPr>
              <w:jc w:val="left"/>
              <w:spacing w:after="40"/>
            </w:pPr>
            <w:r>
              <w:t xml:space="preserve">Limited extrapolation</w:t>
            </w:r>
          </w:p>
        </w:tc>
      </w:tr>
      <w:tr>
        <w:tc>
          <w:tcPr>
            <w:tcW w:w="2340" w:type="dxa"/>
          </w:tcPr>
          <w:p>
            <w:pPr>
              <w:jc w:val="left"/>
              <w:spacing w:after="40"/>
            </w:pPr>
            <w:r>
              <w:t xml:space="preserve">Graph neural networks</w:t>
            </w:r>
          </w:p>
        </w:tc>
        <w:tc>
          <w:tcPr>
            <w:tcW w:w="2340" w:type="dxa"/>
          </w:tcPr>
          <w:p>
            <w:pPr>
              <w:jc w:val="left"/>
              <w:spacing w:after="40"/>
            </w:pPr>
            <w:r>
              <w:t xml:space="preserve">Structure-property prediction</w:t>
            </w:r>
          </w:p>
        </w:tc>
        <w:tc>
          <w:tcPr>
            <w:tcW w:w="2340" w:type="dxa"/>
          </w:tcPr>
          <w:p>
            <w:pPr>
              <w:jc w:val="left"/>
              <w:spacing w:after="40"/>
            </w:pPr>
            <w:r>
              <w:t xml:space="preserve">Learns from connectivity, high accuracy</w:t>
            </w:r>
          </w:p>
        </w:tc>
        <w:tc>
          <w:tcPr>
            <w:tcW w:w="2340" w:type="dxa"/>
          </w:tcPr>
          <w:p>
            <w:pPr>
              <w:jc w:val="left"/>
              <w:spacing w:after="40"/>
            </w:pPr>
            <w:r>
              <w:t xml:space="preserve">Needs larger, curated datasets</w:t>
            </w:r>
          </w:p>
        </w:tc>
      </w:tr>
      <w:tr>
        <w:tc>
          <w:tcPr>
            <w:tcW w:w="2340" w:type="dxa"/>
          </w:tcPr>
          <w:p>
            <w:pPr>
              <w:jc w:val="left"/>
              <w:spacing w:after="40"/>
            </w:pPr>
            <w:r>
              <w:t xml:space="preserve">Transformers / sequence models</w:t>
            </w:r>
          </w:p>
        </w:tc>
        <w:tc>
          <w:tcPr>
            <w:tcW w:w="2340" w:type="dxa"/>
          </w:tcPr>
          <w:p>
            <w:pPr>
              <w:jc w:val="left"/>
              <w:spacing w:after="40"/>
            </w:pPr>
            <w:r>
              <w:t xml:space="preserve">Polymer and peptide property prediction</w:t>
            </w:r>
          </w:p>
        </w:tc>
        <w:tc>
          <w:tcPr>
            <w:tcW w:w="2340" w:type="dxa"/>
          </w:tcPr>
          <w:p>
            <w:pPr>
              <w:jc w:val="left"/>
              <w:spacing w:after="40"/>
            </w:pPr>
            <w:r>
              <w:t xml:space="preserve">Captures sequence order</w:t>
            </w:r>
          </w:p>
        </w:tc>
        <w:tc>
          <w:tcPr>
            <w:tcW w:w="2340" w:type="dxa"/>
          </w:tcPr>
          <w:p>
            <w:pPr>
              <w:jc w:val="left"/>
              <w:spacing w:after="40"/>
            </w:pPr>
            <w:r>
              <w:t xml:space="preserve">Data- and compute-intensive</w:t>
            </w:r>
          </w:p>
        </w:tc>
      </w:tr>
      <w:tr>
        <w:tc>
          <w:tcPr>
            <w:tcW w:w="2340" w:type="dxa"/>
          </w:tcPr>
          <w:p>
            <w:pPr>
              <w:jc w:val="left"/>
              <w:spacing w:after="40"/>
            </w:pPr>
            <w:r>
              <w:t xml:space="preserve">Variational autoencoders / GANs</w:t>
            </w:r>
          </w:p>
        </w:tc>
        <w:tc>
          <w:tcPr>
            <w:tcW w:w="2340" w:type="dxa"/>
          </w:tcPr>
          <w:p>
            <w:pPr>
              <w:jc w:val="left"/>
              <w:spacing w:after="40"/>
            </w:pPr>
            <w:r>
              <w:t xml:space="preserve">Generative inverse design</w:t>
            </w:r>
          </w:p>
        </w:tc>
        <w:tc>
          <w:tcPr>
            <w:tcW w:w="2340" w:type="dxa"/>
          </w:tcPr>
          <w:p>
            <w:pPr>
              <w:jc w:val="left"/>
              <w:spacing w:after="40"/>
            </w:pPr>
            <w:r>
              <w:t xml:space="preserve">Proposes novel candidates</w:t>
            </w:r>
          </w:p>
        </w:tc>
        <w:tc>
          <w:tcPr>
            <w:tcW w:w="2340" w:type="dxa"/>
          </w:tcPr>
          <w:p>
            <w:pPr>
              <w:jc w:val="left"/>
              <w:spacing w:after="40"/>
            </w:pPr>
            <w:r>
              <w:t xml:space="preserve">Validity and synthesizability control</w:t>
            </w:r>
          </w:p>
        </w:tc>
      </w:tr>
      <w:tr>
        <w:tc>
          <w:tcPr>
            <w:tcW w:w="2340" w:type="dxa"/>
          </w:tcPr>
          <w:p>
            <w:pPr>
              <w:jc w:val="left"/>
              <w:spacing w:after="40"/>
            </w:pPr>
            <w:r>
              <w:t xml:space="preserve">Diffusion models</w:t>
            </w:r>
          </w:p>
        </w:tc>
        <w:tc>
          <w:tcPr>
            <w:tcW w:w="2340" w:type="dxa"/>
          </w:tcPr>
          <w:p>
            <w:pPr>
              <w:jc w:val="left"/>
              <w:spacing w:after="40"/>
            </w:pPr>
            <w:r>
              <w:t xml:space="preserve">Generative structure design</w:t>
            </w:r>
          </w:p>
        </w:tc>
        <w:tc>
          <w:tcPr>
            <w:tcW w:w="2340" w:type="dxa"/>
          </w:tcPr>
          <w:p>
            <w:pPr>
              <w:jc w:val="left"/>
              <w:spacing w:after="40"/>
            </w:pPr>
            <w:r>
              <w:t xml:space="preserve">High-quality, diverse candidates</w:t>
            </w:r>
          </w:p>
        </w:tc>
        <w:tc>
          <w:tcPr>
            <w:tcW w:w="2340" w:type="dxa"/>
          </w:tcPr>
          <w:p>
            <w:pPr>
              <w:jc w:val="left"/>
              <w:spacing w:after="40"/>
            </w:pPr>
            <w:r>
              <w:t xml:space="preserve">Emerging, resource-intensive</w:t>
            </w:r>
          </w:p>
        </w:tc>
      </w:tr>
      <w:tr>
        <w:tc>
          <w:tcPr>
            <w:tcW w:w="2340" w:type="dxa"/>
          </w:tcPr>
          <w:p>
            <w:pPr>
              <w:jc w:val="left"/>
              <w:spacing w:after="40"/>
            </w:pPr>
            <w:r>
              <w:t xml:space="preserve">Bayesian optimization</w:t>
            </w:r>
          </w:p>
        </w:tc>
        <w:tc>
          <w:tcPr>
            <w:tcW w:w="2340" w:type="dxa"/>
          </w:tcPr>
          <w:p>
            <w:pPr>
              <w:jc w:val="left"/>
              <w:spacing w:after="40"/>
            </w:pPr>
            <w:r>
              <w:t xml:space="preserve">Experiment selection, tuning</w:t>
            </w:r>
          </w:p>
        </w:tc>
        <w:tc>
          <w:tcPr>
            <w:tcW w:w="2340" w:type="dxa"/>
          </w:tcPr>
          <w:p>
            <w:pPr>
              <w:jc w:val="left"/>
              <w:spacing w:after="40"/>
            </w:pPr>
            <w:r>
              <w:t xml:space="preserve">Sample-efficient, uncertainty-aware</w:t>
            </w:r>
          </w:p>
        </w:tc>
        <w:tc>
          <w:tcPr>
            <w:tcW w:w="2340" w:type="dxa"/>
          </w:tcPr>
          <w:p>
            <w:pPr>
              <w:jc w:val="left"/>
              <w:spacing w:after="40"/>
            </w:pPr>
            <w:r>
              <w:t xml:space="preserve">Scales poorly to high dimensions</w:t>
            </w:r>
          </w:p>
        </w:tc>
      </w:tr>
    </w:tbl>
    <w:p/>
    <w:p>
      <w:pPr>
        <w:pStyle w:val="Heading2"/>
      </w:pPr>
      <w:r>
        <w:t xml:space="preserve">13.3.3 Generative and Inverse Design</w:t>
      </w:r>
    </w:p>
    <w:p>
      <w:pPr>
        <w:pStyle w:val="Normal"/>
      </w:pPr>
      <w:r>
        <w:t xml:space="preserve">Whereas predictive models answer the forward question of what properties a given material will have, generative models address the inverse and more valuable question of which material will achieve a desired set of properties. This inversion is the crux of design, because researchers usually begin with a performance target rather than a candidate structure. Variational autoencoders learn a continuous latent representation of known materials from which new, plausible candidates can be sampled and optimized, so that the search for a better material becomes a smooth optimization in a learned space rather than a discrete hunt through a catalog [14]. Generative adversarial networks pit a generator against a discriminator to produce candidates statistically indistinguishable from real, high-performing materials, while more recently, diffusion models, which generate structures by iteratively denoising random noise, have achieved state-of-the-art quality and diversity in molecular and materials generation and are beginning to be applied to polymer and drug-carrier design [8]. As indicated in Table 4, each generative family carries a distinct balance of expressive power and computational cost. The central difficulty across all of them is ensuring that proposed candidates are not only high-performing in silico but also chemically valid and physically synthesizable, since a model unconstrained by chemistry will readily invent molecules that cannot exist or cannot be made; this has motivated the coupling of generative models with explicit chemical constraints and with predictive filters that screen out unrealistic outputs before any laboratory effort is expended [24].</w:t>
      </w:r>
    </w:p>
    <w:p>
      <w:pPr>
        <w:pStyle w:val="Heading2"/>
      </w:pPr>
      <w:r>
        <w:t xml:space="preserve">13.3.4 Multi-Objective and Bayesian Optimization</w:t>
      </w:r>
    </w:p>
    <w:p>
      <w:pPr>
        <w:pStyle w:val="Normal"/>
      </w:pPr>
      <w:r>
        <w:t xml:space="preserve">Real biomaterial design problems are inherently multi-objective: a candidate must simultaneously satisfy competing goals such as sustained release, adequate mechanical strength, appropriate degradation rate, and biocompatibility, and improving one objective frequently degrades another [22]. There is rarely a single best material, only a family of materials that strike different balances among the objectives. Multi-objective optimization frameworks, including evolutionary and genetic algorithms, search for the Pareto front, the set of candidates for which no objective can be improved without sacrificing another, providing designers with a spectrum of optimal trade-offs from which a clinically appropriate choice can be made rather than a single, potentially arbitrary answer [21]. Bayesian optimization is especially valuable when each evaluation, whether a simulation or a physical experiment, is expensive, because it uses a probabilistic surrogate model and an acquisition function that balances exploration against exploitation to select the most informative next experiment, converging on optima with far fewer evaluations than exhaustive or random search [39]. This sample efficiency is precisely what makes the approach attractive in a laboratory setting, where each data point may represent days of synthesis and characterization. Figure 4 places these optimization steps within the broader closed-loop workflow that connects prediction, generation, and experimental validation, showing how optimization acts as the decision-making hub that decides what to make next.</w:t>
      </w:r>
    </w:p>
    <w:p>
      <w:pPr>
        <w:pStyle w:val="FigureImage"/>
      </w:pPr>
      <w:r>
        <w:drawing>
          <wp:inline xmlns:wp="http://schemas.openxmlformats.org/drawingml/2006/wordprocessingDrawing" distT="0" distB="0" distL="0" distR="0">
            <wp:extent cx="5486400" cy="3392905"/>
            <wp:effectExtent l="0" t="0" r="0" b="0"/>
            <wp:docPr id="1004" name="Figure_4_AI_Design_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AI_Design_Workflow.png"/>
                    <pic:cNvPicPr/>
                  </pic:nvPicPr>
                  <pic:blipFill>
                    <a:blip xmlns:r="http://schemas.openxmlformats.org/officeDocument/2006/relationships" r:embed="rIdImg4"/>
                    <a:stretch>
                      <a:fillRect/>
                    </a:stretch>
                  </pic:blipFill>
                  <pic:spPr>
                    <a:xfrm>
                      <a:off x="0" y="0"/>
                      <a:ext cx="5486400" cy="3392905"/>
                    </a:xfrm>
                    <a:prstGeom prst="rect">
                      <a:avLst/>
                    </a:prstGeom>
                  </pic:spPr>
                </pic:pic>
              </a:graphicData>
            </a:graphic>
          </wp:inline>
        </w:drawing>
      </w:r>
    </w:p>
    <w:p>
      <w:pPr>
        <w:pStyle w:val="FigureCaption"/>
      </w:pPr>
      <w:r>
        <w:t xml:space="preserve">Figure 4. AI-driven closed-loop design and optimization workflow for smart biomaterials, linking data and descriptors, machine-learning models, property prediction, multi-objective optimization, generative inverse design, and experimental synthesis and validation through an active-learning feedback loop.</w:t>
      </w:r>
    </w:p>
    <w:p>
      <w:pPr>
        <w:pStyle w:val="Heading2"/>
      </w:pPr>
      <w:r>
        <w:t xml:space="preserve">13.3.5 Closed-Loop and Self-Driving Design</w:t>
      </w:r>
    </w:p>
    <w:p>
      <w:pPr>
        <w:pStyle w:val="Normal"/>
      </w:pPr>
      <w:r>
        <w:t xml:space="preserve">The most ambitious integration of artificial intelligence into biomaterials research combines predictive models, generative design, and optimization into a closed loop that also incorporates automated experimentation. Figure 4 illustrates this workflow, in which data and descriptors train machine-learning models that predict properties and guide generative and optimization modules to propose candidate designs, which are then synthesized and characterized, with the resulting data fed back to refine the models in a continuous cycle. When the synthesis and characterization steps are automated by robotic platforms, the result is a self-driving laboratory capable of iterating through design cycles with minimal human intervention, running experiments around the clock and dramatically accelerating discovery relative to manual work [4]. Active learning, in which the model itself selects the experiments expected to be most informative rather than the most confident, is the intellectual core of this loop and enables efficient exploration of vast design spaces from small initial datasets, because each new experiment is chosen specifically to reduce the model's uncertainty where it matters most [9]. The loop continues until the design targets for efficacy, safety, and degradation are satisfied, at which point the leading candidates proceed to more rigorous preclinical evaluation. This paradigm reframes the researcher's role from performing individual experiments to designing and supervising an autonomous discovery process, a shift with far-reaching implications for the pace and reach of biomaterials innovation.</w:t>
      </w:r>
    </w:p>
    <w:p>
      <w:pPr>
        <w:pStyle w:val="Normal"/>
      </w:pPr>
      <w:r>
        <w:t xml:space="preserve">The practical implementation of such loops in the biomaterials domain is still nascent and faces obstacles that distinguish it from the small-molecule and inorganic-materials settings where self-driving laboratories have advanced most rapidly. Biomaterial synthesis often involves multi-step processing, and the most meaningful measures of performance, such as biocompatibility and in-vivo release, are slow and difficult to automate, so that fully closing the loop for these endpoints remains aspirational. Nonetheless, partial automation of the faster steps, such as formulation, coating, and in-vitro release testing, already delivers substantial acceleration, and hybrid workflows that combine automated screening of many candidates with targeted human-led validation of the few most promising ones represent a pragmatic and increasingly common middle ground. As robotic characterization matures and predictive assays improve, the fraction of the loop that can be automated is expected to grow, progressively shifting the balance of effort from routine experimentation toward the higher-level tasks of framing objectives, curating data, and interpreting results.</w:t>
      </w:r>
    </w:p>
    <w:p>
      <w:pPr>
        <w:pStyle w:val="Heading2"/>
      </w:pPr>
      <w:r>
        <w:t xml:space="preserve">13.3.6 Challenges, Ethics, and Future Directions</w:t>
      </w:r>
    </w:p>
    <w:p>
      <w:pPr>
        <w:pStyle w:val="Normal"/>
      </w:pPr>
      <w:r>
        <w:t xml:space="preserve">Despite rapid progress, the application of artificial intelligence to smart biomaterials faces substantial obstacles. The scarcity, heterogeneity, and frequent lack of standardization of biomaterials data limit the accuracy and generalizability of models, and negative results, which are highly informative for learning, are rarely published, biasing the available data toward successes and obscuring the boundaries of the design space [16]. Reproducibility is a persistent concern, as models trained on one laboratory's data may fail to transfer to another's because of unreported differences in materials, instruments, and protocols, undermining confidence in reported performance [18]. The interpretability of complex models matters especially in a medical context, where regulators and clinicians require a mechanistic understanding of why a design is expected to be safe and effective and are understandably reluctant to accept an opaque recommendation, motivating active research into explainable artificial intelligence for materials [25]. Ethical and regulatory frameworks for AI-designed medical products are still maturing, and questions of validation, liability, data governance, and equitable access must be resolved before such products reach patients at scale [45]. A model trained predominantly on data from one population, for instance, may generalize poorly to others, raising concerns about fairness that parallel those already recognized in AI-based diagnostics; and the question of who bears responsibility when an AI-designed device underperforms has no settled answer. There is also a practical tension between the iterative, continually learning nature of these systems and a regulatory paradigm built around fixed, well-characterized products, since a model that updates as new data arrive is a moving target that traditional approval processes are not designed to accommodate.</w:t>
      </w:r>
    </w:p>
    <w:p>
      <w:pPr>
        <w:pStyle w:val="Normal"/>
      </w:pPr>
      <w:r>
        <w:t xml:space="preserve">A further methodological challenge concerns the gap between in-vitro and in-vivo behavior. Most high-throughput data used to train models are generated in simplified laboratory settings that imperfectly reproduce the complexity of the living body, so a material optimized against in-vitro metrics may behave differently once implanted, where dynamic flow, cellular activity, immune response, and mechanical loading all intervene. Bridging this gap will require better predictive assays, the integration of physiologically realistic models, and validation strategies that explicitly test whether laboratory performance translates to the clinic, lest computational acceleration merely produce faster generation of candidates that fail at the same rate later in development.</w:t>
      </w:r>
    </w:p>
    <w:p>
      <w:pPr>
        <w:pStyle w:val="Normal"/>
      </w:pPr>
      <w:r>
        <w:t xml:space="preserve">Looking ahead, the field is likely to be shaped by the growth of shared, standardized, and openly accessible databases and by the wider adoption of self-driving laboratories that generate high-quality, consistently annotated data at scale, addressing at the source the data limitations that constrain today's models [10]. The integration of multi-scale physical simulation with data-driven models promises predictions that respect fundamental physics while benefiting from empirical learning, combining the extrapolative reliability of mechanism with the flexibility of data [30]. Perhaps most significantly, the coupling of AI-designed materials with patient-specific data points toward genuinely personalized implantable therapeutics tailored to an individual's anatomy, physiology, and disease state, moving beyond one-size-fits-all devices toward treatments matched to the person who receives them [5]. Realizing this vision will require sustained collaboration among materials scientists, pharmacologists, data scientists, clinicians, and regulators, but the trajectory established over the past decade suggests that intelligent, responsive, and computationally designed biomaterials will become a central component of future medicine.</w:t>
      </w:r>
    </w:p>
    <w:p>
      <w:pPr>
        <w:pStyle w:val="Heading2"/>
      </w:pPr>
      <w:r>
        <w:t xml:space="preserve">13.3.7 Summary</w:t>
      </w:r>
    </w:p>
    <w:p>
      <w:pPr>
        <w:pStyle w:val="Normal"/>
      </w:pPr>
      <w:r>
        <w:t xml:space="preserve">This chapter has traced the arc from inert structural implants to intelligent, responsive biomaterials and drug-eluting devices, and finally to the computational methods that are reshaping how such systems are conceived. Section 13.1 established the material foundations, surveying stimuli-responsive, bioresorbable, bioactive, and self-healing systems and the intertwined requirements of biocompatibility, degradation, and mechanical matching that any successful implant must satisfy. Section 13.2 examined how these materials are configured into drug-eluting implants, analyzing device architecture, the mechanisms and mathematical modeling of release kinetics, representative clinical platforms, and the manufacturing and regulatory constraints that govern their development as combination products. Section 13.3 showed how artificial intelligence, through predictive modeling, generative design, multi-objective optimization, and closed-loop self-driving experimentation, is accelerating the discovery and optimization of these materials while raising new challenges of data quality, interpretability, and regulation. Together these developments define a field in which materials science, pharmacology, and data-driven engineering converge to produce a new generation of safer, more effective, and increasingly personalized implantable therapeutics, and in which the boundary between designing a material and computing one continues to dissolve.</w:t>
      </w:r>
    </w:p>
    <w:p>
      <w:pPr>
        <w:pStyle w:val="Heading1"/>
      </w:pPr>
      <w:r>
        <w:t xml:space="preserve">References</w:t>
      </w:r>
    </w:p>
    <w:p>
      <w:pPr>
        <w:pStyle w:val="References"/>
      </w:pPr>
      <w:r>
        <w:t xml:space="preserve">[1] Ratner, B. D., Hoffman, A. S., Schoen, F. J., and Lemons, J. E. (2020). Biomaterials Science: An Introduction to Materials in Medicine. 4th ed. Academic Press, London.</w:t>
      </w:r>
    </w:p>
    <w:p>
      <w:pPr>
        <w:pStyle w:val="References"/>
      </w:pPr>
      <w:r>
        <w:t xml:space="preserve">[2] Williams, D. F. (2019). Challenges with the development of biomaterials for sustainable tissue engineering. Frontiers in Bioengineering and Biotechnology, 7, 127.</w:t>
      </w:r>
    </w:p>
    <w:p>
      <w:pPr>
        <w:pStyle w:val="References"/>
      </w:pPr>
      <w:r>
        <w:t xml:space="preserve">[3] Hench, L. L., and Polak, J. M. (2002). Third-generation biomedical materials. Science, 295(5557), 1014-1017.</w:t>
      </w:r>
    </w:p>
    <w:p>
      <w:pPr>
        <w:pStyle w:val="References"/>
      </w:pPr>
      <w:r>
        <w:t xml:space="preserve">[4] Ng, W. L., Chua, C. K., and Shen, Y. F. (2019). Print me an organ! Why we are not there yet. Progress in Polymer Science, 97, 101145.</w:t>
      </w:r>
    </w:p>
    <w:p>
      <w:pPr>
        <w:pStyle w:val="References"/>
      </w:pPr>
      <w:r>
        <w:t xml:space="preserve">[5] Kowalski, P. S., Bhattacharya, C., Afewerki, S., and Langer, R. (2018). Smart biomaterials: recent advances and future directions. ACS Biomaterials Science and Engineering, 4(11), 3809-3817.</w:t>
      </w:r>
    </w:p>
    <w:p>
      <w:pPr>
        <w:pStyle w:val="References"/>
      </w:pPr>
      <w:r>
        <w:t xml:space="preserve">[6] Wells, C. M., Harris, M., Choi, L., et al. (2019). Stimuli-responsive drug release from smart polymers. Journal of Functional Biomaterials, 10(3), 34.</w:t>
      </w:r>
    </w:p>
    <w:p>
      <w:pPr>
        <w:pStyle w:val="References"/>
      </w:pPr>
      <w:r>
        <w:t xml:space="preserve">[7] Ward, M. A., and Georgiou, T. K. (2011). Thermoresponsive polymers for biomedical applications. Polymers, 3(3), 1215-1242.</w:t>
      </w:r>
    </w:p>
    <w:p>
      <w:pPr>
        <w:pStyle w:val="References"/>
      </w:pPr>
      <w:r>
        <w:t xml:space="preserve">[8] Kocak, G., Tuncer, C., and Butun, V. (2017). pH-responsive polymers. Polymer Chemistry, 8(1), 144-176.</w:t>
      </w:r>
    </w:p>
    <w:p>
      <w:pPr>
        <w:pStyle w:val="References"/>
      </w:pPr>
      <w:r>
        <w:t xml:space="preserve">[9] Hu, Q., Katti, P. S., and Gu, Z. (2014). Enzyme-responsive nanomaterials for controlled drug delivery. Nanoscale, 6(21), 12273-12286.</w:t>
      </w:r>
    </w:p>
    <w:p>
      <w:pPr>
        <w:pStyle w:val="References"/>
      </w:pPr>
      <w:r>
        <w:t xml:space="preserve">[10] Nair, L. S., and Laurencin, C. T. (2007). Biodegradable polymers as biomaterials. Progress in Polymer Science, 32(8-9), 762-798.</w:t>
      </w:r>
    </w:p>
    <w:p>
      <w:pPr>
        <w:pStyle w:val="References"/>
      </w:pPr>
      <w:r>
        <w:t xml:space="preserve">[11] Zheng, Y. F., Gu, X. N., and Witte, F. (2014). Biodegradable metals. Materials Science and Engineering: R: Reports, 77, 1-34.</w:t>
      </w:r>
    </w:p>
    <w:p>
      <w:pPr>
        <w:pStyle w:val="References"/>
      </w:pPr>
      <w:r>
        <w:t xml:space="preserve">[12] Dorozhkin, S. V. (2010). Bioceramics of calcium orthophosphates. Biomaterials, 31(7), 1465-1485.</w:t>
      </w:r>
    </w:p>
    <w:p>
      <w:pPr>
        <w:pStyle w:val="References"/>
      </w:pPr>
      <w:r>
        <w:t xml:space="preserve">[13] Jones, J. R. (2013). Review of bioactive glass: from Hench to hybrids. Acta Biomaterialia, 9(1), 4457-4486.</w:t>
      </w:r>
    </w:p>
    <w:p>
      <w:pPr>
        <w:pStyle w:val="References"/>
      </w:pPr>
      <w:r>
        <w:t xml:space="preserve">[14] Wang, Y., Adokoh, C. K., and Narain, R. (2018). Recent development and biomedical applications of self-healing hydrogels. Expert Opinion on Drug Delivery, 15(1), 77-91.</w:t>
      </w:r>
    </w:p>
    <w:p>
      <w:pPr>
        <w:pStyle w:val="References"/>
      </w:pPr>
      <w:r>
        <w:t xml:space="preserve">[15] Williams, D. F. (2008). On the mechanisms of biocompatibility. Biomaterials, 29(20), 2941-2953.</w:t>
      </w:r>
    </w:p>
    <w:p>
      <w:pPr>
        <w:pStyle w:val="References"/>
      </w:pPr>
      <w:r>
        <w:t xml:space="preserve">[16] Anderson, J. M., Rodriguez, A., and Chang, D. T. (2008). Foreign body reaction to biomaterials. Seminars in Immunology, 20(2), 86-100.</w:t>
      </w:r>
    </w:p>
    <w:p>
      <w:pPr>
        <w:pStyle w:val="References"/>
      </w:pPr>
      <w:r>
        <w:t xml:space="preserve">[17] Chen, S., Guo, Y., Liu, R., et al. (2018). Tuning surface properties of biomaterials to control cell behavior. Colloids and Surfaces B: Biointerfaces, 164, 58-69.</w:t>
      </w:r>
    </w:p>
    <w:p>
      <w:pPr>
        <w:pStyle w:val="References"/>
      </w:pPr>
      <w:r>
        <w:t xml:space="preserve">[18] Grainger, D. W. (2013). All charged up about implanted biomaterials. Nature Biotechnology, 31(6), 507-509.</w:t>
      </w:r>
    </w:p>
    <w:p>
      <w:pPr>
        <w:pStyle w:val="References"/>
      </w:pPr>
      <w:r>
        <w:t xml:space="preserve">[19] Woodruff, M. A., and Hutmacher, D. W. (2010). The return of a forgotten polymer: polycaprolactone in the 21st century. Progress in Polymer Science, 35(10), 1217-1256.</w:t>
      </w:r>
    </w:p>
    <w:p>
      <w:pPr>
        <w:pStyle w:val="References"/>
      </w:pPr>
      <w:r>
        <w:t xml:space="preserve">[20] Makadia, H. K., and Siegel, S. J. (2011). Poly lactic-co-glycolic acid (PLGA) as biodegradable controlled drug delivery carrier. Polymers, 3(3), 1377-1397.</w:t>
      </w:r>
    </w:p>
    <w:p>
      <w:pPr>
        <w:pStyle w:val="References"/>
      </w:pPr>
      <w:r>
        <w:t xml:space="preserve">[21] Geetha, M., Singh, A. K., Asokamani, R., and Gogia, A. K. (2009). Ti based biomaterials, the ultimate choice for orthopaedic implants. Progress in Materials Science, 54(3), 397-425.</w:t>
      </w:r>
    </w:p>
    <w:p>
      <w:pPr>
        <w:pStyle w:val="References"/>
      </w:pPr>
      <w:r>
        <w:t xml:space="preserve">[22] Niinomi, M., and Nakai, M. (2011). Titanium-based biomaterials for preventing stress shielding between implant devices and bone. International Journal of Biomaterials, 2011, 836587.</w:t>
      </w:r>
    </w:p>
    <w:p>
      <w:pPr>
        <w:pStyle w:val="References"/>
      </w:pPr>
      <w:r>
        <w:t xml:space="preserve">[23] Bauer, S., Schmuki, P., von der Mark, K., and Park, J. (2013). Engineering biocompatible implant surfaces. Progress in Materials Science, 58(3), 261-326.</w:t>
      </w:r>
    </w:p>
    <w:p>
      <w:pPr>
        <w:pStyle w:val="References"/>
      </w:pPr>
      <w:r>
        <w:t xml:space="preserve">[24] Anselme, K., Ploux, L., and Ponche, A. (2010). Cell-material interactions: influence of surface roughness. Journal of Adhesion Science and Technology, 24(5), 831-852.</w:t>
      </w:r>
    </w:p>
    <w:p>
      <w:pPr>
        <w:pStyle w:val="References"/>
      </w:pPr>
      <w:r>
        <w:t xml:space="preserve">[25] Hersel, U., Dahmen, C., and Kessler, H. (2003). RGD modified polymers: biomaterials for stimulated cell adhesion and beyond. Biomaterials, 24(24), 4385-4415.</w:t>
      </w:r>
    </w:p>
    <w:p>
      <w:pPr>
        <w:pStyle w:val="References"/>
      </w:pPr>
      <w:r>
        <w:t xml:space="preserve">[26] Jiang, S., and Cao, Z. (2010). Ultralow-fouling, functionalizable, and hydrolyzable zwitterionic materials. Advanced Materials, 22(9), 920-932.</w:t>
      </w:r>
    </w:p>
    <w:p>
      <w:pPr>
        <w:pStyle w:val="References"/>
      </w:pPr>
      <w:r>
        <w:t xml:space="preserve">[27] Goodman, S. B., Yao, Z., Keeney, M., and Yang, F. (2013). The future of biologic coatings for orthopaedic implants. Biomaterials, 34(13), 3174-3183.</w:t>
      </w:r>
    </w:p>
    <w:p>
      <w:pPr>
        <w:pStyle w:val="References"/>
      </w:pPr>
      <w:r>
        <w:t xml:space="preserve">[28] Langer, R. (1998). Drug delivery and targeting. Nature, 392(6679 Suppl), 5-10.</w:t>
      </w:r>
    </w:p>
    <w:p>
      <w:pPr>
        <w:pStyle w:val="References"/>
      </w:pPr>
      <w:r>
        <w:t xml:space="preserve">[29] Stewart, S. A., Dominguez-Robles, J., Donnelly, R. F., and Larraneta, E. (2018). Implantable polymeric drug delivery devices: classification, manufacture, materials, and applications. Polymers, 10(12), 1379.</w:t>
      </w:r>
    </w:p>
    <w:p>
      <w:pPr>
        <w:pStyle w:val="References"/>
      </w:pPr>
      <w:r>
        <w:t xml:space="preserve">[30] Kearney, C. J., and Mooney, D. J. (2013). Macroscale delivery systems for molecular and cellular payloads. Nature Materials, 12(11), 1004-1017.</w:t>
      </w:r>
    </w:p>
    <w:p>
      <w:pPr>
        <w:pStyle w:val="References"/>
      </w:pPr>
      <w:r>
        <w:t xml:space="preserve">[31] Stefanini, G. G., and Holmes, D. R. (2013). Drug-eluting coronary-artery stents. New England Journal of Medicine, 368(3), 254-265.</w:t>
      </w:r>
    </w:p>
    <w:p>
      <w:pPr>
        <w:pStyle w:val="References"/>
      </w:pPr>
      <w:r>
        <w:t xml:space="preserve">[32] Wessely, R., Schomig, A., and Kastrati, A. (2006). Sirolimus and paclitaxel on polymer-based drug-eluting stents. Journal of the American College of Cardiology, 47(4), 708-714.</w:t>
      </w:r>
    </w:p>
    <w:p>
      <w:pPr>
        <w:pStyle w:val="References"/>
      </w:pPr>
      <w:r>
        <w:t xml:space="preserve">[33] Siepmann, J., and Siepmann, F. (2008). Mathematical modeling of drug delivery. International Journal of Pharmaceutics, 364(2), 328-343.</w:t>
      </w:r>
    </w:p>
    <w:p>
      <w:pPr>
        <w:pStyle w:val="References"/>
      </w:pPr>
      <w:r>
        <w:t xml:space="preserve">[34] Yun, Y. H., Lee, B. K., and Park, K. (2015). Controlled drug delivery: historical perspective for the next generation. Journal of Controlled Release, 219, 2-7.</w:t>
      </w:r>
    </w:p>
    <w:p>
      <w:pPr>
        <w:pStyle w:val="References"/>
      </w:pPr>
      <w:r>
        <w:t xml:space="preserve">[35] Vaishya, R., Khurana, V., Patel, S., and Mitra, A. K. (2015). Long-term delivery of protein and peptide therapeutics. Expert Opinion on Drug Delivery, 12(3), 415-440.</w:t>
      </w:r>
    </w:p>
    <w:p>
      <w:pPr>
        <w:pStyle w:val="References"/>
      </w:pPr>
      <w:r>
        <w:t xml:space="preserve">[36] Acharya, G., and Park, K. (2006). Mechanisms of controlled drug release from drug-eluting stents. Advanced Drug Delivery Reviews, 58(3), 387-401.</w:t>
      </w:r>
    </w:p>
    <w:p>
      <w:pPr>
        <w:pStyle w:val="References"/>
      </w:pPr>
      <w:r>
        <w:t xml:space="preserve">[37] Fredenberg, S., Wahlgren, M., Reslow, M., and Axelsson, A. (2011). The mechanisms of drug release in PLGA-based drug delivery systems. International Journal of Pharmaceutics, 415(1-2), 34-52.</w:t>
      </w:r>
    </w:p>
    <w:p>
      <w:pPr>
        <w:pStyle w:val="References"/>
      </w:pPr>
      <w:r>
        <w:t xml:space="preserve">[38] Kim, C. J. (2000). Controlled Release Dosage Form Design. Technomic Publishing, Lancaster.</w:t>
      </w:r>
    </w:p>
    <w:p>
      <w:pPr>
        <w:pStyle w:val="References"/>
      </w:pPr>
      <w:r>
        <w:t xml:space="preserve">[39] Bruschi, M. L. (2015). Strategies to Modify the Drug Release from Pharmaceutical Systems. Woodhead Publishing, Cambridge.</w:t>
      </w:r>
    </w:p>
    <w:p>
      <w:pPr>
        <w:pStyle w:val="References"/>
      </w:pPr>
      <w:r>
        <w:t xml:space="preserve">[40] Tibbitt, M. W., Dahlman, J. E., and Langer, R. (2016). Emerging frontiers in drug delivery. Journal of the American Chemical Society, 138(3), 704-717.</w:t>
      </w:r>
    </w:p>
    <w:p>
      <w:pPr>
        <w:pStyle w:val="References"/>
      </w:pPr>
      <w:r>
        <w:t xml:space="preserve">[41] Huang, X., and Brazel, C. S. (2001). On the importance and mechanisms of burst release in matrix-controlled drug delivery systems. Journal of Controlled Release, 73(2-3), 121-136.</w:t>
      </w:r>
    </w:p>
    <w:p>
      <w:pPr>
        <w:pStyle w:val="References"/>
      </w:pPr>
      <w:r>
        <w:t xml:space="preserve">[42] Kompella, U. B., Kadam, R. S., and Lee, V. H. (2010). Recent advances in ophthalmic drug delivery. Therapeutic Delivery, 1(3), 435-456.</w:t>
      </w:r>
    </w:p>
    <w:p>
      <w:pPr>
        <w:pStyle w:val="References"/>
      </w:pPr>
      <w:r>
        <w:t xml:space="preserve">[43] Zhao, L., Chu, P. K., Zhang, Y., and Wu, Z. (2009). Antibacterial coatings on titanium implants. Journal of Biomedical Materials Research Part B, 91(1), 470-480.</w:t>
      </w:r>
    </w:p>
    <w:p>
      <w:pPr>
        <w:pStyle w:val="References"/>
      </w:pPr>
      <w:r>
        <w:t xml:space="preserve">[44] Lewis, A. L., and Holden, R. R. (2011). DC Bead embolic drug-eluting bead: clinical application review. Expert Opinion on Drug Delivery, 8(2), 153-169.</w:t>
      </w:r>
    </w:p>
    <w:p>
      <w:pPr>
        <w:pStyle w:val="References"/>
      </w:pPr>
      <w:r>
        <w:t xml:space="preserve">[45] Wu, P., and Grainger, D. W. (2006). Drug/device combinations for local drug therapies and infection prophylaxis. Biomaterials, 27(11), 2450-2467.</w:t>
      </w:r>
    </w:p>
    <w:p>
      <w:pPr>
        <w:pStyle w:val="References"/>
      </w:pPr>
      <w:r>
        <w:t xml:space="preserve">[46] Chen, W., Habraken, T. C., Hennink, W. E., and Kok, R. J. (2015). Polymer-free drug-eluting stents: an overview of coating strategies. Bioconjugate Chemistry, 26(7), 1277-1288.</w:t>
      </w:r>
    </w:p>
    <w:p>
      <w:pPr>
        <w:pStyle w:val="References"/>
      </w:pPr>
      <w:r>
        <w:t xml:space="preserve">[47] Rediguieri, C. F., Pinto, T. J., Bou-Chacra, N. A., et al. (2016). Sterilization of biomaterials and medical devices: current status and challenges. Journal of Pharmaceutical Sciences, 105(7), 2079-2094.</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4"/>
      <w:szCs w:val="34"/>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jc w:val="left"/>
    </w:pPr>
    <w:rPr>
      <w:sz w:val="22"/>
      <w:szCs w:val="22"/>
    </w:rPr>
  </w:style>
  <w:style w:type="paragraph" w:styleId="FigureCaption">
    <w:name w:val="Figure Caption"/>
    <w:basedOn w:val="Normal"/>
    <w:pPr>
      <w:jc w:val="center"/>
      <w:spacing w:before="80" w:after="240"/>
    </w:pPr>
    <w:rPr>
      <w:i/>
      <w:sz w:val="22"/>
      <w:szCs w:val="22"/>
    </w:rPr>
  </w:style>
  <w:style w:type="paragraph" w:styleId="FigureImage">
    <w:name w:val="Figure Image"/>
    <w:basedOn w:val="Normal"/>
    <w:pPr>
      <w:jc w:val="center"/>
      <w:spacing w:before="200" w:after="0"/>
    </w:pPr>
  </w:style>
  <w:style w:type="paragraph" w:styleId="TableCaption">
    <w:name w:val="Table Caption"/>
    <w:basedOn w:val="Normal"/>
    <w:pPr>
      <w:spacing w:before="200" w:after="60"/>
      <w:jc w:val="left"/>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Img1" Type="http://schemas.openxmlformats.org/officeDocument/2006/relationships/image" Target="media/Figure_1_Smart_Biomaterials_Classification.png"/>
  <Relationship Id="rIdImg2" Type="http://schemas.openxmlformats.org/officeDocument/2006/relationships/image" Target="media/Figure_2_Drug_Eluting_Implant_Architecture.png"/>
  <Relationship Id="rIdImg3" Type="http://schemas.openxmlformats.org/officeDocument/2006/relationships/image" Target="media/Figure_3_Drug_Release_Kinetics.png"/>
  <Relationship Id="rIdImg4" Type="http://schemas.openxmlformats.org/officeDocument/2006/relationships/image" Target="media/Figure_4_AI_Design_Workflow.png"/>
</Relationships>
</file>