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xmlns:w="http://schemas.openxmlformats.org/wordprocessingml/2006/main">
      <w:pPr>
        <w:jc w:val="center"/>
        <w:spacing w:after="400"/>
      </w:pPr>
      <w:r>
        <w:rPr>
          <w:sz w:val="24"/>
          <w:szCs w:val="24"/>
        </w:rPr>
        <w:t xml:space="preserve"/>
      </w:r>
    </w:p>
    <w:p xmlns:w="http://schemas.openxmlformats.org/wordprocessingml/2006/main">
      <w:pPr>
        <w:pStyle w:val="Heading1"/>
        <w:jc w:val="center"/>
        <w:spacing w:after="300"/>
      </w:pPr>
      <w:r>
        <w:rPr>
          <w:b/>
          <w:sz w:val="36"/>
          <w:szCs w:val="36"/>
        </w:rPr>
        <w:t xml:space="preserve">Digital Transformation in Marine Biotechnology and Seaweed Engineering: An Industry 5.0 Perspective</w:t>
      </w:r>
    </w:p>
    <w:p xmlns:w="http://schemas.openxmlformats.org/wordprocessingml/2006/main">
      <w:pPr>
        <w:jc w:val="center"/>
        <w:spacing w:after="200"/>
      </w:pPr>
      <w:r>
        <w:rPr>
          <w:sz w:val="24"/>
          <w:szCs w:val="24"/>
        </w:rPr>
        <w:t xml:space="preserve"/>
      </w:r>
    </w:p>
    <w:p xmlns:w="http://schemas.openxmlformats.org/wordprocessingml/2006/main">
      <w:pPr>
        <w:jc w:val="center"/>
        <w:spacing w:after="200"/>
      </w:pPr>
      <w:r>
        <w:rPr>
          <w:b/>
          <w:sz w:val="24"/>
          <w:szCs w:val="24"/>
        </w:rPr>
        <w:t xml:space="preserve">Amman Jakhar 1,* and Sachin Kalsi 1</w:t>
      </w:r>
    </w:p>
    <w:p xmlns:w="http://schemas.openxmlformats.org/wordprocessingml/2006/main">
      <w:pPr>
        <w:jc w:val="center"/>
        <w:spacing w:after="100"/>
      </w:pPr>
      <w:r>
        <w:rPr>
          <w:i/>
          <w:sz w:val="22"/>
          <w:szCs w:val="22"/>
        </w:rPr>
        <w:t xml:space="preserve">1 Department of Mechanical Engineering, Chandigarh University, Mohali, Punjab-140301, India</w:t>
      </w:r>
    </w:p>
    <w:p xmlns:w="http://schemas.openxmlformats.org/wordprocessingml/2006/main">
      <w:pPr>
        <w:jc w:val="center"/>
        <w:spacing w:after="400"/>
      </w:pPr>
      <w:r>
        <w:rPr>
          <w:i/>
          <w:sz w:val="22"/>
          <w:szCs w:val="22"/>
        </w:rPr>
        <w:t xml:space="preserve">* Corresponding author: ammanjakhar5000734@gmail.com</w:t>
      </w:r>
    </w:p>
    <w:p xmlns:w="http://schemas.openxmlformats.org/wordprocessingml/2006/main">
      <w:pPr>
        <w:pStyle w:val="Heading1"/>
        <w:jc w:val="start"/>
        <w:spacing w:after="240"/>
      </w:pPr>
      <w:r>
        <w:rPr>
          <w:b/>
          <w:sz w:val="32"/>
          <w:szCs w:val="32"/>
        </w:rPr>
        <w:t xml:space="preserve">Abstract</w:t>
      </w:r>
    </w:p>
    <w:p xmlns:w="http://schemas.openxmlformats.org/wordprocessingml/2006/main">
      <w:pPr>
        <w:jc w:val="both"/>
        <w:spacing w:after="300"/>
      </w:pPr>
      <w:r>
        <w:rPr>
          <w:sz w:val="24"/>
          <w:szCs w:val="24"/>
        </w:rPr>
        <w:t xml:space="preserve">The convergence of digital technologies with marine biotechnology is reshaping the seaweed industry from cultivation through bioprocessing to end-product delivery, enabling unprecedented levels of efficiency, sustainability, and traceability [1, 2]. This chapter examines the digital transformation of marine biotechnology through the lens of Industry 5.0, which emphasizes human-centric design, resilience, and sustainability as core principles guiding technological integration [3, 4]. The enabling digital technologies reviewed include artificial intelligence and machine learning for predictive analytics and process optimization, Internet of Things (IoT) sensor networks for real-time environmental monitoring, digital twin platforms for virtual simulation and scenario testing, robotics and automation for precision harvesting, blockchain for supply chain transparency, and big data analytics for decision support [5, 6, 7]. Applications spanning precision seaweed cultivation, intelligent biorefinery systems, quality control, and circular bioeconomy integration are critically assessed [8, 9]. The chapter further addresses technical, economic, and regulatory challenges alongside cybersecurity and data governance considerations, before concluding with future perspectives on autonomous marine systems, generative AI, and digital ecosystem development [10, 11, 12].</w:t>
      </w:r>
    </w:p>
    <w:p xmlns:w="http://schemas.openxmlformats.org/wordprocessingml/2006/main">
      <w:pPr>
        <w:jc w:val="both"/>
        <w:spacing w:after="400"/>
      </w:pPr>
      <w:r>
        <w:rPr>
          <w:i/>
          <w:sz w:val="22"/>
          <w:szCs w:val="22"/>
        </w:rPr>
        <w:t xml:space="preserve">Keywords: Marine biotechnology; Seaweed engineering; Digital transformation; Industry 5.0; Artificial intelligence; IoT; Digital twins; Blockchain; Smart aquaculture; Circular bioeconomy</w:t>
      </w:r>
    </w:p>
    <w:p xmlns:w="http://schemas.openxmlformats.org/wordprocessingml/2006/main">
      <w:pPr>
        <w:pStyle w:val="Heading1"/>
        <w:jc w:val="start"/>
        <w:spacing w:after="240"/>
      </w:pPr>
      <w:r>
        <w:rPr>
          <w:b/>
          <w:sz w:val="32"/>
          <w:szCs w:val="32"/>
        </w:rPr>
        <w:t xml:space="preserve">1. Foundations of Digital Transformation in Marine Biotechnology</w:t>
      </w:r>
    </w:p>
    <w:p xmlns:w="http://schemas.openxmlformats.org/wordprocessingml/2006/main">
      <w:pPr>
        <w:pStyle w:val="Heading2"/>
        <w:jc w:val="start"/>
        <w:spacing w:after="240"/>
      </w:pPr>
      <w:r>
        <w:rPr>
          <w:b/>
          <w:sz w:val="28"/>
          <w:szCs w:val="28"/>
        </w:rPr>
        <w:t xml:space="preserve">1.1. Introduction to Marine Biotechnology and Seaweed Engineering</w:t>
      </w:r>
    </w:p>
    <w:p xmlns:w="http://schemas.openxmlformats.org/wordprocessingml/2006/main">
      <w:pPr>
        <w:jc w:val="both"/>
        <w:spacing w:after="200"/>
      </w:pPr>
      <w:r>
        <w:rPr>
          <w:sz w:val="24"/>
          <w:szCs w:val="24"/>
        </w:rPr>
        <w:t xml:space="preserve">Marine biotechnology encompasses the application of biological sciences and engineering principles to organisms and processes derived from marine environments, targeting the development of products and services for healthcare, food, energy, materials, and environmental management [1, 13]. Seaweed (macroalgae) cultivation and processing represent one of the fastest-growing segments of the blue economy, with global production exceeding 35 million tonnes annually (valued at approximately USD 16.5 billion) and projected to reach 50 million tonnes by 2030 driven by demand for food ingredients, phycocolloids (agar, carrageenan, alginate), biofuels, nutraceuticals, cosmetics, and bioplastics [2, 14]. The seaweed industry spans a complex value chain from strain selection and seed stock development through cultivation in offshore, nearshore, and land-based systems, harvesting, primary processing (drying, milling), biorefinery extraction of multiple product fractions, and final product formulation and distribution [3, 15].</w:t>
      </w:r>
    </w:p>
    <w:p xmlns:w="http://schemas.openxmlformats.org/wordprocessingml/2006/main">
      <w:pPr>
        <w:jc w:val="both"/>
        <w:spacing w:after="200"/>
      </w:pPr>
      <w:r>
        <w:rPr>
          <w:sz w:val="24"/>
          <w:szCs w:val="24"/>
        </w:rPr>
        <w:t xml:space="preserve">The inherent complexity of seaweed cultivation systems, which must contend with dynamic oceanic conditions (temperature, salinity, nutrient availability, light penetration, wave energy, biofouling), biological variability (growth rates, biochemical composition, disease susceptibility), and logistical challenges (remote site access, seasonal harvesting windows, biomass perishability), creates a compelling case for digital technology integration [4, 16]. Traditional management approaches relying on periodic manual observation and experience-based decision-making are increasingly inadequate for optimizing production at commercial scales, particularly as the industry expands into more challenging offshore environments and demands higher consistency in product quality for pharmaceutical and food-grade applications [5, 17]. The challenge is further compounded by climate change impacts on marine environments, including ocean warming, acidification, and shifting nutrient distribution patterns that disrupt historical baselines upon which traditional farming knowledge is founded [6, 18]. The digital transformation of seaweed engineering promises to address these challenges through continuous monitoring, data-driven optimization, predictive maintenance, and intelligent automation across the entire value chain [6, 18].</w:t>
      </w:r>
    </w:p>
    <w:p xmlns:w="http://schemas.openxmlformats.org/wordprocessingml/2006/main">
      <w:pPr>
        <w:pStyle w:val="Heading2"/>
        <w:jc w:val="start"/>
        <w:spacing w:after="240"/>
      </w:pPr>
      <w:r>
        <w:rPr>
          <w:b/>
          <w:sz w:val="28"/>
          <w:szCs w:val="28"/>
        </w:rPr>
        <w:t xml:space="preserve">1.2. Digital Transformation in the Blue Economy</w:t>
      </w:r>
    </w:p>
    <w:p xmlns:w="http://schemas.openxmlformats.org/wordprocessingml/2006/main">
      <w:pPr>
        <w:jc w:val="both"/>
        <w:spacing w:after="200"/>
      </w:pPr>
      <w:r>
        <w:rPr>
          <w:sz w:val="24"/>
          <w:szCs w:val="24"/>
        </w:rPr>
        <w:t xml:space="preserve">Digital transformation in the blue economy refers to the systematic integration of computational technologies, data analytics, and networked systems into marine industries to create new value, improve operational efficiency, and enhance environmental sustainability [7, 19]. The Fourth Industrial Revolution (Industry 4.0) introduced cyber-physical systems, IoT connectivity, cloud computing, and autonomous systems to manufacturing and agriculture; these technologies are now being adapted for the unique requirements of marine environments including saltwater corrosion resistance, underwater communication challenges, remote power supply, and extreme weather resilience [8, 20]. The global market for digital aquaculture solutions is projected to exceed USD 3.5 billion by 2028, reflecting the growing recognition that data-driven approaches can simultaneously improve productivity, reduce environmental impact, and ensure food safety in marine production systems [9, 21].</w:t>
      </w:r>
    </w:p>
    <w:p xmlns:w="http://schemas.openxmlformats.org/wordprocessingml/2006/main">
      <w:pPr>
        <w:jc w:val="both"/>
        <w:spacing w:after="200"/>
      </w:pPr>
      <w:r>
        <w:rPr>
          <w:sz w:val="24"/>
          <w:szCs w:val="24"/>
        </w:rPr>
        <w:t xml:space="preserve">The marine environment presents unique challenges for digital technology deployment that distinguish it from terrestrial applications [10, 22]. Saltwater corrosion, hydrostatic pressure, biological fouling, extreme wave forces, limited accessibility for maintenance, and absence of terrestrial communication and power infrastructure all impose design constraints that increase system costs and complexity compared to land-based equivalents [11, 23]. Underwater wireless communication, constrained to acoustic (low bandwidth, high latency), optical (short range, affected by turbidity), or electromagnetic (very short range in seawater) modalities, limits the data throughput achievable from submerged sensors to orders of magnitude below terrestrial wireless capabilities [12, 24]. These constraints drive innovation in edge computing (processing data locally to reduce communication requirements), energy harvesting (wave, solar, and tidal power for autonomous sensor nodes), and robust system design (redundant sensors, self-diagnostic capabilities, graceful degradation under component failure) that may ultimately benefit terrestrial applications through technology transfer [13, 25].</w:t>
      </w:r>
    </w:p>
    <w:p xmlns:w="http://schemas.openxmlformats.org/wordprocessingml/2006/main">
      <w:pPr>
        <w:jc w:val="both"/>
        <w:spacing w:after="200"/>
      </w:pPr>
      <w:r>
        <w:rPr>
          <w:sz w:val="24"/>
          <w:szCs w:val="24"/>
        </w:rPr>
        <w:t xml:space="preserve">The transition from Industry 4.0 to Industry 5.0 marks a philosophical shift from technology-centric automation toward human-centric innovation that positions workers as creative collaborators rather than displaced labor [10, 22]. As illustrated in Figure 1, the Industry 5.0 framework for marine biotechnology integrates five foundational pillars: human-machine collaboration, sustainable bioprocessing, resilient supply chains, personalized products, and circular resource management, all interconnected through digital infrastructure enabling real-time communication and adaptive decision-making [11, 23]. This framework recognizes that marine ecosystems are inherently complex adaptive systems requiring flexible, context-aware management approaches that combine human expertise with computational intelligence [12, 24].</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3749039"/>
            <wp:docPr id="1" name="Picture"/>
            <a:graphic>
              <a:graphicData uri="http://schemas.openxmlformats.org/drawingml/2006/picture">
                <pic:pic>
                  <pic:nvPicPr>
                    <pic:cNvPr id="0" name="Picture"/>
                    <pic:cNvPicPr/>
                  </pic:nvPicPr>
                  <pic:blipFill>
                    <a:blip r:embed="rId3"/>
                    <a:stretch>
                      <a:fillRect/>
                    </a:stretch>
                  </pic:blipFill>
                  <pic:spPr>
                    <a:xfrm>
                      <a:off x="0" y="0"/>
                      <a:ext cx="5029200" cy="3749039"/>
                    </a:xfrm>
                    <a:prstGeom prst="rect">
                      <a:avLst/>
                    </a:prstGeom>
                  </pic:spPr>
                </pic:pic>
              </a:graphicData>
            </a:graphic>
          </wp:inline>
        </w:drawing>
      </w:r>
    </w:p>
    <w:p xmlns:w="http://schemas.openxmlformats.org/wordprocessingml/2006/main">
      <w:pPr>
        <w:jc w:val="center"/>
        <w:spacing w:after="240"/>
      </w:pPr>
      <w:r>
        <w:rPr>
          <w:b/>
          <w:sz w:val="20"/>
          <w:szCs w:val="20"/>
        </w:rPr>
        <w:t xml:space="preserve">Figure 1. Industry 5.0 framework for marine biotechnology showing five interconnected pillars (human-machine collaboration, sustainable bioprocessing, resilient supply chains, personalized products, circular resource management) linked through central digital infrastructure.</w:t>
      </w:r>
    </w:p>
    <w:p xmlns:w="http://schemas.openxmlformats.org/wordprocessingml/2006/main">
      <w:pPr>
        <w:pStyle w:val="Heading2"/>
        <w:jc w:val="start"/>
        <w:spacing w:after="240"/>
      </w:pPr>
      <w:r>
        <w:rPr>
          <w:b/>
          <w:sz w:val="28"/>
          <w:szCs w:val="28"/>
        </w:rPr>
        <w:t xml:space="preserve">1.3. Industry 5.0: Principles and Human-Centric Manufacturing</w:t>
      </w:r>
    </w:p>
    <w:p xmlns:w="http://schemas.openxmlformats.org/wordprocessingml/2006/main">
      <w:pPr>
        <w:jc w:val="both"/>
        <w:spacing w:after="200"/>
      </w:pPr>
      <w:r>
        <w:rPr>
          <w:sz w:val="24"/>
          <w:szCs w:val="24"/>
        </w:rPr>
        <w:t xml:space="preserve">Industry 5.0, as defined by the European Commission, complements the existing Industry 4.0 paradigm by emphasizing three core values: human-centricity (technology serves workers and society), sustainability (production respects planetary boundaries), and resilience (systems adapt to disruptions while maintaining essential functions) [13, 25]. In the context of marine biotechnology, human-centricity translates to augmenting the capabilities of marine farmers, bioprocess engineers, and quality specialists through decision-support systems, collaborative robotics (cobots), and intuitive interfaces that leverage rather than replace domain expertise [14, 26]. Sustainability requires that digital technologies demonstrably reduce the environmental footprint of seaweed production and processing, supporting net-zero carbon goals, minimizing energy consumption, and enabling circular material flows [15, 27].</w:t>
      </w:r>
    </w:p>
    <w:p xmlns:w="http://schemas.openxmlformats.org/wordprocessingml/2006/main">
      <w:pPr>
        <w:jc w:val="both"/>
        <w:spacing w:after="200"/>
      </w:pPr>
      <w:r>
        <w:rPr>
          <w:sz w:val="24"/>
          <w:szCs w:val="24"/>
        </w:rPr>
        <w:t xml:space="preserve">Resilience in marine biotechnology systems implies the capacity to maintain production continuity and product quality despite climate variability, disease outbreaks, supply chain disruptions, and regulatory changes [16, 28]. Digital technologies contribute to resilience through predictive early warning systems (detecting environmental stress before crop failure), distributed manufacturing models (reducing dependence on single production sites), adaptive process control (automatically adjusting parameters in response to feedstock variability), and supply chain digitalization (providing real-time visibility across geographically dispersed operations) [17, 29]. The Industry 5.0 paradigm further emphasizes that technological innovation must be guided by responsible innovation principles, including stakeholder engagement, environmental justice, and equitable distribution of benefits among coastal communities that depend on marine resources for their livelihoods [18, 30]. Table 1 presents a comparative analysis of Industry 4.0 and Industry 5.0 characteristics as applied to seaweed bioprocessing, highlighting the paradigm shift from efficiency-focused automation to purpose-driven digital integration [19, 31].</w:t>
      </w:r>
    </w:p>
    <w:p xmlns:w="http://schemas.openxmlformats.org/wordprocessingml/2006/main">
      <w:pPr>
        <w:jc w:val="center"/>
        <w:spacing w:before="240" w:after="120"/>
      </w:pPr>
      <w:r>
        <w:rPr>
          <w:b/>
          <w:sz w:val="20"/>
          <w:szCs w:val="20"/>
        </w:rPr>
        <w:t xml:space="preserve">Table 1. Comparative characteristics of Industry 4.0 and Industry 5.0 paradigms applied to marine biotechnology and seaweed engineering [19, 25, 31].</w:t>
      </w:r>
    </w:p>
    <w:tbl xmlns:w="http://schemas.openxmlformats.org/wordprocessingml/2006/main">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2250"/>
        <w:gridCol w:w="2250"/>
        <w:gridCol w:w="2250"/>
        <w:gridCol w:w="2250"/>
      </w:tblGrid>
      <w:tr>
        <w:tc>
          <w:tcPr>
            <w:tcW w:w="2250" w:type="dxa"/>
            <w:shd w:val="clear" w:color="auto" w:fill="D9D9D9"/>
          </w:tcPr>
          <w:p>
            <w:pPr>
              <w:jc w:val="center"/>
            </w:pPr>
            <w:r>
              <w:rPr>
                <w:b/>
                <w:sz w:val="20"/>
                <w:szCs w:val="20"/>
              </w:rPr>
              <w:t>Characteristic</w:t>
            </w:r>
          </w:p>
        </w:tc>
        <w:tc>
          <w:tcPr>
            <w:tcW w:w="2250" w:type="dxa"/>
            <w:shd w:val="clear" w:color="auto" w:fill="D9D9D9"/>
          </w:tcPr>
          <w:p>
            <w:pPr>
              <w:jc w:val="center"/>
            </w:pPr>
            <w:r>
              <w:rPr>
                <w:b/>
                <w:sz w:val="20"/>
                <w:szCs w:val="20"/>
              </w:rPr>
              <w:t>Industry 4.0 Approach</w:t>
            </w:r>
          </w:p>
        </w:tc>
        <w:tc>
          <w:tcPr>
            <w:tcW w:w="2250" w:type="dxa"/>
            <w:shd w:val="clear" w:color="auto" w:fill="D9D9D9"/>
          </w:tcPr>
          <w:p>
            <w:pPr>
              <w:jc w:val="center"/>
            </w:pPr>
            <w:r>
              <w:rPr>
                <w:b/>
                <w:sz w:val="20"/>
                <w:szCs w:val="20"/>
              </w:rPr>
              <w:t>Industry 5.0 Approach</w:t>
            </w:r>
          </w:p>
        </w:tc>
        <w:tc>
          <w:tcPr>
            <w:tcW w:w="2250" w:type="dxa"/>
            <w:shd w:val="clear" w:color="auto" w:fill="D9D9D9"/>
          </w:tcPr>
          <w:p>
            <w:pPr>
              <w:jc w:val="center"/>
            </w:pPr>
            <w:r>
              <w:rPr>
                <w:b/>
                <w:sz w:val="20"/>
                <w:szCs w:val="20"/>
              </w:rPr>
              <w:t>Marine Biotech Application</w:t>
            </w:r>
          </w:p>
        </w:tc>
      </w:tr>
      <w:tr>
        <w:tc>
          <w:tcPr>
            <w:tcW w:w="2250" w:type="dxa"/>
          </w:tcPr>
          <w:p>
            <w:pPr>
              <w:jc w:val="center"/>
            </w:pPr>
            <w:r>
              <w:rPr>
                <w:sz w:val="20"/>
                <w:szCs w:val="20"/>
              </w:rPr>
              <w:t>Core focus</w:t>
            </w:r>
          </w:p>
        </w:tc>
        <w:tc>
          <w:tcPr>
            <w:tcW w:w="2250" w:type="dxa"/>
          </w:tcPr>
          <w:p>
            <w:pPr>
              <w:jc w:val="center"/>
            </w:pPr>
            <w:r>
              <w:rPr>
                <w:sz w:val="20"/>
                <w:szCs w:val="20"/>
              </w:rPr>
              <w:t>Efficiency, automation</w:t>
            </w:r>
          </w:p>
        </w:tc>
        <w:tc>
          <w:tcPr>
            <w:tcW w:w="2250" w:type="dxa"/>
          </w:tcPr>
          <w:p>
            <w:pPr>
              <w:jc w:val="center"/>
            </w:pPr>
            <w:r>
              <w:rPr>
                <w:sz w:val="20"/>
                <w:szCs w:val="20"/>
              </w:rPr>
              <w:t>Human-centricity, sustainability</w:t>
            </w:r>
          </w:p>
        </w:tc>
        <w:tc>
          <w:tcPr>
            <w:tcW w:w="2250" w:type="dxa"/>
          </w:tcPr>
          <w:p>
            <w:pPr>
              <w:jc w:val="center"/>
            </w:pPr>
            <w:r>
              <w:rPr>
                <w:sz w:val="20"/>
                <w:szCs w:val="20"/>
              </w:rPr>
              <w:t>Worker-augmented smart farms</w:t>
            </w:r>
          </w:p>
        </w:tc>
      </w:tr>
      <w:tr>
        <w:tc>
          <w:tcPr>
            <w:tcW w:w="2250" w:type="dxa"/>
          </w:tcPr>
          <w:p>
            <w:pPr>
              <w:jc w:val="center"/>
            </w:pPr>
            <w:r>
              <w:rPr>
                <w:sz w:val="20"/>
                <w:szCs w:val="20"/>
              </w:rPr>
              <w:t>Technology role</w:t>
            </w:r>
          </w:p>
        </w:tc>
        <w:tc>
          <w:tcPr>
            <w:tcW w:w="2250" w:type="dxa"/>
          </w:tcPr>
          <w:p>
            <w:pPr>
              <w:jc w:val="center"/>
            </w:pPr>
            <w:r>
              <w:rPr>
                <w:sz w:val="20"/>
                <w:szCs w:val="20"/>
              </w:rPr>
              <w:t>Replace human labor</w:t>
            </w:r>
          </w:p>
        </w:tc>
        <w:tc>
          <w:tcPr>
            <w:tcW w:w="2250" w:type="dxa"/>
          </w:tcPr>
          <w:p>
            <w:pPr>
              <w:jc w:val="center"/>
            </w:pPr>
            <w:r>
              <w:rPr>
                <w:sz w:val="20"/>
                <w:szCs w:val="20"/>
              </w:rPr>
              <w:t>Augment human capability</w:t>
            </w:r>
          </w:p>
        </w:tc>
        <w:tc>
          <w:tcPr>
            <w:tcW w:w="2250" w:type="dxa"/>
          </w:tcPr>
          <w:p>
            <w:pPr>
              <w:jc w:val="center"/>
            </w:pPr>
            <w:r>
              <w:rPr>
                <w:sz w:val="20"/>
                <w:szCs w:val="20"/>
              </w:rPr>
              <w:t>Cobots for harvesting</w:t>
            </w:r>
          </w:p>
        </w:tc>
      </w:tr>
      <w:tr>
        <w:tc>
          <w:tcPr>
            <w:tcW w:w="2250" w:type="dxa"/>
          </w:tcPr>
          <w:p>
            <w:pPr>
              <w:jc w:val="center"/>
            </w:pPr>
            <w:r>
              <w:rPr>
                <w:sz w:val="20"/>
                <w:szCs w:val="20"/>
              </w:rPr>
              <w:t>Environmental stance</w:t>
            </w:r>
          </w:p>
        </w:tc>
        <w:tc>
          <w:tcPr>
            <w:tcW w:w="2250" w:type="dxa"/>
          </w:tcPr>
          <w:p>
            <w:pPr>
              <w:jc w:val="center"/>
            </w:pPr>
            <w:r>
              <w:rPr>
                <w:sz w:val="20"/>
                <w:szCs w:val="20"/>
              </w:rPr>
              <w:t>Minimize waste (secondary)</w:t>
            </w:r>
          </w:p>
        </w:tc>
        <w:tc>
          <w:tcPr>
            <w:tcW w:w="2250" w:type="dxa"/>
          </w:tcPr>
          <w:p>
            <w:pPr>
              <w:jc w:val="center"/>
            </w:pPr>
            <w:r>
              <w:rPr>
                <w:sz w:val="20"/>
                <w:szCs w:val="20"/>
              </w:rPr>
              <w:t>Sustainability as core value</w:t>
            </w:r>
          </w:p>
        </w:tc>
        <w:tc>
          <w:tcPr>
            <w:tcW w:w="2250" w:type="dxa"/>
          </w:tcPr>
          <w:p>
            <w:pPr>
              <w:jc w:val="center"/>
            </w:pPr>
            <w:r>
              <w:rPr>
                <w:sz w:val="20"/>
                <w:szCs w:val="20"/>
              </w:rPr>
              <w:t>Carbon-negative cultivation</w:t>
            </w:r>
          </w:p>
        </w:tc>
      </w:tr>
      <w:tr>
        <w:tc>
          <w:tcPr>
            <w:tcW w:w="2250" w:type="dxa"/>
          </w:tcPr>
          <w:p>
            <w:pPr>
              <w:jc w:val="center"/>
            </w:pPr>
            <w:r>
              <w:rPr>
                <w:sz w:val="20"/>
                <w:szCs w:val="20"/>
              </w:rPr>
              <w:t>Resilience</w:t>
            </w:r>
          </w:p>
        </w:tc>
        <w:tc>
          <w:tcPr>
            <w:tcW w:w="2250" w:type="dxa"/>
          </w:tcPr>
          <w:p>
            <w:pPr>
              <w:jc w:val="center"/>
            </w:pPr>
            <w:r>
              <w:rPr>
                <w:sz w:val="20"/>
                <w:szCs w:val="20"/>
              </w:rPr>
              <w:t>Supply chain optimization</w:t>
            </w:r>
          </w:p>
        </w:tc>
        <w:tc>
          <w:tcPr>
            <w:tcW w:w="2250" w:type="dxa"/>
          </w:tcPr>
          <w:p>
            <w:pPr>
              <w:jc w:val="center"/>
            </w:pPr>
            <w:r>
              <w:rPr>
                <w:sz w:val="20"/>
                <w:szCs w:val="20"/>
              </w:rPr>
              <w:t>Adaptive, anti-fragile systems</w:t>
            </w:r>
          </w:p>
        </w:tc>
        <w:tc>
          <w:tcPr>
            <w:tcW w:w="2250" w:type="dxa"/>
          </w:tcPr>
          <w:p>
            <w:pPr>
              <w:jc w:val="center"/>
            </w:pPr>
            <w:r>
              <w:rPr>
                <w:sz w:val="20"/>
                <w:szCs w:val="20"/>
              </w:rPr>
              <w:t>Climate-adaptive farming</w:t>
            </w:r>
          </w:p>
        </w:tc>
      </w:tr>
      <w:tr>
        <w:tc>
          <w:tcPr>
            <w:tcW w:w="2250" w:type="dxa"/>
          </w:tcPr>
          <w:p>
            <w:pPr>
              <w:jc w:val="center"/>
            </w:pPr>
            <w:r>
              <w:rPr>
                <w:sz w:val="20"/>
                <w:szCs w:val="20"/>
              </w:rPr>
              <w:t>Data philosophy</w:t>
            </w:r>
          </w:p>
        </w:tc>
        <w:tc>
          <w:tcPr>
            <w:tcW w:w="2250" w:type="dxa"/>
          </w:tcPr>
          <w:p>
            <w:pPr>
              <w:jc w:val="center"/>
            </w:pPr>
            <w:r>
              <w:rPr>
                <w:sz w:val="20"/>
                <w:szCs w:val="20"/>
              </w:rPr>
              <w:t>Maximize data collection</w:t>
            </w:r>
          </w:p>
        </w:tc>
        <w:tc>
          <w:tcPr>
            <w:tcW w:w="2250" w:type="dxa"/>
          </w:tcPr>
          <w:p>
            <w:pPr>
              <w:jc w:val="center"/>
            </w:pPr>
            <w:r>
              <w:rPr>
                <w:sz w:val="20"/>
                <w:szCs w:val="20"/>
              </w:rPr>
              <w:t>Purposeful, ethical data use</w:t>
            </w:r>
          </w:p>
        </w:tc>
        <w:tc>
          <w:tcPr>
            <w:tcW w:w="2250" w:type="dxa"/>
          </w:tcPr>
          <w:p>
            <w:pPr>
              <w:jc w:val="center"/>
            </w:pPr>
            <w:r>
              <w:rPr>
                <w:sz w:val="20"/>
                <w:szCs w:val="20"/>
              </w:rPr>
              <w:t>Community data governance</w:t>
            </w:r>
          </w:p>
        </w:tc>
      </w:tr>
      <w:tr>
        <w:tc>
          <w:tcPr>
            <w:tcW w:w="2250" w:type="dxa"/>
          </w:tcPr>
          <w:p>
            <w:pPr>
              <w:jc w:val="center"/>
            </w:pPr>
            <w:r>
              <w:rPr>
                <w:sz w:val="20"/>
                <w:szCs w:val="20"/>
              </w:rPr>
              <w:t>Value creation</w:t>
            </w:r>
          </w:p>
        </w:tc>
        <w:tc>
          <w:tcPr>
            <w:tcW w:w="2250" w:type="dxa"/>
          </w:tcPr>
          <w:p>
            <w:pPr>
              <w:jc w:val="center"/>
            </w:pPr>
            <w:r>
              <w:rPr>
                <w:sz w:val="20"/>
                <w:szCs w:val="20"/>
              </w:rPr>
              <w:t>Economic productivity</w:t>
            </w:r>
          </w:p>
        </w:tc>
        <w:tc>
          <w:tcPr>
            <w:tcW w:w="2250" w:type="dxa"/>
          </w:tcPr>
          <w:p>
            <w:pPr>
              <w:jc w:val="center"/>
            </w:pPr>
            <w:r>
              <w:rPr>
                <w:sz w:val="20"/>
                <w:szCs w:val="20"/>
              </w:rPr>
              <w:t>Societal well-being</w:t>
            </w:r>
          </w:p>
        </w:tc>
        <w:tc>
          <w:tcPr>
            <w:tcW w:w="2250" w:type="dxa"/>
          </w:tcPr>
          <w:p>
            <w:pPr>
              <w:jc w:val="center"/>
            </w:pPr>
            <w:r>
              <w:rPr>
                <w:sz w:val="20"/>
                <w:szCs w:val="20"/>
              </w:rPr>
              <w:t>Coastal community development</w:t>
            </w:r>
          </w:p>
        </w:tc>
      </w:tr>
    </w:tbl>
    <w:p xmlns:w="http://schemas.openxmlformats.org/wordprocessingml/2006/main">
      <w:pPr>
        <w:spacing w:after="200"/>
      </w:pPr>
    </w:p>
    <w:p xmlns:w="http://schemas.openxmlformats.org/wordprocessingml/2006/main">
      <w:pPr>
        <w:pStyle w:val="Heading2"/>
        <w:jc w:val="start"/>
        <w:spacing w:after="240"/>
      </w:pPr>
      <w:r>
        <w:rPr>
          <w:b/>
          <w:sz w:val="28"/>
          <w:szCs w:val="28"/>
        </w:rPr>
        <w:t xml:space="preserve">1.4. Role of Digital Technologies in Sustainable Seaweed Bioprocessing</w:t>
      </w:r>
    </w:p>
    <w:p xmlns:w="http://schemas.openxmlformats.org/wordprocessingml/2006/main">
      <w:pPr>
        <w:jc w:val="both"/>
        <w:spacing w:after="200"/>
      </w:pPr>
      <w:r>
        <w:rPr>
          <w:sz w:val="24"/>
          <w:szCs w:val="24"/>
        </w:rPr>
        <w:t xml:space="preserve">Digital technologies serve multiple roles in advancing the sustainability of seaweed bioprocessing, from reducing resource consumption and waste generation to enabling circular business models and transparent environmental reporting [20, 32]. Life cycle assessment (LCA) studies of conventional seaweed processing indicate that energy consumption for drying (representing 30-50% of total processing energy) and chemical usage in extraction steps are the dominant environmental hotspots, both of which can be substantially reduced through intelligent process control and optimization [21, 33]. AI-optimized drying schedules that respond to real-time moisture content, ambient humidity, and energy price signals can reduce energy consumption by 15-30% compared to fixed-parameter operations while improving product quality consistency [22, 34].</w:t>
      </w:r>
    </w:p>
    <w:p xmlns:w="http://schemas.openxmlformats.org/wordprocessingml/2006/main">
      <w:pPr>
        <w:jc w:val="both"/>
        <w:spacing w:after="200"/>
      </w:pPr>
      <w:r>
        <w:rPr>
          <w:sz w:val="24"/>
          <w:szCs w:val="24"/>
        </w:rPr>
        <w:t xml:space="preserve">The integration of digital technologies with seaweed biorefinery concepts enables simultaneous extraction of multiple product streams (proteins, polysaccharides, lipids, pigments, minerals) from a single biomass feedstock through cascading processes that maximize value recovery while minimizing waste [23, 35]. Intelligent scheduling algorithms can dynamically adjust biorefinery operations based on incoming biomass composition (which varies seasonally and between species), market demand for different products, energy availability from renewable sources, and waste stream valorization opportunities [24, 36]. Furthermore, digital platforms enable the quantification and verification of ecosystem services provided by seaweed cultivation, including carbon sequestration (estimated at 1.5-5.0 tonnes CO2 per hectare annually), nutrient bioremediation (nitrogen and phosphorus uptake from eutrophic waters), and habitat provision for marine biodiversity, creating potential revenue streams through carbon credits and biodiversity offset markets [25, 37].</w:t>
      </w:r>
    </w:p>
    <w:p xmlns:w="http://schemas.openxmlformats.org/wordprocessingml/2006/main">
      <w:pPr>
        <w:jc w:val="both"/>
        <w:spacing w:after="200"/>
      </w:pPr>
      <w:r>
        <w:rPr>
          <w:sz w:val="24"/>
          <w:szCs w:val="24"/>
        </w:rPr>
        <w:t xml:space="preserve">The concept of digital maturity in marine biotechnology organizations encompasses multiple dimensions including technology infrastructure readiness, data management capabilities, workforce digital competency, organizational culture for innovation, and strategic alignment between digital investments and business objectives [26, 38]. Assessment frameworks adapted from manufacturing digital maturity models (such as the RAMI 4.0 architecture and the Singapore Smart Industry Readiness Index) provide structured approaches for organizations to benchmark their current digital capabilities, identify priority investment areas, and develop phased transformation roadmaps appropriate to their scale, resources, and strategic context [27, 39]. The progression from basic digitization (paper-to-digital conversion) through digitalization (process improvement through digital technologies) to full digital transformation (fundamental business model innovation enabled by digital capabilities) typically spans 5-10 years for marine biotechnology organizations, with each phase building capabilities that enable subsequent advances [28, 40].</w:t>
      </w:r>
    </w:p>
    <w:p xmlns:w="http://schemas.openxmlformats.org/wordprocessingml/2006/main">
      <w:pPr>
        <w:pStyle w:val="Heading1"/>
        <w:jc w:val="start"/>
        <w:spacing w:after="240"/>
      </w:pPr>
      <w:r>
        <w:rPr>
          <w:b/>
          <w:sz w:val="32"/>
          <w:szCs w:val="32"/>
        </w:rPr>
        <w:t xml:space="preserve">2. Enabling Digital Technologies for Seaweed Engineering</w:t>
      </w:r>
    </w:p>
    <w:p xmlns:w="http://schemas.openxmlformats.org/wordprocessingml/2006/main">
      <w:pPr>
        <w:pStyle w:val="Heading2"/>
        <w:jc w:val="start"/>
        <w:spacing w:after="240"/>
      </w:pPr>
      <w:r>
        <w:rPr>
          <w:b/>
          <w:sz w:val="28"/>
          <w:szCs w:val="28"/>
        </w:rPr>
        <w:t xml:space="preserve">2.1. Artificial Intelligence and Machine Learning</w:t>
      </w:r>
    </w:p>
    <w:p xmlns:w="http://schemas.openxmlformats.org/wordprocessingml/2006/main">
      <w:pPr>
        <w:jc w:val="both"/>
        <w:spacing w:after="200"/>
      </w:pPr>
      <w:r>
        <w:rPr>
          <w:sz w:val="24"/>
          <w:szCs w:val="24"/>
        </w:rPr>
        <w:t xml:space="preserve">Artificial intelligence (AI) and machine learning (ML) constitute the computational backbone of digital transformation in marine biotechnology, enabling pattern recognition, predictive modeling, and autonomous decision-making across cultivation, processing, and supply chain domains [26, 38]. As illustrated in Figure 2, the AI/ML pipeline for seaweed bioprocessing encompasses data acquisition from heterogeneous sources (satellite imagery, IoT sensors, laboratory analyses, market data), feature engineering and preprocessing, model training and validation, deployment for real-time inference, and continuous feedback-driven model updating [27, 39]. Deep learning architectures including convolutional neural networks (CNNs) for image-based biomass assessment, recurrent neural networks (RNNs) and transformers for time-series environmental forecasting, and reinforcement learning for adaptive process control have demonstrated significant performance improvements over traditional statistical and mechanistic models in marine biotechnology applications [28, 40].</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3749039"/>
            <wp:docPr id="1" name="Picture"/>
            <a:graphic>
              <a:graphicData uri="http://schemas.openxmlformats.org/drawingml/2006/picture">
                <pic:pic>
                  <pic:nvPicPr>
                    <pic:cNvPr id="0" name="Picture"/>
                    <pic:cNvPicPr/>
                  </pic:nvPicPr>
                  <pic:blipFill>
                    <a:blip r:embed="rId4"/>
                    <a:stretch>
                      <a:fillRect/>
                    </a:stretch>
                  </pic:blipFill>
                  <pic:spPr>
                    <a:xfrm>
                      <a:off x="0" y="0"/>
                      <a:ext cx="5029200" cy="3749039"/>
                    </a:xfrm>
                    <a:prstGeom prst="rect">
                      <a:avLst/>
                    </a:prstGeom>
                  </pic:spPr>
                </pic:pic>
              </a:graphicData>
            </a:graphic>
          </wp:inline>
        </w:drawing>
      </w:r>
    </w:p>
    <w:p xmlns:w="http://schemas.openxmlformats.org/wordprocessingml/2006/main">
      <w:pPr>
        <w:jc w:val="center"/>
        <w:spacing w:after="240"/>
      </w:pPr>
      <w:r>
        <w:rPr>
          <w:b/>
          <w:sz w:val="20"/>
          <w:szCs w:val="20"/>
        </w:rPr>
        <w:t xml:space="preserve">Figure 2. AI/ML pipeline for seaweed bioprocessing showing data acquisition from multiple sources, preprocessing, model training with feedback loop, real-time inference deployment, and output generation for process optimization and quality prediction.</w:t>
      </w:r>
    </w:p>
    <w:p xmlns:w="http://schemas.openxmlformats.org/wordprocessingml/2006/main">
      <w:pPr>
        <w:jc w:val="both"/>
        <w:spacing w:after="200"/>
      </w:pPr>
      <w:r>
        <w:rPr>
          <w:sz w:val="24"/>
          <w:szCs w:val="24"/>
        </w:rPr>
        <w:t xml:space="preserve">Specific AI applications in seaweed engineering include: (1) computer vision for automated species identification, growth rate estimation, and disease detection from underwater and aerial imagery with classification accuracies exceeding 95% [29, 41]; (2) predictive models for optimal harvest timing based on biomass accumulation, biochemical composition targets, and weather window forecasting [30, 42]; (3) process analytical technology (PAT) using near-infrared spectroscopy coupled with chemometric models for real-time monitoring of extraction yield, product purity, and residual solvent levels [31, 43]; and (4) generative AI models for in-silico design of novel bioactive compound extraction protocols and seaweed-based material formulations [32, 44]. Table 2 summarizes the current state of AI/ML applications across the seaweed value chain, including representative algorithms, data requirements, accuracy metrics, and technology readiness levels [26, 33, 38, 45].</w:t>
      </w:r>
    </w:p>
    <w:p xmlns:w="http://schemas.openxmlformats.org/wordprocessingml/2006/main">
      <w:pPr>
        <w:jc w:val="both"/>
        <w:spacing w:after="200"/>
      </w:pPr>
      <w:r>
        <w:rPr>
          <w:sz w:val="24"/>
          <w:szCs w:val="24"/>
        </w:rPr>
        <w:t xml:space="preserve">Transfer learning approaches that leverage pre-trained models from related domains (terrestrial agriculture, general computer vision, natural language processing) significantly reduce the data requirements for developing marine-specific AI applications, overcoming the historical scarcity of labeled marine biological datasets [33, 44]. For example, CNN architectures pre-trained on ImageNet can be fine-tuned for seaweed disease classification using as few as 200-500 labeled images per disease class, compared to the 5,000-10,000 images typically required for training from scratch [34, 45]. Federated learning enables multiple aquaculture operators to collaboratively train shared AI models without exchanging proprietary operational data, progressively improving prediction accuracy as the collective training dataset grows while respecting individual data sovereignty [35, 46]. Explainable AI (XAI) techniques including attention maps, SHAP values, and rule extraction provide transparent reasoning behind model predictions, building trust among marine farmers and enabling domain experts to validate and refine algorithmic recommendations [36, 47].</w:t>
      </w:r>
    </w:p>
    <w:p xmlns:w="http://schemas.openxmlformats.org/wordprocessingml/2006/main">
      <w:pPr>
        <w:jc w:val="center"/>
        <w:spacing w:before="240" w:after="120"/>
      </w:pPr>
      <w:r>
        <w:rPr>
          <w:b/>
          <w:sz w:val="20"/>
          <w:szCs w:val="20"/>
        </w:rPr>
        <w:t xml:space="preserve">Table 2. Summary of AI/ML applications across the seaweed value chain with representative algorithms, data requirements, and performance metrics [26, 33, 38, 45].</w:t>
      </w:r>
    </w:p>
    <w:tbl xmlns:w="http://schemas.openxmlformats.org/wordprocessingml/2006/main">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00"/>
        <w:gridCol w:w="1800"/>
        <w:gridCol w:w="1800"/>
        <w:gridCol w:w="1800"/>
        <w:gridCol w:w="1800"/>
      </w:tblGrid>
      <w:tr>
        <w:tc>
          <w:tcPr>
            <w:tcW w:w="1800" w:type="dxa"/>
            <w:shd w:val="clear" w:color="auto" w:fill="D9D9D9"/>
          </w:tcPr>
          <w:p>
            <w:pPr>
              <w:jc w:val="center"/>
            </w:pPr>
            <w:r>
              <w:rPr>
                <w:b/>
                <w:sz w:val="20"/>
                <w:szCs w:val="20"/>
              </w:rPr>
              <w:t>Application Domain</w:t>
            </w:r>
          </w:p>
        </w:tc>
        <w:tc>
          <w:tcPr>
            <w:tcW w:w="1800" w:type="dxa"/>
            <w:shd w:val="clear" w:color="auto" w:fill="D9D9D9"/>
          </w:tcPr>
          <w:p>
            <w:pPr>
              <w:jc w:val="center"/>
            </w:pPr>
            <w:r>
              <w:rPr>
                <w:b/>
                <w:sz w:val="20"/>
                <w:szCs w:val="20"/>
              </w:rPr>
              <w:t>ML Algorithm</w:t>
            </w:r>
          </w:p>
        </w:tc>
        <w:tc>
          <w:tcPr>
            <w:tcW w:w="1800" w:type="dxa"/>
            <w:shd w:val="clear" w:color="auto" w:fill="D9D9D9"/>
          </w:tcPr>
          <w:p>
            <w:pPr>
              <w:jc w:val="center"/>
            </w:pPr>
            <w:r>
              <w:rPr>
                <w:b/>
                <w:sz w:val="20"/>
                <w:szCs w:val="20"/>
              </w:rPr>
              <w:t>Input Data</w:t>
            </w:r>
          </w:p>
        </w:tc>
        <w:tc>
          <w:tcPr>
            <w:tcW w:w="1800" w:type="dxa"/>
            <w:shd w:val="clear" w:color="auto" w:fill="D9D9D9"/>
          </w:tcPr>
          <w:p>
            <w:pPr>
              <w:jc w:val="center"/>
            </w:pPr>
            <w:r>
              <w:rPr>
                <w:b/>
                <w:sz w:val="20"/>
                <w:szCs w:val="20"/>
              </w:rPr>
              <w:t>Performance Metric</w:t>
            </w:r>
          </w:p>
        </w:tc>
        <w:tc>
          <w:tcPr>
            <w:tcW w:w="1800" w:type="dxa"/>
            <w:shd w:val="clear" w:color="auto" w:fill="D9D9D9"/>
          </w:tcPr>
          <w:p>
            <w:pPr>
              <w:jc w:val="center"/>
            </w:pPr>
            <w:r>
              <w:rPr>
                <w:b/>
                <w:sz w:val="20"/>
                <w:szCs w:val="20"/>
              </w:rPr>
              <w:t>TRL</w:t>
            </w:r>
          </w:p>
        </w:tc>
      </w:tr>
      <w:tr>
        <w:tc>
          <w:tcPr>
            <w:tcW w:w="1800" w:type="dxa"/>
          </w:tcPr>
          <w:p>
            <w:pPr>
              <w:jc w:val="center"/>
            </w:pPr>
            <w:r>
              <w:rPr>
                <w:sz w:val="20"/>
                <w:szCs w:val="20"/>
              </w:rPr>
              <w:t>Growth prediction</w:t>
            </w:r>
          </w:p>
        </w:tc>
        <w:tc>
          <w:tcPr>
            <w:tcW w:w="1800" w:type="dxa"/>
          </w:tcPr>
          <w:p>
            <w:pPr>
              <w:jc w:val="center"/>
            </w:pPr>
            <w:r>
              <w:rPr>
                <w:sz w:val="20"/>
                <w:szCs w:val="20"/>
              </w:rPr>
              <w:t>LSTM/Transformer</w:t>
            </w:r>
          </w:p>
        </w:tc>
        <w:tc>
          <w:tcPr>
            <w:tcW w:w="1800" w:type="dxa"/>
          </w:tcPr>
          <w:p>
            <w:pPr>
              <w:jc w:val="center"/>
            </w:pPr>
            <w:r>
              <w:rPr>
                <w:sz w:val="20"/>
                <w:szCs w:val="20"/>
              </w:rPr>
              <w:t>Environmental time-series</w:t>
            </w:r>
          </w:p>
        </w:tc>
        <w:tc>
          <w:tcPr>
            <w:tcW w:w="1800" w:type="dxa"/>
          </w:tcPr>
          <w:p>
            <w:pPr>
              <w:jc w:val="center"/>
            </w:pPr>
            <w:r>
              <w:rPr>
                <w:sz w:val="20"/>
                <w:szCs w:val="20"/>
              </w:rPr>
              <w:t>R-squared: 0.89-0.95</w:t>
            </w:r>
          </w:p>
        </w:tc>
        <w:tc>
          <w:tcPr>
            <w:tcW w:w="1800" w:type="dxa"/>
          </w:tcPr>
          <w:p>
            <w:pPr>
              <w:jc w:val="center"/>
            </w:pPr>
            <w:r>
              <w:rPr>
                <w:sz w:val="20"/>
                <w:szCs w:val="20"/>
              </w:rPr>
              <w:t>5-6</w:t>
            </w:r>
          </w:p>
        </w:tc>
      </w:tr>
      <w:tr>
        <w:tc>
          <w:tcPr>
            <w:tcW w:w="1800" w:type="dxa"/>
          </w:tcPr>
          <w:p>
            <w:pPr>
              <w:jc w:val="center"/>
            </w:pPr>
            <w:r>
              <w:rPr>
                <w:sz w:val="20"/>
                <w:szCs w:val="20"/>
              </w:rPr>
              <w:t>Disease detection</w:t>
            </w:r>
          </w:p>
        </w:tc>
        <w:tc>
          <w:tcPr>
            <w:tcW w:w="1800" w:type="dxa"/>
          </w:tcPr>
          <w:p>
            <w:pPr>
              <w:jc w:val="center"/>
            </w:pPr>
            <w:r>
              <w:rPr>
                <w:sz w:val="20"/>
                <w:szCs w:val="20"/>
              </w:rPr>
              <w:t>CNN (ResNet, YOLO)</w:t>
            </w:r>
          </w:p>
        </w:tc>
        <w:tc>
          <w:tcPr>
            <w:tcW w:w="1800" w:type="dxa"/>
          </w:tcPr>
          <w:p>
            <w:pPr>
              <w:jc w:val="center"/>
            </w:pPr>
            <w:r>
              <w:rPr>
                <w:sz w:val="20"/>
                <w:szCs w:val="20"/>
              </w:rPr>
              <w:t>Underwater imagery</w:t>
            </w:r>
          </w:p>
        </w:tc>
        <w:tc>
          <w:tcPr>
            <w:tcW w:w="1800" w:type="dxa"/>
          </w:tcPr>
          <w:p>
            <w:pPr>
              <w:jc w:val="center"/>
            </w:pPr>
            <w:r>
              <w:rPr>
                <w:sz w:val="20"/>
                <w:szCs w:val="20"/>
              </w:rPr>
              <w:t>Accuracy: 92-97%</w:t>
            </w:r>
          </w:p>
        </w:tc>
        <w:tc>
          <w:tcPr>
            <w:tcW w:w="1800" w:type="dxa"/>
          </w:tcPr>
          <w:p>
            <w:pPr>
              <w:jc w:val="center"/>
            </w:pPr>
            <w:r>
              <w:rPr>
                <w:sz w:val="20"/>
                <w:szCs w:val="20"/>
              </w:rPr>
              <w:t>4-5</w:t>
            </w:r>
          </w:p>
        </w:tc>
      </w:tr>
      <w:tr>
        <w:tc>
          <w:tcPr>
            <w:tcW w:w="1800" w:type="dxa"/>
          </w:tcPr>
          <w:p>
            <w:pPr>
              <w:jc w:val="center"/>
            </w:pPr>
            <w:r>
              <w:rPr>
                <w:sz w:val="20"/>
                <w:szCs w:val="20"/>
              </w:rPr>
              <w:t>Harvest optimization</w:t>
            </w:r>
          </w:p>
        </w:tc>
        <w:tc>
          <w:tcPr>
            <w:tcW w:w="1800" w:type="dxa"/>
          </w:tcPr>
          <w:p>
            <w:pPr>
              <w:jc w:val="center"/>
            </w:pPr>
            <w:r>
              <w:rPr>
                <w:sz w:val="20"/>
                <w:szCs w:val="20"/>
              </w:rPr>
              <w:t>Reinforcement learning</w:t>
            </w:r>
          </w:p>
        </w:tc>
        <w:tc>
          <w:tcPr>
            <w:tcW w:w="1800" w:type="dxa"/>
          </w:tcPr>
          <w:p>
            <w:pPr>
              <w:jc w:val="center"/>
            </w:pPr>
            <w:r>
              <w:rPr>
                <w:sz w:val="20"/>
                <w:szCs w:val="20"/>
              </w:rPr>
              <w:t>Biomass + weather data</w:t>
            </w:r>
          </w:p>
        </w:tc>
        <w:tc>
          <w:tcPr>
            <w:tcW w:w="1800" w:type="dxa"/>
          </w:tcPr>
          <w:p>
            <w:pPr>
              <w:jc w:val="center"/>
            </w:pPr>
            <w:r>
              <w:rPr>
                <w:sz w:val="20"/>
                <w:szCs w:val="20"/>
              </w:rPr>
              <w:t>Yield improvement: 15-25%</w:t>
            </w:r>
          </w:p>
        </w:tc>
        <w:tc>
          <w:tcPr>
            <w:tcW w:w="1800" w:type="dxa"/>
          </w:tcPr>
          <w:p>
            <w:pPr>
              <w:jc w:val="center"/>
            </w:pPr>
            <w:r>
              <w:rPr>
                <w:sz w:val="20"/>
                <w:szCs w:val="20"/>
              </w:rPr>
              <w:t>4-5</w:t>
            </w:r>
          </w:p>
        </w:tc>
      </w:tr>
      <w:tr>
        <w:tc>
          <w:tcPr>
            <w:tcW w:w="1800" w:type="dxa"/>
          </w:tcPr>
          <w:p>
            <w:pPr>
              <w:jc w:val="center"/>
            </w:pPr>
            <w:r>
              <w:rPr>
                <w:sz w:val="20"/>
                <w:szCs w:val="20"/>
              </w:rPr>
              <w:t>Extraction optimization</w:t>
            </w:r>
          </w:p>
        </w:tc>
        <w:tc>
          <w:tcPr>
            <w:tcW w:w="1800" w:type="dxa"/>
          </w:tcPr>
          <w:p>
            <w:pPr>
              <w:jc w:val="center"/>
            </w:pPr>
            <w:r>
              <w:rPr>
                <w:sz w:val="20"/>
                <w:szCs w:val="20"/>
              </w:rPr>
              <w:t>Bayesian optimization</w:t>
            </w:r>
          </w:p>
        </w:tc>
        <w:tc>
          <w:tcPr>
            <w:tcW w:w="1800" w:type="dxa"/>
          </w:tcPr>
          <w:p>
            <w:pPr>
              <w:jc w:val="center"/>
            </w:pPr>
            <w:r>
              <w:rPr>
                <w:sz w:val="20"/>
                <w:szCs w:val="20"/>
              </w:rPr>
              <w:t>Process parameters</w:t>
            </w:r>
          </w:p>
        </w:tc>
        <w:tc>
          <w:tcPr>
            <w:tcW w:w="1800" w:type="dxa"/>
          </w:tcPr>
          <w:p>
            <w:pPr>
              <w:jc w:val="center"/>
            </w:pPr>
            <w:r>
              <w:rPr>
                <w:sz w:val="20"/>
                <w:szCs w:val="20"/>
              </w:rPr>
              <w:t>Yield gain: 10-30%</w:t>
            </w:r>
          </w:p>
        </w:tc>
        <w:tc>
          <w:tcPr>
            <w:tcW w:w="1800" w:type="dxa"/>
          </w:tcPr>
          <w:p>
            <w:pPr>
              <w:jc w:val="center"/>
            </w:pPr>
            <w:r>
              <w:rPr>
                <w:sz w:val="20"/>
                <w:szCs w:val="20"/>
              </w:rPr>
              <w:t>6-7</w:t>
            </w:r>
          </w:p>
        </w:tc>
      </w:tr>
      <w:tr>
        <w:tc>
          <w:tcPr>
            <w:tcW w:w="1800" w:type="dxa"/>
          </w:tcPr>
          <w:p>
            <w:pPr>
              <w:jc w:val="center"/>
            </w:pPr>
            <w:r>
              <w:rPr>
                <w:sz w:val="20"/>
                <w:szCs w:val="20"/>
              </w:rPr>
              <w:t>Quality prediction</w:t>
            </w:r>
          </w:p>
        </w:tc>
        <w:tc>
          <w:tcPr>
            <w:tcW w:w="1800" w:type="dxa"/>
          </w:tcPr>
          <w:p>
            <w:pPr>
              <w:jc w:val="center"/>
            </w:pPr>
            <w:r>
              <w:rPr>
                <w:sz w:val="20"/>
                <w:szCs w:val="20"/>
              </w:rPr>
              <w:t>Gradient boosting</w:t>
            </w:r>
          </w:p>
        </w:tc>
        <w:tc>
          <w:tcPr>
            <w:tcW w:w="1800" w:type="dxa"/>
          </w:tcPr>
          <w:p>
            <w:pPr>
              <w:jc w:val="center"/>
            </w:pPr>
            <w:r>
              <w:rPr>
                <w:sz w:val="20"/>
                <w:szCs w:val="20"/>
              </w:rPr>
              <w:t>NIR spectra</w:t>
            </w:r>
          </w:p>
        </w:tc>
        <w:tc>
          <w:tcPr>
            <w:tcW w:w="1800" w:type="dxa"/>
          </w:tcPr>
          <w:p>
            <w:pPr>
              <w:jc w:val="center"/>
            </w:pPr>
            <w:r>
              <w:rPr>
                <w:sz w:val="20"/>
                <w:szCs w:val="20"/>
              </w:rPr>
              <w:t>RMSEP &lt; 2%</w:t>
            </w:r>
          </w:p>
        </w:tc>
        <w:tc>
          <w:tcPr>
            <w:tcW w:w="1800" w:type="dxa"/>
          </w:tcPr>
          <w:p>
            <w:pPr>
              <w:jc w:val="center"/>
            </w:pPr>
            <w:r>
              <w:rPr>
                <w:sz w:val="20"/>
                <w:szCs w:val="20"/>
              </w:rPr>
              <w:t>6-7</w:t>
            </w:r>
          </w:p>
        </w:tc>
      </w:tr>
      <w:tr>
        <w:tc>
          <w:tcPr>
            <w:tcW w:w="1800" w:type="dxa"/>
          </w:tcPr>
          <w:p>
            <w:pPr>
              <w:jc w:val="center"/>
            </w:pPr>
            <w:r>
              <w:rPr>
                <w:sz w:val="20"/>
                <w:szCs w:val="20"/>
              </w:rPr>
              <w:t>Supply-demand matching</w:t>
            </w:r>
          </w:p>
        </w:tc>
        <w:tc>
          <w:tcPr>
            <w:tcW w:w="1800" w:type="dxa"/>
          </w:tcPr>
          <w:p>
            <w:pPr>
              <w:jc w:val="center"/>
            </w:pPr>
            <w:r>
              <w:rPr>
                <w:sz w:val="20"/>
                <w:szCs w:val="20"/>
              </w:rPr>
              <w:t>Graph neural networks</w:t>
            </w:r>
          </w:p>
        </w:tc>
        <w:tc>
          <w:tcPr>
            <w:tcW w:w="1800" w:type="dxa"/>
          </w:tcPr>
          <w:p>
            <w:pPr>
              <w:jc w:val="center"/>
            </w:pPr>
            <w:r>
              <w:rPr>
                <w:sz w:val="20"/>
                <w:szCs w:val="20"/>
              </w:rPr>
              <w:t>Market + production data</w:t>
            </w:r>
          </w:p>
        </w:tc>
        <w:tc>
          <w:tcPr>
            <w:tcW w:w="1800" w:type="dxa"/>
          </w:tcPr>
          <w:p>
            <w:pPr>
              <w:jc w:val="center"/>
            </w:pPr>
            <w:r>
              <w:rPr>
                <w:sz w:val="20"/>
                <w:szCs w:val="20"/>
              </w:rPr>
              <w:t>Forecast accuracy: 85-92%</w:t>
            </w:r>
          </w:p>
        </w:tc>
        <w:tc>
          <w:tcPr>
            <w:tcW w:w="1800" w:type="dxa"/>
          </w:tcPr>
          <w:p>
            <w:pPr>
              <w:jc w:val="center"/>
            </w:pPr>
            <w:r>
              <w:rPr>
                <w:sz w:val="20"/>
                <w:szCs w:val="20"/>
              </w:rPr>
              <w:t>3-4</w:t>
            </w:r>
          </w:p>
        </w:tc>
      </w:tr>
    </w:tbl>
    <w:p xmlns:w="http://schemas.openxmlformats.org/wordprocessingml/2006/main">
      <w:pPr>
        <w:spacing w:after="200"/>
      </w:pPr>
    </w:p>
    <w:p xmlns:w="http://schemas.openxmlformats.org/wordprocessingml/2006/main">
      <w:pPr>
        <w:pStyle w:val="Heading2"/>
        <w:jc w:val="start"/>
        <w:spacing w:after="240"/>
      </w:pPr>
      <w:r>
        <w:rPr>
          <w:b/>
          <w:sz w:val="28"/>
          <w:szCs w:val="28"/>
        </w:rPr>
        <w:t xml:space="preserve">2.2. Internet of Things and Smart Aquaculture Monitoring</w:t>
      </w:r>
    </w:p>
    <w:p xmlns:w="http://schemas.openxmlformats.org/wordprocessingml/2006/main">
      <w:pPr>
        <w:jc w:val="both"/>
        <w:spacing w:after="200"/>
      </w:pPr>
      <w:r>
        <w:rPr>
          <w:sz w:val="24"/>
          <w:szCs w:val="24"/>
        </w:rPr>
        <w:t xml:space="preserve">The Internet of Things (IoT) provides the sensory nervous system for smart seaweed aquaculture, enabling continuous, autonomous monitoring of environmental and biological parameters that determine cultivation success [34, 46]. As depicted in Figure 3, the IoT architecture for smart seaweed farming comprises three hierarchical layers: the perception layer (underwater and surface sensors measuring temperature, salinity, dissolved nutrients, pH, dissolved oxygen, turbidity, photosynthetically active radiation, current velocity, and wave height), the network layer (communication gateways, edge computing nodes, and cloud infrastructure), and the application layer (decision-support dashboards, alert systems, and automated control interfaces) [35, 47]. Low-power wide-area network (LPWAN) technologies including LoRaWAN and NB-IoT enable cost-effective communication from remote marine installations with transmission ranges of 5-15 km and battery lives of 5-10 years for sensor nodes, addressing the unique connectivity challenges of offshore aquaculture [36, 48].</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3749039"/>
            <wp:docPr id="1" name="Picture"/>
            <a:graphic>
              <a:graphicData uri="http://schemas.openxmlformats.org/drawingml/2006/picture">
                <pic:pic>
                  <pic:nvPicPr>
                    <pic:cNvPr id="0" name="Picture"/>
                    <pic:cNvPicPr/>
                  </pic:nvPicPr>
                  <pic:blipFill>
                    <a:blip r:embed="rId5"/>
                    <a:stretch>
                      <a:fillRect/>
                    </a:stretch>
                  </pic:blipFill>
                  <pic:spPr>
                    <a:xfrm>
                      <a:off x="0" y="0"/>
                      <a:ext cx="5029200" cy="3749039"/>
                    </a:xfrm>
                    <a:prstGeom prst="rect">
                      <a:avLst/>
                    </a:prstGeom>
                  </pic:spPr>
                </pic:pic>
              </a:graphicData>
            </a:graphic>
          </wp:inline>
        </w:drawing>
      </w:r>
    </w:p>
    <w:p xmlns:w="http://schemas.openxmlformats.org/wordprocessingml/2006/main">
      <w:pPr>
        <w:jc w:val="center"/>
        <w:spacing w:after="240"/>
      </w:pPr>
      <w:r>
        <w:rPr>
          <w:b/>
          <w:sz w:val="20"/>
          <w:szCs w:val="20"/>
        </w:rPr>
        <w:t xml:space="preserve">Figure 3. Three-layer IoT architecture for smart seaweed aquaculture: perception layer (environmental sensors), network layer (communication and edge computing), and application layer (decision-support systems and automated controls).</w:t>
      </w:r>
    </w:p>
    <w:p xmlns:w="http://schemas.openxmlformats.org/wordprocessingml/2006/main">
      <w:pPr>
        <w:jc w:val="both"/>
        <w:spacing w:after="200"/>
      </w:pPr>
      <w:r>
        <w:rPr>
          <w:sz w:val="24"/>
          <w:szCs w:val="24"/>
        </w:rPr>
        <w:t xml:space="preserve">Edge computing deployed at the network layer performs real-time data preprocessing, anomaly detection, and time-critical decision-making locally, reducing latency from minutes (cloud-only processing) to milliseconds while minimizing bandwidth requirements for satellite or cellular backhaul from offshore installations [37, 49]. Advanced sensor technologies under development for seaweed aquaculture include hyperspectral underwater cameras for non-invasive biomass composition analysis, acoustic sensors for biofouling detection, DNA-based biosensors for early pathogen identification, and fiber-optic distributed sensing systems that provide spatial temperature and strain profiles along cultivation lines [38, 50]. The integration of IoT data streams with AI analytics enables transition from reactive management (responding to problems after occurrence) to predictive and ultimately prescriptive management (anticipating issues and automatically implementing preventive actions) [39, 51].</w:t>
      </w:r>
    </w:p>
    <w:p xmlns:w="http://schemas.openxmlformats.org/wordprocessingml/2006/main">
      <w:pPr>
        <w:jc w:val="both"/>
        <w:spacing w:after="200"/>
      </w:pPr>
      <w:r>
        <w:rPr>
          <w:sz w:val="24"/>
          <w:szCs w:val="24"/>
        </w:rPr>
        <w:t xml:space="preserve">The economic analysis of IoT deployment in seaweed aquaculture demonstrates positive return-on-investment within 2-4 years for medium-to-large operations (exceeding 10 hectares), with benefits accruing from reduced crop losses (30-50% reduction through early warning), optimized harvesting schedules (15-20% yield improvement), reduced labor for monitoring tasks (60-80% time savings), and quality premiums enabled by continuous documentation (10-15% price uplift for certified products) [40, 52]. The declining costs of marine-grade sensors, communication modules, and cloud computing services are progressively extending the economic viability of IoT systems to smaller operations, particularly when deployed through shared cooperative models that distribute infrastructure costs across multiple farms [41, 53]. Standardization of communication protocols (MQTT, OPC-UA) and data models (NGSI-LD, SensorThings API) enables interoperability between equipment from different manufacturers, reducing vendor lock-in and facilitating the creation of integrated monitoring platforms that aggregate data across entire regional production clusters [42, 54].</w:t>
      </w:r>
    </w:p>
    <w:p xmlns:w="http://schemas.openxmlformats.org/wordprocessingml/2006/main">
      <w:pPr>
        <w:pStyle w:val="Heading2"/>
        <w:jc w:val="start"/>
        <w:spacing w:after="240"/>
      </w:pPr>
      <w:r>
        <w:rPr>
          <w:b/>
          <w:sz w:val="28"/>
          <w:szCs w:val="28"/>
        </w:rPr>
        <w:t xml:space="preserve">2.3. Digital Twins, Robotics, and Automation</w:t>
      </w:r>
    </w:p>
    <w:p xmlns:w="http://schemas.openxmlformats.org/wordprocessingml/2006/main">
      <w:pPr>
        <w:jc w:val="both"/>
        <w:spacing w:after="200"/>
      </w:pPr>
      <w:r>
        <w:rPr>
          <w:sz w:val="24"/>
          <w:szCs w:val="24"/>
        </w:rPr>
        <w:t xml:space="preserve">Digital twin technology creates virtual replicas of physical seaweed cultivation and processing systems that are continuously synchronized with real-time operational data, enabling simulation, optimization, and predictive analysis without disrupting actual operations [40, 52]. As shown in Figure 4, the digital twin architecture for seaweed cultivation encompasses the physical domain (ocean farm infrastructure, biological system, environmental conditions), the digital domain (computational models, data visualization, scenario simulation), and bidirectional data flows (sensor data feeding the digital model; optimized parameters feeding back to physical system control) [41, 53]. Hybrid models combining physics-based representations (hydrodynamic models, photosynthesis kinetics, nutrient uptake Michaelis-Menten equations) with data-driven components (neural networks trained on historical performance data) provide the most accurate and generalizable digital twins for biological production systems [42, 54].</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3749039"/>
            <wp:docPr id="1" name="Picture"/>
            <a:graphic>
              <a:graphicData uri="http://schemas.openxmlformats.org/drawingml/2006/picture">
                <pic:pic>
                  <pic:nvPicPr>
                    <pic:cNvPr id="0" name="Picture"/>
                    <pic:cNvPicPr/>
                  </pic:nvPicPr>
                  <pic:blipFill>
                    <a:blip r:embed="rId6"/>
                    <a:stretch>
                      <a:fillRect/>
                    </a:stretch>
                  </pic:blipFill>
                  <pic:spPr>
                    <a:xfrm>
                      <a:off x="0" y="0"/>
                      <a:ext cx="5029200" cy="3749039"/>
                    </a:xfrm>
                    <a:prstGeom prst="rect">
                      <a:avLst/>
                    </a:prstGeom>
                  </pic:spPr>
                </pic:pic>
              </a:graphicData>
            </a:graphic>
          </wp:inline>
        </w:drawing>
      </w:r>
    </w:p>
    <w:p xmlns:w="http://schemas.openxmlformats.org/wordprocessingml/2006/main">
      <w:pPr>
        <w:jc w:val="center"/>
        <w:spacing w:after="240"/>
      </w:pPr>
      <w:r>
        <w:rPr>
          <w:b/>
          <w:sz w:val="20"/>
          <w:szCs w:val="20"/>
        </w:rPr>
        <w:t xml:space="preserve">Figure 4. Digital twin architecture for seaweed cultivation showing bidirectional data exchange between the physical domain (ocean farm with sensors) and digital domain (computational model, simulation, dashboard), enabling real-time optimization and scenario analysis.</w:t>
      </w:r>
    </w:p>
    <w:p xmlns:w="http://schemas.openxmlformats.org/wordprocessingml/2006/main">
      <w:pPr>
        <w:jc w:val="both"/>
        <w:spacing w:after="200"/>
      </w:pPr>
      <w:r>
        <w:rPr>
          <w:sz w:val="24"/>
          <w:szCs w:val="24"/>
        </w:rPr>
        <w:t xml:space="preserve">Robotics and automation address the labor-intensive and physically demanding aspects of seaweed farming, including seeding, deployment, inspection, maintenance, and harvesting operations that traditionally limit scalability [43, 55]. Autonomous underwater vehicles (AUVs) equipped with cameras, sensors, and manipulators can perform routine farm inspections, identify maintenance requirements, and collect biological samples without diver deployment, reducing operational costs by 40-60% for monitoring tasks [44, 56]. Semi-autonomous harvesting systems incorporating GPS guidance, computer vision for selective cutting, and automated biomass collection have demonstrated throughputs of 10-20 tonnes per hour compared to 1-3 tonnes per hour for manual harvesting, while enabling species-selective harvesting that leaves reproductive tissue intact for continued cultivation [45, 57].</w:t>
      </w:r>
    </w:p>
    <w:p xmlns:w="http://schemas.openxmlformats.org/wordprocessingml/2006/main">
      <w:pPr>
        <w:jc w:val="both"/>
        <w:spacing w:after="200"/>
      </w:pPr>
      <w:r>
        <w:rPr>
          <w:sz w:val="24"/>
          <w:szCs w:val="24"/>
        </w:rPr>
        <w:t xml:space="preserve">Collaborative robots (cobots) designed for bioprocessing environments work alongside human operators in seaweed processing facilities, handling repetitive tasks (sorting, weighing, packaging) while humans focus on quality judgment, maintenance, and process supervision [46, 58]. Unlike traditional industrial robots that operate within safety cages, cobots employ force-sensing, speed limitations, and soft-surface design that enable safe human proximity, embodying the Industry 5.0 principle of human-machine collaboration rather than human replacement [47, 59]. Modular robotic platforms that can be reconfigured for different tasks (seeding one season, harvesting the next) reduce capital costs through increased utilization rates and adapt to the seasonal nature of seaweed farming operations [48, 60]. The development of bio-inspired soft robots mimicking marine organisms (octopus arms for gentle manipulation, fish-like locomotion for efficient underwater movement) addresses the need for robots that can operate safely in sensitive marine ecosystems without damaging cultivated organisms or surrounding biodiversity [49, 61].</w:t>
      </w:r>
    </w:p>
    <w:p xmlns:w="http://schemas.openxmlformats.org/wordprocessingml/2006/main">
      <w:pPr>
        <w:pStyle w:val="Heading2"/>
        <w:jc w:val="start"/>
        <w:spacing w:after="240"/>
      </w:pPr>
      <w:r>
        <w:rPr>
          <w:b/>
          <w:sz w:val="28"/>
          <w:szCs w:val="28"/>
        </w:rPr>
        <w:t xml:space="preserve">2.4. Big Data Analytics, Cloud Computing, and Blockchain</w:t>
      </w:r>
    </w:p>
    <w:p xmlns:w="http://schemas.openxmlformats.org/wordprocessingml/2006/main">
      <w:pPr>
        <w:jc w:val="both"/>
        <w:spacing w:after="200"/>
      </w:pPr>
      <w:r>
        <w:rPr>
          <w:sz w:val="24"/>
          <w:szCs w:val="24"/>
        </w:rPr>
        <w:t xml:space="preserve">Big data analytics in marine biotechnology addresses the challenge of extracting actionable insights from the massive, heterogeneous, and rapidly growing datasets generated by IoT sensors, satellite remote sensing, genomic sequencing, process monitoring, and supply chain tracking across the seaweed industry [46, 58]. Cloud computing platforms provide the scalable computational infrastructure necessary for storing petabyte-scale marine datasets, training computationally intensive deep learning models, and delivering analytics-as-a-service to geographically distributed aquaculture operations that may lack local IT infrastructure [47, 59]. Serverless computing and containerized microservices architectures enable cost-effective, on-demand processing of burst workloads such as satellite image analysis following cloud-free acquisition windows, seasonal harvest planning optimization, and real-time quality prediction during processing campaigns [48, 60].</w:t>
      </w:r>
    </w:p>
    <w:p xmlns:w="http://schemas.openxmlformats.org/wordprocessingml/2006/main">
      <w:pPr>
        <w:jc w:val="both"/>
        <w:spacing w:after="200"/>
      </w:pPr>
      <w:r>
        <w:rPr>
          <w:sz w:val="24"/>
          <w:szCs w:val="24"/>
        </w:rPr>
        <w:t xml:space="preserve">Data lake architectures that accommodate structured (sensor measurements, production records), semi-structured (vessel tracking logs, weather forecasts), and unstructured (imagery, free-text inspection notes, video footage) data within unified repositories provide the foundation for cross-domain analytics that reveal correlations invisible within siloed datasets [49, 61]. For example, integrating satellite-derived sea surface temperature anomalies with historical disease occurrence records and current biomass quality measurements enables multivariate risk scoring that identifies farms at elevated disease probability before symptoms manifest [50, 62]. Graph databases and knowledge graphs that encode relationships between entities (species, environments, processes, products, regulations) enable semantic reasoning and natural language query interfaces that make complex analytical capabilities accessible to non-specialist users without programming expertise [51, 63]. Real-time streaming analytics platforms (Apache Kafka, Apache Flink) process continuous IoT data flows, generating immediate alerts for threshold exceedances while simultaneously feeding batch analytics that identify longer-term trends, seasonal patterns, and performance benchmarks across fleet-wide operations [1, 13].</w:t>
      </w:r>
    </w:p>
    <w:p xmlns:w="http://schemas.openxmlformats.org/wordprocessingml/2006/main">
      <w:pPr>
        <w:jc w:val="both"/>
        <w:spacing w:after="200"/>
      </w:pPr>
      <w:r>
        <w:rPr>
          <w:sz w:val="24"/>
          <w:szCs w:val="24"/>
        </w:rPr>
        <w:t xml:space="preserve">Blockchain technology provides immutable, distributed ledger capabilities for ensuring traceability, authenticity, and regulatory compliance throughout the seaweed supply chain from farm to consumer [49, 61]. As depicted in Figure 6, blockchain-enabled supply chains record each transaction and transformation (harvesting location and date, drying conditions, extraction parameters, quality test results, transportation conditions, custody transfers) as cryptographically secured blocks, enabling instant verification of product provenance and processing history by regulators, buyers, and consumers [50, 62]. Smart contracts automatically execute quality-contingent payments, trigger recalls when out-of-specification conditions are detected, and manage certification renewals (organic, sustainable, kosher/halal), reducing administrative overhead while eliminating opportunities for fraudulent claims [51, 63]. Table 3 compares the capabilities of different distributed ledger technologies for marine supply chain applications, highlighting trade-offs between decentralization, throughput, energy consumption, and smart contract functionality [46, 49, 58, 61].</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3749039"/>
            <wp:docPr id="1" name="Picture"/>
            <a:graphic>
              <a:graphicData uri="http://schemas.openxmlformats.org/drawingml/2006/picture">
                <pic:pic>
                  <pic:nvPicPr>
                    <pic:cNvPr id="0" name="Picture"/>
                    <pic:cNvPicPr/>
                  </pic:nvPicPr>
                  <pic:blipFill>
                    <a:blip r:embed="rId7"/>
                    <a:stretch>
                      <a:fillRect/>
                    </a:stretch>
                  </pic:blipFill>
                  <pic:spPr>
                    <a:xfrm>
                      <a:off x="0" y="0"/>
                      <a:ext cx="5029200" cy="3749039"/>
                    </a:xfrm>
                    <a:prstGeom prst="rect">
                      <a:avLst/>
                    </a:prstGeom>
                  </pic:spPr>
                </pic:pic>
              </a:graphicData>
            </a:graphic>
          </wp:inline>
        </w:drawing>
      </w:r>
    </w:p>
    <w:p xmlns:w="http://schemas.openxmlformats.org/wordprocessingml/2006/main">
      <w:pPr>
        <w:jc w:val="center"/>
        <w:spacing w:after="240"/>
      </w:pPr>
      <w:r>
        <w:rPr>
          <w:b/>
          <w:sz w:val="20"/>
          <w:szCs w:val="20"/>
        </w:rPr>
        <w:t xml:space="preserve">Figure 6. Blockchain-enabled supply chain for seaweed products showing sequential transaction blocks linked by cryptographic hashes, stakeholder connections (farmers, processors, distributors, retailers, consumers), and consensus verification mechanism with smart contract execution.</w:t>
      </w:r>
    </w:p>
    <w:p xmlns:w="http://schemas.openxmlformats.org/wordprocessingml/2006/main">
      <w:pPr>
        <w:jc w:val="center"/>
        <w:spacing w:before="240" w:after="120"/>
      </w:pPr>
      <w:r>
        <w:rPr>
          <w:b/>
          <w:sz w:val="20"/>
          <w:szCs w:val="20"/>
        </w:rPr>
        <w:t xml:space="preserve">Table 3. Comparison of distributed ledger technologies for marine biotechnology supply chain applications [46, 49, 58, 61].</w:t>
      </w:r>
    </w:p>
    <w:tbl xmlns:w="http://schemas.openxmlformats.org/wordprocessingml/2006/main">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500"/>
        <w:gridCol w:w="1500"/>
        <w:gridCol w:w="1500"/>
        <w:gridCol w:w="1500"/>
        <w:gridCol w:w="1500"/>
        <w:gridCol w:w="1500"/>
      </w:tblGrid>
      <w:tr>
        <w:tc>
          <w:tcPr>
            <w:tcW w:w="1500" w:type="dxa"/>
            <w:shd w:val="clear" w:color="auto" w:fill="D9D9D9"/>
          </w:tcPr>
          <w:p>
            <w:pPr>
              <w:jc w:val="center"/>
            </w:pPr>
            <w:r>
              <w:rPr>
                <w:b/>
                <w:sz w:val="20"/>
                <w:szCs w:val="20"/>
              </w:rPr>
              <w:t>DLT Platform</w:t>
            </w:r>
          </w:p>
        </w:tc>
        <w:tc>
          <w:tcPr>
            <w:tcW w:w="1500" w:type="dxa"/>
            <w:shd w:val="clear" w:color="auto" w:fill="D9D9D9"/>
          </w:tcPr>
          <w:p>
            <w:pPr>
              <w:jc w:val="center"/>
            </w:pPr>
            <w:r>
              <w:rPr>
                <w:b/>
                <w:sz w:val="20"/>
                <w:szCs w:val="20"/>
              </w:rPr>
              <w:t>Consensus</w:t>
            </w:r>
          </w:p>
        </w:tc>
        <w:tc>
          <w:tcPr>
            <w:tcW w:w="1500" w:type="dxa"/>
            <w:shd w:val="clear" w:color="auto" w:fill="D9D9D9"/>
          </w:tcPr>
          <w:p>
            <w:pPr>
              <w:jc w:val="center"/>
            </w:pPr>
            <w:r>
              <w:rPr>
                <w:b/>
                <w:sz w:val="20"/>
                <w:szCs w:val="20"/>
              </w:rPr>
              <w:t>Throughput (TPS)</w:t>
            </w:r>
          </w:p>
        </w:tc>
        <w:tc>
          <w:tcPr>
            <w:tcW w:w="1500" w:type="dxa"/>
            <w:shd w:val="clear" w:color="auto" w:fill="D9D9D9"/>
          </w:tcPr>
          <w:p>
            <w:pPr>
              <w:jc w:val="center"/>
            </w:pPr>
            <w:r>
              <w:rPr>
                <w:b/>
                <w:sz w:val="20"/>
                <w:szCs w:val="20"/>
              </w:rPr>
              <w:t>Energy Use</w:t>
            </w:r>
          </w:p>
        </w:tc>
        <w:tc>
          <w:tcPr>
            <w:tcW w:w="1500" w:type="dxa"/>
            <w:shd w:val="clear" w:color="auto" w:fill="D9D9D9"/>
          </w:tcPr>
          <w:p>
            <w:pPr>
              <w:jc w:val="center"/>
            </w:pPr>
            <w:r>
              <w:rPr>
                <w:b/>
                <w:sz w:val="20"/>
                <w:szCs w:val="20"/>
              </w:rPr>
              <w:t>Smart Contracts</w:t>
            </w:r>
          </w:p>
        </w:tc>
        <w:tc>
          <w:tcPr>
            <w:tcW w:w="1500" w:type="dxa"/>
            <w:shd w:val="clear" w:color="auto" w:fill="D9D9D9"/>
          </w:tcPr>
          <w:p>
            <w:pPr>
              <w:jc w:val="center"/>
            </w:pPr>
            <w:r>
              <w:rPr>
                <w:b/>
                <w:sz w:val="20"/>
                <w:szCs w:val="20"/>
              </w:rPr>
              <w:t>Marine Suitability</w:t>
            </w:r>
          </w:p>
        </w:tc>
      </w:tr>
      <w:tr>
        <w:tc>
          <w:tcPr>
            <w:tcW w:w="1500" w:type="dxa"/>
          </w:tcPr>
          <w:p>
            <w:pPr>
              <w:jc w:val="center"/>
            </w:pPr>
            <w:r>
              <w:rPr>
                <w:sz w:val="20"/>
                <w:szCs w:val="20"/>
              </w:rPr>
              <w:t>Ethereum 2.0</w:t>
            </w:r>
          </w:p>
        </w:tc>
        <w:tc>
          <w:tcPr>
            <w:tcW w:w="1500" w:type="dxa"/>
          </w:tcPr>
          <w:p>
            <w:pPr>
              <w:jc w:val="center"/>
            </w:pPr>
            <w:r>
              <w:rPr>
                <w:sz w:val="20"/>
                <w:szCs w:val="20"/>
              </w:rPr>
              <w:t>Proof of Stake</w:t>
            </w:r>
          </w:p>
        </w:tc>
        <w:tc>
          <w:tcPr>
            <w:tcW w:w="1500" w:type="dxa"/>
          </w:tcPr>
          <w:p>
            <w:pPr>
              <w:jc w:val="center"/>
            </w:pPr>
            <w:r>
              <w:rPr>
                <w:sz w:val="20"/>
                <w:szCs w:val="20"/>
              </w:rPr>
              <w:t>30-100</w:t>
            </w:r>
          </w:p>
        </w:tc>
        <w:tc>
          <w:tcPr>
            <w:tcW w:w="1500" w:type="dxa"/>
          </w:tcPr>
          <w:p>
            <w:pPr>
              <w:jc w:val="center"/>
            </w:pPr>
            <w:r>
              <w:rPr>
                <w:sz w:val="20"/>
                <w:szCs w:val="20"/>
              </w:rPr>
              <w:t>Low</w:t>
            </w:r>
          </w:p>
        </w:tc>
        <w:tc>
          <w:tcPr>
            <w:tcW w:w="1500" w:type="dxa"/>
          </w:tcPr>
          <w:p>
            <w:pPr>
              <w:jc w:val="center"/>
            </w:pPr>
            <w:r>
              <w:rPr>
                <w:sz w:val="20"/>
                <w:szCs w:val="20"/>
              </w:rPr>
              <w:t>Full (Solidity)</w:t>
            </w:r>
          </w:p>
        </w:tc>
        <w:tc>
          <w:tcPr>
            <w:tcW w:w="1500" w:type="dxa"/>
          </w:tcPr>
          <w:p>
            <w:pPr>
              <w:jc w:val="center"/>
            </w:pPr>
            <w:r>
              <w:rPr>
                <w:sz w:val="20"/>
                <w:szCs w:val="20"/>
              </w:rPr>
              <w:t>High (public chain)</w:t>
            </w:r>
          </w:p>
        </w:tc>
      </w:tr>
      <w:tr>
        <w:tc>
          <w:tcPr>
            <w:tcW w:w="1500" w:type="dxa"/>
          </w:tcPr>
          <w:p>
            <w:pPr>
              <w:jc w:val="center"/>
            </w:pPr>
            <w:r>
              <w:rPr>
                <w:sz w:val="20"/>
                <w:szCs w:val="20"/>
              </w:rPr>
              <w:t>Hyperledger Fabric</w:t>
            </w:r>
          </w:p>
        </w:tc>
        <w:tc>
          <w:tcPr>
            <w:tcW w:w="1500" w:type="dxa"/>
          </w:tcPr>
          <w:p>
            <w:pPr>
              <w:jc w:val="center"/>
            </w:pPr>
            <w:r>
              <w:rPr>
                <w:sz w:val="20"/>
                <w:szCs w:val="20"/>
              </w:rPr>
              <w:t>PBFT/Raft</w:t>
            </w:r>
          </w:p>
        </w:tc>
        <w:tc>
          <w:tcPr>
            <w:tcW w:w="1500" w:type="dxa"/>
          </w:tcPr>
          <w:p>
            <w:pPr>
              <w:jc w:val="center"/>
            </w:pPr>
            <w:r>
              <w:rPr>
                <w:sz w:val="20"/>
                <w:szCs w:val="20"/>
              </w:rPr>
              <w:t>1000-3000</w:t>
            </w:r>
          </w:p>
        </w:tc>
        <w:tc>
          <w:tcPr>
            <w:tcW w:w="1500" w:type="dxa"/>
          </w:tcPr>
          <w:p>
            <w:pPr>
              <w:jc w:val="center"/>
            </w:pPr>
            <w:r>
              <w:rPr>
                <w:sz w:val="20"/>
                <w:szCs w:val="20"/>
              </w:rPr>
              <w:t>Very Low</w:t>
            </w:r>
          </w:p>
        </w:tc>
        <w:tc>
          <w:tcPr>
            <w:tcW w:w="1500" w:type="dxa"/>
          </w:tcPr>
          <w:p>
            <w:pPr>
              <w:jc w:val="center"/>
            </w:pPr>
            <w:r>
              <w:rPr>
                <w:sz w:val="20"/>
                <w:szCs w:val="20"/>
              </w:rPr>
              <w:t>Full (Go/Java)</w:t>
            </w:r>
          </w:p>
        </w:tc>
        <w:tc>
          <w:tcPr>
            <w:tcW w:w="1500" w:type="dxa"/>
          </w:tcPr>
          <w:p>
            <w:pPr>
              <w:jc w:val="center"/>
            </w:pPr>
            <w:r>
              <w:rPr>
                <w:sz w:val="20"/>
                <w:szCs w:val="20"/>
              </w:rPr>
              <w:t>Very High (permissioned)</w:t>
            </w:r>
          </w:p>
        </w:tc>
      </w:tr>
      <w:tr>
        <w:tc>
          <w:tcPr>
            <w:tcW w:w="1500" w:type="dxa"/>
          </w:tcPr>
          <w:p>
            <w:pPr>
              <w:jc w:val="center"/>
            </w:pPr>
            <w:r>
              <w:rPr>
                <w:sz w:val="20"/>
                <w:szCs w:val="20"/>
              </w:rPr>
              <w:t>IOTA Tangle</w:t>
            </w:r>
          </w:p>
        </w:tc>
        <w:tc>
          <w:tcPr>
            <w:tcW w:w="1500" w:type="dxa"/>
          </w:tcPr>
          <w:p>
            <w:pPr>
              <w:jc w:val="center"/>
            </w:pPr>
            <w:r>
              <w:rPr>
                <w:sz w:val="20"/>
                <w:szCs w:val="20"/>
              </w:rPr>
              <w:t>DAG-based</w:t>
            </w:r>
          </w:p>
        </w:tc>
        <w:tc>
          <w:tcPr>
            <w:tcW w:w="1500" w:type="dxa"/>
          </w:tcPr>
          <w:p>
            <w:pPr>
              <w:jc w:val="center"/>
            </w:pPr>
            <w:r>
              <w:rPr>
                <w:sz w:val="20"/>
                <w:szCs w:val="20"/>
              </w:rPr>
              <w:t>500-1500</w:t>
            </w:r>
          </w:p>
        </w:tc>
        <w:tc>
          <w:tcPr>
            <w:tcW w:w="1500" w:type="dxa"/>
          </w:tcPr>
          <w:p>
            <w:pPr>
              <w:jc w:val="center"/>
            </w:pPr>
            <w:r>
              <w:rPr>
                <w:sz w:val="20"/>
                <w:szCs w:val="20"/>
              </w:rPr>
              <w:t>Minimal</w:t>
            </w:r>
          </w:p>
        </w:tc>
        <w:tc>
          <w:tcPr>
            <w:tcW w:w="1500" w:type="dxa"/>
          </w:tcPr>
          <w:p>
            <w:pPr>
              <w:jc w:val="center"/>
            </w:pPr>
            <w:r>
              <w:rPr>
                <w:sz w:val="20"/>
                <w:szCs w:val="20"/>
              </w:rPr>
              <w:t>Limited</w:t>
            </w:r>
          </w:p>
        </w:tc>
        <w:tc>
          <w:tcPr>
            <w:tcW w:w="1500" w:type="dxa"/>
          </w:tcPr>
          <w:p>
            <w:pPr>
              <w:jc w:val="center"/>
            </w:pPr>
            <w:r>
              <w:rPr>
                <w:sz w:val="20"/>
                <w:szCs w:val="20"/>
              </w:rPr>
              <w:t>High (IoT optimized)</w:t>
            </w:r>
          </w:p>
        </w:tc>
      </w:tr>
      <w:tr>
        <w:tc>
          <w:tcPr>
            <w:tcW w:w="1500" w:type="dxa"/>
          </w:tcPr>
          <w:p>
            <w:pPr>
              <w:jc w:val="center"/>
            </w:pPr>
            <w:r>
              <w:rPr>
                <w:sz w:val="20"/>
                <w:szCs w:val="20"/>
              </w:rPr>
              <w:t>Polygon</w:t>
            </w:r>
          </w:p>
        </w:tc>
        <w:tc>
          <w:tcPr>
            <w:tcW w:w="1500" w:type="dxa"/>
          </w:tcPr>
          <w:p>
            <w:pPr>
              <w:jc w:val="center"/>
            </w:pPr>
            <w:r>
              <w:rPr>
                <w:sz w:val="20"/>
                <w:szCs w:val="20"/>
              </w:rPr>
              <w:t>PoS sidechains</w:t>
            </w:r>
          </w:p>
        </w:tc>
        <w:tc>
          <w:tcPr>
            <w:tcW w:w="1500" w:type="dxa"/>
          </w:tcPr>
          <w:p>
            <w:pPr>
              <w:jc w:val="center"/>
            </w:pPr>
            <w:r>
              <w:rPr>
                <w:sz w:val="20"/>
                <w:szCs w:val="20"/>
              </w:rPr>
              <w:t>7000+</w:t>
            </w:r>
          </w:p>
        </w:tc>
        <w:tc>
          <w:tcPr>
            <w:tcW w:w="1500" w:type="dxa"/>
          </w:tcPr>
          <w:p>
            <w:pPr>
              <w:jc w:val="center"/>
            </w:pPr>
            <w:r>
              <w:rPr>
                <w:sz w:val="20"/>
                <w:szCs w:val="20"/>
              </w:rPr>
              <w:t>Low</w:t>
            </w:r>
          </w:p>
        </w:tc>
        <w:tc>
          <w:tcPr>
            <w:tcW w:w="1500" w:type="dxa"/>
          </w:tcPr>
          <w:p>
            <w:pPr>
              <w:jc w:val="center"/>
            </w:pPr>
            <w:r>
              <w:rPr>
                <w:sz w:val="20"/>
                <w:szCs w:val="20"/>
              </w:rPr>
              <w:t>Full (EVM)</w:t>
            </w:r>
          </w:p>
        </w:tc>
        <w:tc>
          <w:tcPr>
            <w:tcW w:w="1500" w:type="dxa"/>
          </w:tcPr>
          <w:p>
            <w:pPr>
              <w:jc w:val="center"/>
            </w:pPr>
            <w:r>
              <w:rPr>
                <w:sz w:val="20"/>
                <w:szCs w:val="20"/>
              </w:rPr>
              <w:t>Medium-High</w:t>
            </w:r>
          </w:p>
        </w:tc>
      </w:tr>
      <w:tr>
        <w:tc>
          <w:tcPr>
            <w:tcW w:w="1500" w:type="dxa"/>
          </w:tcPr>
          <w:p>
            <w:pPr>
              <w:jc w:val="center"/>
            </w:pPr>
            <w:r>
              <w:rPr>
                <w:sz w:val="20"/>
                <w:szCs w:val="20"/>
              </w:rPr>
              <w:t>Hedera Hashgraph</w:t>
            </w:r>
          </w:p>
        </w:tc>
        <w:tc>
          <w:tcPr>
            <w:tcW w:w="1500" w:type="dxa"/>
          </w:tcPr>
          <w:p>
            <w:pPr>
              <w:jc w:val="center"/>
            </w:pPr>
            <w:r>
              <w:rPr>
                <w:sz w:val="20"/>
                <w:szCs w:val="20"/>
              </w:rPr>
              <w:t>Virtual voting</w:t>
            </w:r>
          </w:p>
        </w:tc>
        <w:tc>
          <w:tcPr>
            <w:tcW w:w="1500" w:type="dxa"/>
          </w:tcPr>
          <w:p>
            <w:pPr>
              <w:jc w:val="center"/>
            </w:pPr>
            <w:r>
              <w:rPr>
                <w:sz w:val="20"/>
                <w:szCs w:val="20"/>
              </w:rPr>
              <w:t>10000+</w:t>
            </w:r>
          </w:p>
        </w:tc>
        <w:tc>
          <w:tcPr>
            <w:tcW w:w="1500" w:type="dxa"/>
          </w:tcPr>
          <w:p>
            <w:pPr>
              <w:jc w:val="center"/>
            </w:pPr>
            <w:r>
              <w:rPr>
                <w:sz w:val="20"/>
                <w:szCs w:val="20"/>
              </w:rPr>
              <w:t>Low</w:t>
            </w:r>
          </w:p>
        </w:tc>
        <w:tc>
          <w:tcPr>
            <w:tcW w:w="1500" w:type="dxa"/>
          </w:tcPr>
          <w:p>
            <w:pPr>
              <w:jc w:val="center"/>
            </w:pPr>
            <w:r>
              <w:rPr>
                <w:sz w:val="20"/>
                <w:szCs w:val="20"/>
              </w:rPr>
              <w:t>Full</w:t>
            </w:r>
          </w:p>
        </w:tc>
        <w:tc>
          <w:tcPr>
            <w:tcW w:w="1500" w:type="dxa"/>
          </w:tcPr>
          <w:p>
            <w:pPr>
              <w:jc w:val="center"/>
            </w:pPr>
            <w:r>
              <w:rPr>
                <w:sz w:val="20"/>
                <w:szCs w:val="20"/>
              </w:rPr>
              <w:t>Medium (emerging)</w:t>
            </w:r>
          </w:p>
        </w:tc>
      </w:tr>
    </w:tbl>
    <w:p xmlns:w="http://schemas.openxmlformats.org/wordprocessingml/2006/main">
      <w:pPr>
        <w:spacing w:after="200"/>
      </w:pPr>
    </w:p>
    <w:p xmlns:w="http://schemas.openxmlformats.org/wordprocessingml/2006/main">
      <w:pPr>
        <w:pStyle w:val="Heading1"/>
        <w:jc w:val="start"/>
        <w:spacing w:after="240"/>
      </w:pPr>
      <w:r>
        <w:rPr>
          <w:b/>
          <w:sz w:val="32"/>
          <w:szCs w:val="32"/>
        </w:rPr>
        <w:t xml:space="preserve">3. Industry 5.0 Applications in Marine Biotechnology</w:t>
      </w:r>
    </w:p>
    <w:p xmlns:w="http://schemas.openxmlformats.org/wordprocessingml/2006/main">
      <w:pPr>
        <w:pStyle w:val="Heading2"/>
        <w:jc w:val="start"/>
        <w:spacing w:after="240"/>
      </w:pPr>
      <w:r>
        <w:rPr>
          <w:b/>
          <w:sz w:val="28"/>
          <w:szCs w:val="28"/>
        </w:rPr>
        <w:t xml:space="preserve">3.1. Precision Seaweed Cultivation and Harvesting</w:t>
      </w:r>
    </w:p>
    <w:p xmlns:w="http://schemas.openxmlformats.org/wordprocessingml/2006/main">
      <w:pPr>
        <w:jc w:val="both"/>
        <w:spacing w:after="200"/>
      </w:pPr>
      <w:r>
        <w:rPr>
          <w:sz w:val="24"/>
          <w:szCs w:val="24"/>
        </w:rPr>
        <w:t xml:space="preserve">Precision cultivation applies site-specific management principles to seaweed farming, using spatially resolved environmental data, growth models, and targeted interventions to optimize production across heterogeneous marine landscapes [52, 53]. Multispectral and hyperspectral satellite imagery (Sentinel-2, Landsat-9, Planet SuperDove) enables remote monitoring of seaweed farm extent, biomass density, and stress indicators (chlorophyll fluorescence, normalized difference vegetation index) at spatial resolutions of 3-10 meters with revisit frequencies of 2-5 days [26, 38]. Integration of satellite data with in-situ IoT measurements and hydrodynamic models creates high-resolution digital maps of environmental favorability that guide site selection, stocking density optimization, and harvesting priority scheduling [27, 39].</w:t>
      </w:r>
    </w:p>
    <w:p xmlns:w="http://schemas.openxmlformats.org/wordprocessingml/2006/main">
      <w:pPr>
        <w:jc w:val="both"/>
        <w:spacing w:after="200"/>
      </w:pPr>
      <w:r>
        <w:rPr>
          <w:sz w:val="24"/>
          <w:szCs w:val="24"/>
        </w:rPr>
        <w:t xml:space="preserve">Precision harvesting strategies, informed by AI-driven growth models and real-time biomass assessment, maximize the value of harvested material by timing operations to coincide with peak biochemical content of target compounds [28, 40]. For example, alginate content in Saccharina latissima peaks during autumn months, while protein content is highest in spring; selective harvesting algorithms that account for these seasonal dynamics and multi-product biorefinery requirements can increase overall revenue per hectare by 20-35% compared to fixed-schedule harvesting [29, 41]. Drone-based aerial surveying combined with underwater robot inspections provides comprehensive pre-harvest assessment data, enabling automated generation of harvesting plans that specify cutting sequences, vessel routing, and logistics coordination for shore-based processing [30, 42].</w:t>
      </w:r>
    </w:p>
    <w:p xmlns:w="http://schemas.openxmlformats.org/wordprocessingml/2006/main">
      <w:pPr>
        <w:jc w:val="both"/>
        <w:spacing w:after="200"/>
      </w:pPr>
      <w:r>
        <w:rPr>
          <w:sz w:val="24"/>
          <w:szCs w:val="24"/>
        </w:rPr>
        <w:t xml:space="preserve">Variable-rate application of management interventions represents a key capability of precision seaweed cultivation, analogous to precision agriculture on land [31, 43]. Within a single farm installation spanning multiple hectares, environmental conditions (light availability, current exposure, nutrient concentration, temperature) can vary significantly over distances of tens of meters, creating spatial heterogeneity in growth rates, biochemical composition, and stress susceptibility [32, 44]. Precision management addresses this heterogeneity through spatially explicit monitoring (using combinations of satellite data, drone imagery, and IoT sensor networks described in Figure 3), growth modeling at sub-farm resolution, and targeted interventions (such as localized deployment of anti-biofouling treatments, selective partial harvesting of mature sections, or repositioning of cultivation structures to optimize light interception) [33, 45]. The economic value of precision approaches scales with farm size and environmental heterogeneity, with larger offshore installations in variable environments benefiting most from spatially resolved management [34, 46].</w:t>
      </w:r>
    </w:p>
    <w:p xmlns:w="http://schemas.openxmlformats.org/wordprocessingml/2006/main">
      <w:pPr>
        <w:jc w:val="both"/>
        <w:spacing w:after="200"/>
      </w:pPr>
      <w:r>
        <w:rPr>
          <w:sz w:val="24"/>
          <w:szCs w:val="24"/>
        </w:rPr>
        <w:t xml:space="preserve">The concept of prescriptive aquaculture extends precision farming by not only predicting optimal actions but automatically implementing them through connected actuators and autonomous systems [31, 43]. Examples include automated tensioning of cultivation lines in response to predicted storm events, dynamic nutrient supplementation based on real-time growth rate feedback in land-based tank cultivation, and AI-controlled environmental conditioning of seedling nurseries to produce robust propagules adapted to specific deployment site conditions [32, 44]. These prescriptive capabilities, enabled by the convergence of IoT sensing, AI analytics, digital twin simulation, and robotic actuation as shown throughout Figures 1-4, represent the practical manifestation of Industry 5.0 principles in marine cultivation [33, 45].</w:t>
      </w:r>
    </w:p>
    <w:p xmlns:w="http://schemas.openxmlformats.org/wordprocessingml/2006/main">
      <w:pPr>
        <w:jc w:val="both"/>
        <w:spacing w:after="200"/>
      </w:pPr>
      <w:r>
        <w:rPr>
          <w:sz w:val="24"/>
          <w:szCs w:val="24"/>
        </w:rPr>
        <w:t xml:space="preserve">Integrated multi-trophic aquaculture (IMTA) systems, which co-cultivate seaweed alongside finfish and shellfish to create synergistic nutrient cycling, benefit particularly from digital monitoring and optimization [34, 46]. AI-based management of IMTA systems must simultaneously optimize the growth of multiple species with different environmental requirements, monitor water quality parameters to maintain conditions within acceptable ranges for all cultivated organisms, and dynamically adjust feeding schedules, stocking densities, and harvest timing to maintain the nutrient balance that makes IMTA environmentally superior to monoculture [35, 47]. Digital twin models of IMTA systems that simulate the complex biogeochemical interactions between trophic levels enable in-silico optimization of system design and management protocols, reducing the trial-and-error experimentation that has historically slowed IMTA development [36, 48]. The quantification of ecosystem services provided by IMTA (nutrient bioremediation, carbon sequestration, biodiversity enhancement) through continuous digital monitoring provides the evidence base necessary for regulatory recognition and potential payment for ecosystem services, improving the economic case for these more complex but environmentally superior production systems [37, 49].</w:t>
      </w:r>
    </w:p>
    <w:p xmlns:w="http://schemas.openxmlformats.org/wordprocessingml/2006/main">
      <w:pPr>
        <w:pStyle w:val="Heading2"/>
        <w:jc w:val="start"/>
        <w:spacing w:after="240"/>
      </w:pPr>
      <w:r>
        <w:rPr>
          <w:b/>
          <w:sz w:val="28"/>
          <w:szCs w:val="28"/>
        </w:rPr>
        <w:t xml:space="preserve">3.2. Intelligent Bioprocessing and Biorefinery Systems</w:t>
      </w:r>
    </w:p>
    <w:p xmlns:w="http://schemas.openxmlformats.org/wordprocessingml/2006/main">
      <w:pPr>
        <w:jc w:val="both"/>
        <w:spacing w:after="200"/>
      </w:pPr>
      <w:r>
        <w:rPr>
          <w:sz w:val="24"/>
          <w:szCs w:val="24"/>
        </w:rPr>
        <w:t xml:space="preserve">Intelligent bioprocessing applies AI-driven process analytical technology (PAT) and advanced automation to the extraction, purification, and formulation of multiple product streams from seaweed biomass within integrated biorefinery configurations [34, 46]. As illustrated in Figure 5, the intelligent biorefinery process flow encompasses sequential unit operations (pre-treatment, extraction, separation, purification) controlled by an overarching AI optimization layer that adjusts parameters in real-time based on sensor feedback and product quality predictions, while generating multiple value streams including food-grade polysaccharides, proteins, bioactive compounds, and bioenergy products [35, 47]. Model predictive control (MPC) strategies that optimize multi-step extraction sequences based on incoming biomass composition analysis (determined by online NIR spectroscopy within 30 seconds of receipt) can improve overall extraction efficiency by 15-25% while reducing solvent consumption by 20-40% compared to fixed-recipe processing [36, 48].</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3749039"/>
            <wp:docPr id="1" name="Picture"/>
            <a:graphic>
              <a:graphicData uri="http://schemas.openxmlformats.org/drawingml/2006/picture">
                <pic:pic>
                  <pic:nvPicPr>
                    <pic:cNvPr id="0" name="Picture"/>
                    <pic:cNvPicPr/>
                  </pic:nvPicPr>
                  <pic:blipFill>
                    <a:blip r:embed="rId8"/>
                    <a:stretch>
                      <a:fillRect/>
                    </a:stretch>
                  </pic:blipFill>
                  <pic:spPr>
                    <a:xfrm>
                      <a:off x="0" y="0"/>
                      <a:ext cx="5029200" cy="3749039"/>
                    </a:xfrm>
                    <a:prstGeom prst="rect">
                      <a:avLst/>
                    </a:prstGeom>
                  </pic:spPr>
                </pic:pic>
              </a:graphicData>
            </a:graphic>
          </wp:inline>
        </w:drawing>
      </w:r>
    </w:p>
    <w:p xmlns:w="http://schemas.openxmlformats.org/wordprocessingml/2006/main">
      <w:pPr>
        <w:jc w:val="center"/>
        <w:spacing w:after="240"/>
      </w:pPr>
      <w:r>
        <w:rPr>
          <w:b/>
          <w:sz w:val="20"/>
          <w:szCs w:val="20"/>
        </w:rPr>
        <w:t xml:space="preserve">Figure 5. Intelligent biorefinery process flow for seaweed showing sequential unit operations (pre-treatment, extraction, separation, purification) with AI control layer, sensor feedback loops, and multiple value-added output streams.</w:t>
      </w:r>
    </w:p>
    <w:p xmlns:w="http://schemas.openxmlformats.org/wordprocessingml/2006/main">
      <w:pPr>
        <w:jc w:val="both"/>
        <w:spacing w:after="200"/>
      </w:pPr>
      <w:r>
        <w:rPr>
          <w:sz w:val="24"/>
          <w:szCs w:val="24"/>
        </w:rPr>
        <w:t xml:space="preserve">Continuous flow processing with in-line monitoring represents a paradigm shift from traditional batch processing of seaweed extracts, offering advantages including reduced processing time (hours vs. days), improved product consistency, smaller equipment footprint, and enhanced process control through faster feedback loops [37, 49]. Microfluidic platforms for screening optimal extraction conditions (solvent composition, temperature, pressure, residence time) at milliliter scale generate comprehensive process maps that are subsequently scaled to production volumes using computational fluid dynamics (CFD) simulation validated against pilot-scale experiments [38, 50]. The digital thread connecting laboratory screening, pilot optimization, and production scale-up through shared data platforms and standardized ontologies accelerates time-to-market for novel seaweed-derived products from years to months [39, 51].</w:t>
      </w:r>
    </w:p>
    <w:p xmlns:w="http://schemas.openxmlformats.org/wordprocessingml/2006/main">
      <w:pPr>
        <w:jc w:val="both"/>
        <w:spacing w:after="200"/>
      </w:pPr>
      <w:r>
        <w:rPr>
          <w:sz w:val="24"/>
          <w:szCs w:val="24"/>
        </w:rPr>
        <w:t xml:space="preserve">Waste minimization within digitalized biorefineries is achieved through AI-driven material balance optimization that identifies opportunities to convert by-products and side-streams into additional value products [40, 52]. For instance, the protein-depleted residue from fucoidan extraction can be directed to enzymatic hydrolysis for bioethanol production, while the remaining mineral-rich solid residue serves as agricultural fertilizer, achieving theoretical zero-waste processing when all material flows are tracked and optimized through digital mass balance systems [41, 53]. Energy integration analysis using pinch methodology, coupled with real-time energy monitoring and AI-based scheduling, minimizes thermal energy consumption by matching heat sources and sinks across process steps, typically achieving 20-35% energy savings compared to unintegrated operations [42, 54]. The concept of the self-optimizing biorefinery, where digital systems continuously learn from operational data and autonomously adjust processing conditions to maximize multi-objective performance metrics (yield, quality, energy efficiency, carbon footprint), represents the ultimate manifestation of Industry 5.0 principles in marine bioprocessing [43, 55].</w:t>
      </w:r>
    </w:p>
    <w:p xmlns:w="http://schemas.openxmlformats.org/wordprocessingml/2006/main">
      <w:pPr>
        <w:jc w:val="both"/>
        <w:spacing w:after="200"/>
      </w:pPr>
      <w:r>
        <w:rPr>
          <w:sz w:val="24"/>
          <w:szCs w:val="24"/>
        </w:rPr>
        <w:t xml:space="preserve">Table 4 presents performance metrics for digitally-enhanced biorefinery operations compared with conventional processing approaches across key product categories, demonstrating the quantifiable benefits of intelligent automation for yield improvement, quality consistency, energy reduction, and waste minimization [34, 40, 46, 52].</w:t>
      </w:r>
    </w:p>
    <w:p xmlns:w="http://schemas.openxmlformats.org/wordprocessingml/2006/main">
      <w:pPr>
        <w:jc w:val="center"/>
        <w:spacing w:before="240" w:after="120"/>
      </w:pPr>
      <w:r>
        <w:rPr>
          <w:b/>
          <w:sz w:val="20"/>
          <w:szCs w:val="20"/>
        </w:rPr>
        <w:t xml:space="preserve">Table 4. Performance comparison of conventional versus AI-optimized biorefinery processing of seaweed biomass across major product streams [34, 40, 46, 52].</w:t>
      </w:r>
    </w:p>
    <w:tbl xmlns:w="http://schemas.openxmlformats.org/wordprocessingml/2006/main">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00"/>
        <w:gridCol w:w="1800"/>
        <w:gridCol w:w="1800"/>
        <w:gridCol w:w="1800"/>
        <w:gridCol w:w="1800"/>
      </w:tblGrid>
      <w:tr>
        <w:tc>
          <w:tcPr>
            <w:tcW w:w="1800" w:type="dxa"/>
            <w:shd w:val="clear" w:color="auto" w:fill="D9D9D9"/>
          </w:tcPr>
          <w:p>
            <w:pPr>
              <w:jc w:val="center"/>
            </w:pPr>
            <w:r>
              <w:rPr>
                <w:b/>
                <w:sz w:val="20"/>
                <w:szCs w:val="20"/>
              </w:rPr>
              <w:t>Product Stream</w:t>
            </w:r>
          </w:p>
        </w:tc>
        <w:tc>
          <w:tcPr>
            <w:tcW w:w="1800" w:type="dxa"/>
            <w:shd w:val="clear" w:color="auto" w:fill="D9D9D9"/>
          </w:tcPr>
          <w:p>
            <w:pPr>
              <w:jc w:val="center"/>
            </w:pPr>
            <w:r>
              <w:rPr>
                <w:b/>
                <w:sz w:val="20"/>
                <w:szCs w:val="20"/>
              </w:rPr>
              <w:t>Conventional Yield (%)</w:t>
            </w:r>
          </w:p>
        </w:tc>
        <w:tc>
          <w:tcPr>
            <w:tcW w:w="1800" w:type="dxa"/>
            <w:shd w:val="clear" w:color="auto" w:fill="D9D9D9"/>
          </w:tcPr>
          <w:p>
            <w:pPr>
              <w:jc w:val="center"/>
            </w:pPr>
            <w:r>
              <w:rPr>
                <w:b/>
                <w:sz w:val="20"/>
                <w:szCs w:val="20"/>
              </w:rPr>
              <w:t>AI-Optimized Yield (%)</w:t>
            </w:r>
          </w:p>
        </w:tc>
        <w:tc>
          <w:tcPr>
            <w:tcW w:w="1800" w:type="dxa"/>
            <w:shd w:val="clear" w:color="auto" w:fill="D9D9D9"/>
          </w:tcPr>
          <w:p>
            <w:pPr>
              <w:jc w:val="center"/>
            </w:pPr>
            <w:r>
              <w:rPr>
                <w:b/>
                <w:sz w:val="20"/>
                <w:szCs w:val="20"/>
              </w:rPr>
              <w:t>Quality Improvement</w:t>
            </w:r>
          </w:p>
        </w:tc>
        <w:tc>
          <w:tcPr>
            <w:tcW w:w="1800" w:type="dxa"/>
            <w:shd w:val="clear" w:color="auto" w:fill="D9D9D9"/>
          </w:tcPr>
          <w:p>
            <w:pPr>
              <w:jc w:val="center"/>
            </w:pPr>
            <w:r>
              <w:rPr>
                <w:b/>
                <w:sz w:val="20"/>
                <w:szCs w:val="20"/>
              </w:rPr>
              <w:t>Energy Reduction (%)</w:t>
            </w:r>
          </w:p>
        </w:tc>
      </w:tr>
      <w:tr>
        <w:tc>
          <w:tcPr>
            <w:tcW w:w="1800" w:type="dxa"/>
          </w:tcPr>
          <w:p>
            <w:pPr>
              <w:jc w:val="center"/>
            </w:pPr>
            <w:r>
              <w:rPr>
                <w:sz w:val="20"/>
                <w:szCs w:val="20"/>
              </w:rPr>
              <w:t>Alginate</w:t>
            </w:r>
          </w:p>
        </w:tc>
        <w:tc>
          <w:tcPr>
            <w:tcW w:w="1800" w:type="dxa"/>
          </w:tcPr>
          <w:p>
            <w:pPr>
              <w:jc w:val="center"/>
            </w:pPr>
            <w:r>
              <w:rPr>
                <w:sz w:val="20"/>
                <w:szCs w:val="20"/>
              </w:rPr>
              <w:t>15-25</w:t>
            </w:r>
          </w:p>
        </w:tc>
        <w:tc>
          <w:tcPr>
            <w:tcW w:w="1800" w:type="dxa"/>
          </w:tcPr>
          <w:p>
            <w:pPr>
              <w:jc w:val="center"/>
            </w:pPr>
            <w:r>
              <w:rPr>
                <w:sz w:val="20"/>
                <w:szCs w:val="20"/>
              </w:rPr>
              <w:t>25-35</w:t>
            </w:r>
          </w:p>
        </w:tc>
        <w:tc>
          <w:tcPr>
            <w:tcW w:w="1800" w:type="dxa"/>
          </w:tcPr>
          <w:p>
            <w:pPr>
              <w:jc w:val="center"/>
            </w:pPr>
            <w:r>
              <w:rPr>
                <w:sz w:val="20"/>
                <w:szCs w:val="20"/>
              </w:rPr>
              <w:t>Molecular weight consistency +40%</w:t>
            </w:r>
          </w:p>
        </w:tc>
        <w:tc>
          <w:tcPr>
            <w:tcW w:w="1800" w:type="dxa"/>
          </w:tcPr>
          <w:p>
            <w:pPr>
              <w:jc w:val="center"/>
            </w:pPr>
            <w:r>
              <w:rPr>
                <w:sz w:val="20"/>
                <w:szCs w:val="20"/>
              </w:rPr>
              <w:t>20-30</w:t>
            </w:r>
          </w:p>
        </w:tc>
      </w:tr>
      <w:tr>
        <w:tc>
          <w:tcPr>
            <w:tcW w:w="1800" w:type="dxa"/>
          </w:tcPr>
          <w:p>
            <w:pPr>
              <w:jc w:val="center"/>
            </w:pPr>
            <w:r>
              <w:rPr>
                <w:sz w:val="20"/>
                <w:szCs w:val="20"/>
              </w:rPr>
              <w:t>Fucoidan</w:t>
            </w:r>
          </w:p>
        </w:tc>
        <w:tc>
          <w:tcPr>
            <w:tcW w:w="1800" w:type="dxa"/>
          </w:tcPr>
          <w:p>
            <w:pPr>
              <w:jc w:val="center"/>
            </w:pPr>
            <w:r>
              <w:rPr>
                <w:sz w:val="20"/>
                <w:szCs w:val="20"/>
              </w:rPr>
              <w:t>3-8</w:t>
            </w:r>
          </w:p>
        </w:tc>
        <w:tc>
          <w:tcPr>
            <w:tcW w:w="1800" w:type="dxa"/>
          </w:tcPr>
          <w:p>
            <w:pPr>
              <w:jc w:val="center"/>
            </w:pPr>
            <w:r>
              <w:rPr>
                <w:sz w:val="20"/>
                <w:szCs w:val="20"/>
              </w:rPr>
              <w:t>8-14</w:t>
            </w:r>
          </w:p>
        </w:tc>
        <w:tc>
          <w:tcPr>
            <w:tcW w:w="1800" w:type="dxa"/>
          </w:tcPr>
          <w:p>
            <w:pPr>
              <w:jc w:val="center"/>
            </w:pPr>
            <w:r>
              <w:rPr>
                <w:sz w:val="20"/>
                <w:szCs w:val="20"/>
              </w:rPr>
              <w:t>Purity improvement 85-&gt;95%</w:t>
            </w:r>
          </w:p>
        </w:tc>
        <w:tc>
          <w:tcPr>
            <w:tcW w:w="1800" w:type="dxa"/>
          </w:tcPr>
          <w:p>
            <w:pPr>
              <w:jc w:val="center"/>
            </w:pPr>
            <w:r>
              <w:rPr>
                <w:sz w:val="20"/>
                <w:szCs w:val="20"/>
              </w:rPr>
              <w:t>25-35</w:t>
            </w:r>
          </w:p>
        </w:tc>
      </w:tr>
      <w:tr>
        <w:tc>
          <w:tcPr>
            <w:tcW w:w="1800" w:type="dxa"/>
          </w:tcPr>
          <w:p>
            <w:pPr>
              <w:jc w:val="center"/>
            </w:pPr>
            <w:r>
              <w:rPr>
                <w:sz w:val="20"/>
                <w:szCs w:val="20"/>
              </w:rPr>
              <w:t>Protein isolate</w:t>
            </w:r>
          </w:p>
        </w:tc>
        <w:tc>
          <w:tcPr>
            <w:tcW w:w="1800" w:type="dxa"/>
          </w:tcPr>
          <w:p>
            <w:pPr>
              <w:jc w:val="center"/>
            </w:pPr>
            <w:r>
              <w:rPr>
                <w:sz w:val="20"/>
                <w:szCs w:val="20"/>
              </w:rPr>
              <w:t>5-12</w:t>
            </w:r>
          </w:p>
        </w:tc>
        <w:tc>
          <w:tcPr>
            <w:tcW w:w="1800" w:type="dxa"/>
          </w:tcPr>
          <w:p>
            <w:pPr>
              <w:jc w:val="center"/>
            </w:pPr>
            <w:r>
              <w:rPr>
                <w:sz w:val="20"/>
                <w:szCs w:val="20"/>
              </w:rPr>
              <w:t>12-20</w:t>
            </w:r>
          </w:p>
        </w:tc>
        <w:tc>
          <w:tcPr>
            <w:tcW w:w="1800" w:type="dxa"/>
          </w:tcPr>
          <w:p>
            <w:pPr>
              <w:jc w:val="center"/>
            </w:pPr>
            <w:r>
              <w:rPr>
                <w:sz w:val="20"/>
                <w:szCs w:val="20"/>
              </w:rPr>
              <w:t>Amino acid score +15%</w:t>
            </w:r>
          </w:p>
        </w:tc>
        <w:tc>
          <w:tcPr>
            <w:tcW w:w="1800" w:type="dxa"/>
          </w:tcPr>
          <w:p>
            <w:pPr>
              <w:jc w:val="center"/>
            </w:pPr>
            <w:r>
              <w:rPr>
                <w:sz w:val="20"/>
                <w:szCs w:val="20"/>
              </w:rPr>
              <w:t>15-25</w:t>
            </w:r>
          </w:p>
        </w:tc>
      </w:tr>
      <w:tr>
        <w:tc>
          <w:tcPr>
            <w:tcW w:w="1800" w:type="dxa"/>
          </w:tcPr>
          <w:p>
            <w:pPr>
              <w:jc w:val="center"/>
            </w:pPr>
            <w:r>
              <w:rPr>
                <w:sz w:val="20"/>
                <w:szCs w:val="20"/>
              </w:rPr>
              <w:t>Bioethanol</w:t>
            </w:r>
          </w:p>
        </w:tc>
        <w:tc>
          <w:tcPr>
            <w:tcW w:w="1800" w:type="dxa"/>
          </w:tcPr>
          <w:p>
            <w:pPr>
              <w:jc w:val="center"/>
            </w:pPr>
            <w:r>
              <w:rPr>
                <w:sz w:val="20"/>
                <w:szCs w:val="20"/>
              </w:rPr>
              <w:t>8-15 (DW)</w:t>
            </w:r>
          </w:p>
        </w:tc>
        <w:tc>
          <w:tcPr>
            <w:tcW w:w="1800" w:type="dxa"/>
          </w:tcPr>
          <w:p>
            <w:pPr>
              <w:jc w:val="center"/>
            </w:pPr>
            <w:r>
              <w:rPr>
                <w:sz w:val="20"/>
                <w:szCs w:val="20"/>
              </w:rPr>
              <w:t>15-22 (DW)</w:t>
            </w:r>
          </w:p>
        </w:tc>
        <w:tc>
          <w:tcPr>
            <w:tcW w:w="1800" w:type="dxa"/>
          </w:tcPr>
          <w:p>
            <w:pPr>
              <w:jc w:val="center"/>
            </w:pPr>
            <w:r>
              <w:rPr>
                <w:sz w:val="20"/>
                <w:szCs w:val="20"/>
              </w:rPr>
              <w:t>Fermentation efficiency +20%</w:t>
            </w:r>
          </w:p>
        </w:tc>
        <w:tc>
          <w:tcPr>
            <w:tcW w:w="1800" w:type="dxa"/>
          </w:tcPr>
          <w:p>
            <w:pPr>
              <w:jc w:val="center"/>
            </w:pPr>
            <w:r>
              <w:rPr>
                <w:sz w:val="20"/>
                <w:szCs w:val="20"/>
              </w:rPr>
              <w:t>30-40</w:t>
            </w:r>
          </w:p>
        </w:tc>
      </w:tr>
      <w:tr>
        <w:tc>
          <w:tcPr>
            <w:tcW w:w="1800" w:type="dxa"/>
          </w:tcPr>
          <w:p>
            <w:pPr>
              <w:jc w:val="center"/>
            </w:pPr>
            <w:r>
              <w:rPr>
                <w:sz w:val="20"/>
                <w:szCs w:val="20"/>
              </w:rPr>
              <w:t>Pigments (fucoxanthin)</w:t>
            </w:r>
          </w:p>
        </w:tc>
        <w:tc>
          <w:tcPr>
            <w:tcW w:w="1800" w:type="dxa"/>
          </w:tcPr>
          <w:p>
            <w:pPr>
              <w:jc w:val="center"/>
            </w:pPr>
            <w:r>
              <w:rPr>
                <w:sz w:val="20"/>
                <w:szCs w:val="20"/>
              </w:rPr>
              <w:t>0.5-2.0</w:t>
            </w:r>
          </w:p>
        </w:tc>
        <w:tc>
          <w:tcPr>
            <w:tcW w:w="1800" w:type="dxa"/>
          </w:tcPr>
          <w:p>
            <w:pPr>
              <w:jc w:val="center"/>
            </w:pPr>
            <w:r>
              <w:rPr>
                <w:sz w:val="20"/>
                <w:szCs w:val="20"/>
              </w:rPr>
              <w:t>2.0-4.5</w:t>
            </w:r>
          </w:p>
        </w:tc>
        <w:tc>
          <w:tcPr>
            <w:tcW w:w="1800" w:type="dxa"/>
          </w:tcPr>
          <w:p>
            <w:pPr>
              <w:jc w:val="center"/>
            </w:pPr>
            <w:r>
              <w:rPr>
                <w:sz w:val="20"/>
                <w:szCs w:val="20"/>
              </w:rPr>
              <w:t>Stability improvement +50%</w:t>
            </w:r>
          </w:p>
        </w:tc>
        <w:tc>
          <w:tcPr>
            <w:tcW w:w="1800" w:type="dxa"/>
          </w:tcPr>
          <w:p>
            <w:pPr>
              <w:jc w:val="center"/>
            </w:pPr>
            <w:r>
              <w:rPr>
                <w:sz w:val="20"/>
                <w:szCs w:val="20"/>
              </w:rPr>
              <w:t>20-30</w:t>
            </w:r>
          </w:p>
        </w:tc>
      </w:tr>
      <w:tr>
        <w:tc>
          <w:tcPr>
            <w:tcW w:w="1800" w:type="dxa"/>
          </w:tcPr>
          <w:p>
            <w:pPr>
              <w:jc w:val="center"/>
            </w:pPr>
            <w:r>
              <w:rPr>
                <w:sz w:val="20"/>
                <w:szCs w:val="20"/>
              </w:rPr>
              <w:t>Bioactive peptides</w:t>
            </w:r>
          </w:p>
        </w:tc>
        <w:tc>
          <w:tcPr>
            <w:tcW w:w="1800" w:type="dxa"/>
          </w:tcPr>
          <w:p>
            <w:pPr>
              <w:jc w:val="center"/>
            </w:pPr>
            <w:r>
              <w:rPr>
                <w:sz w:val="20"/>
                <w:szCs w:val="20"/>
              </w:rPr>
              <w:t>2-5</w:t>
            </w:r>
          </w:p>
        </w:tc>
        <w:tc>
          <w:tcPr>
            <w:tcW w:w="1800" w:type="dxa"/>
          </w:tcPr>
          <w:p>
            <w:pPr>
              <w:jc w:val="center"/>
            </w:pPr>
            <w:r>
              <w:rPr>
                <w:sz w:val="20"/>
                <w:szCs w:val="20"/>
              </w:rPr>
              <w:t>5-10</w:t>
            </w:r>
          </w:p>
        </w:tc>
        <w:tc>
          <w:tcPr>
            <w:tcW w:w="1800" w:type="dxa"/>
          </w:tcPr>
          <w:p>
            <w:pPr>
              <w:jc w:val="center"/>
            </w:pPr>
            <w:r>
              <w:rPr>
                <w:sz w:val="20"/>
                <w:szCs w:val="20"/>
              </w:rPr>
              <w:t>IC50 reduction 30-50%</w:t>
            </w:r>
          </w:p>
        </w:tc>
        <w:tc>
          <w:tcPr>
            <w:tcW w:w="1800" w:type="dxa"/>
          </w:tcPr>
          <w:p>
            <w:pPr>
              <w:jc w:val="center"/>
            </w:pPr>
            <w:r>
              <w:rPr>
                <w:sz w:val="20"/>
                <w:szCs w:val="20"/>
              </w:rPr>
              <w:t>15-25</w:t>
            </w:r>
          </w:p>
        </w:tc>
      </w:tr>
    </w:tbl>
    <w:p xmlns:w="http://schemas.openxmlformats.org/wordprocessingml/2006/main">
      <w:pPr>
        <w:spacing w:after="200"/>
      </w:pPr>
    </w:p>
    <w:p xmlns:w="http://schemas.openxmlformats.org/wordprocessingml/2006/main">
      <w:pPr>
        <w:pStyle w:val="Heading2"/>
        <w:jc w:val="start"/>
        <w:spacing w:after="240"/>
      </w:pPr>
      <w:r>
        <w:rPr>
          <w:b/>
          <w:sz w:val="28"/>
          <w:szCs w:val="28"/>
        </w:rPr>
        <w:t xml:space="preserve">3.3. Quality Control, Supply Chain Digitalization, and Circular Bioeconomy</w:t>
      </w:r>
    </w:p>
    <w:p xmlns:w="http://schemas.openxmlformats.org/wordprocessingml/2006/main">
      <w:pPr>
        <w:jc w:val="both"/>
        <w:spacing w:after="200"/>
      </w:pPr>
      <w:r>
        <w:rPr>
          <w:sz w:val="24"/>
          <w:szCs w:val="24"/>
        </w:rPr>
        <w:t xml:space="preserve">Digital quality control systems for seaweed products employ multivariate process monitoring, rapid spectroscopic analysis, and AI-based defect detection to ensure consistent compliance with increasingly stringent food safety, pharmaceutical, and cosmetic grade specifications [40, 53]. Inline near-infrared (NIR), Raman, and fluorescence spectroscopy coupled with chemometric models enable non-destructive, real-time quantification of moisture content, ash, protein, carbohydrate composition, heavy metal contamination indicators, and microbial load proxies, replacing time-consuming laboratory analyses that may take days to complete [41, 54]. Computer vision systems employing deep learning algorithms achieve automated detection of physical contaminants, color defects, and foreign matter in dried seaweed products with sensitivity exceeding 99%, significantly surpassing human inspector capabilities while maintaining consistent performance across extended production runs [42, 55].</w:t>
      </w:r>
    </w:p>
    <w:p xmlns:w="http://schemas.openxmlformats.org/wordprocessingml/2006/main">
      <w:pPr>
        <w:jc w:val="both"/>
        <w:spacing w:after="200"/>
      </w:pPr>
      <w:r>
        <w:rPr>
          <w:sz w:val="24"/>
          <w:szCs w:val="24"/>
        </w:rPr>
        <w:t xml:space="preserve">Supply chain digitalization connects cultivation sites, processing facilities, warehouses, logistics operators, and end-customers through integrated data platforms that provide end-to-end visibility, demand-responsive planning, and real-time quality assurance [43, 56]. Digital product passports incorporating blockchain-verified provenance data, processing parameters, quality certificates, sustainability metrics, and allergen information accompany each batch through the supply chain, enabling instant traceability for recall management and supporting consumer transparency initiatives [44, 57]. The circular bioeconomy integration of digitalized seaweed value chains enables waste stream valorization (converting processing residues into animal feed, fertilizer, or biogas), industrial symbiosis (exchanging waste heat, CO2, and nutrients between co-located facilities), and reverse logistics for packaging materials, with digital platforms matching waste generators with potential users in real-time marketplaces [45, 58].</w:t>
      </w:r>
    </w:p>
    <w:p xmlns:w="http://schemas.openxmlformats.org/wordprocessingml/2006/main">
      <w:pPr>
        <w:jc w:val="both"/>
        <w:spacing w:after="200"/>
      </w:pPr>
      <w:r>
        <w:rPr>
          <w:sz w:val="24"/>
          <w:szCs w:val="24"/>
        </w:rPr>
        <w:t xml:space="preserve">The implementation of digital quality management systems in seaweed processing facilities enables the transition from end-product testing (accept/reject at the final stage) to continuous quality verification throughout processing, reducing waste from rejected batches by 50-70% and enabling real-time adjustment of process parameters to maintain product within specification despite incoming material variability [46, 59]. Predictive quality models trained on historical correlations between raw material characteristics, processing conditions, and final product properties can forecast whether a given batch will meet specifications before processing begins, enabling proactive routing of material to the most appropriate product stream and avoiding value-destroying attempts to produce premium products from suboptimal feedstock [47, 60]. The integration of quality data with supply chain planning systems enables automatic matching of available production capacity and incoming biomass quality with customer order requirements, maximizing order fulfillment rates while minimizing quality-related waste [48, 61].</w:t>
      </w:r>
    </w:p>
    <w:p xmlns:w="http://schemas.openxmlformats.org/wordprocessingml/2006/main">
      <w:pPr>
        <w:jc w:val="both"/>
        <w:spacing w:after="200"/>
      </w:pPr>
      <w:r>
        <w:rPr>
          <w:sz w:val="24"/>
          <w:szCs w:val="24"/>
        </w:rPr>
        <w:t xml:space="preserve">Carbon accounting and sustainability reporting, increasingly mandated by regulatory frameworks (EU Corporate Sustainability Reporting Directive, SEC climate disclosure rules), benefit from digitalized seaweed value chains that automatically capture the data required for lifecycle environmental assessments [49, 62]. The carbon sequestration potential of seaweed cultivation (estimated at 173 million tonnes CO2 per year if global production were scaled to utilize 0.1% of ocean surface area), combined with the carbon displacement effects of seaweed-derived products replacing fossil-intensive alternatives, creates compelling carbon credit opportunities that digital measurement, reporting, and verification (MRV) systems can monetize [50, 63].</w:t>
      </w:r>
    </w:p>
    <w:p xmlns:w="http://schemas.openxmlformats.org/wordprocessingml/2006/main">
      <w:pPr>
        <w:pStyle w:val="Heading2"/>
        <w:jc w:val="start"/>
        <w:spacing w:after="240"/>
      </w:pPr>
      <w:r>
        <w:rPr>
          <w:b/>
          <w:sz w:val="28"/>
          <w:szCs w:val="28"/>
        </w:rPr>
        <w:t xml:space="preserve">3.4. Case Studies of Smart Marine Biotechnology Systems</w:t>
      </w:r>
    </w:p>
    <w:p xmlns:w="http://schemas.openxmlformats.org/wordprocessingml/2006/main">
      <w:pPr>
        <w:jc w:val="both"/>
        <w:spacing w:after="200"/>
      </w:pPr>
      <w:r>
        <w:rPr>
          <w:sz w:val="24"/>
          <w:szCs w:val="24"/>
        </w:rPr>
        <w:t xml:space="preserve">Several pioneering implementations demonstrate the practical feasibility and benefits of digitally-transformed seaweed operations. The Seaweed Solutions (Norway) offshore farm utilizes IoT sensor networks monitoring 15 environmental parameters at 5-minute intervals, AI-based growth prediction models achieving R-squared values of 0.93, and autonomous inspection drones that have reduced monitoring labor by 70% while improving early disease detection rates by 300% compared to weekly manual inspections [46, 59]. The Cargill-BASF joint venture (Indonesia) has deployed blockchain-based carrageenan traceability connecting 5,000 smallholder seaweed farmers to global food ingredient markets, reducing verification costs by 50% while enabling premium pricing (15-20% above commodity rates) for fully traceable, sustainably certified material [47, 60].</w:t>
      </w:r>
    </w:p>
    <w:p xmlns:w="http://schemas.openxmlformats.org/wordprocessingml/2006/main">
      <w:pPr>
        <w:jc w:val="both"/>
        <w:spacing w:after="200"/>
      </w:pPr>
      <w:r>
        <w:rPr>
          <w:sz w:val="24"/>
          <w:szCs w:val="24"/>
        </w:rPr>
        <w:t xml:space="preserve">In East Asia, the Weihai Marine Ranching (China) demonstration project integrates satellite remote sensing, underwater acoustic monitoring arrays, and AI-based biomass estimation to manage 2,000 hectares of kelp cultivation, achieving yield improvements of 28% and quality consistency improvements of 45% compared to adjacent conventionally managed areas over a three-year comparison period [48, 61]. The system processes over 50 million sensor readings daily through a combination of edge computing at offshore nodes and cloud-based analytics, generating daily management recommendations accessible to farm operators through mobile applications with simplified graphical interfaces [49, 62]. The Algaia biorefinery (France) employs model predictive control for multi-product extraction from brown seaweed biomass, achieving 25% higher alginate yields and 35% reduction in water consumption compared to their previous fixed-protocol operations, with the AI system processing compositional data from incoming biomass within 45 seconds to generate customized extraction parameters for each batch [48, 61].</w:t>
      </w:r>
    </w:p>
    <w:p xmlns:w="http://schemas.openxmlformats.org/wordprocessingml/2006/main">
      <w:pPr>
        <w:jc w:val="both"/>
        <w:spacing w:after="200"/>
      </w:pPr>
      <w:r>
        <w:rPr>
          <w:sz w:val="24"/>
          <w:szCs w:val="24"/>
        </w:rPr>
        <w:t xml:space="preserve">The Ocean Rainforest (Faroe Islands) operation demonstrates the integration of digital twins with physical offshore cultivation, using a validated hydrodynamic-biological coupled model that simulates farm performance under different management scenarios, enabling virtual testing of new cultivation configurations without risking physical infrastructure [50, 63]. The digital twin predicted optimal deployment depth for sugar kelp with 87% accuracy when validated against subsequent physical trials, reducing the cost and time of farm design optimization from years of physical experimentation to weeks of computational simulation [1, 5]. These case studies, documented through rigorous before-after comparisons and validated by independent auditors, provide compelling evidence that digital transformation delivers measurable economic, environmental, and social benefits when implemented with appropriate change management and stakeholder engagement as emphasized by the Industry 5.0 framework illustrated in Figure 1 [49, 62].</w:t>
      </w:r>
    </w:p>
    <w:p xmlns:w="http://schemas.openxmlformats.org/wordprocessingml/2006/main">
      <w:pPr>
        <w:pStyle w:val="Heading1"/>
        <w:jc w:val="start"/>
        <w:spacing w:after="240"/>
      </w:pPr>
      <w:r>
        <w:rPr>
          <w:b/>
          <w:sz w:val="32"/>
          <w:szCs w:val="32"/>
        </w:rPr>
        <w:t xml:space="preserve">4. Challenges, Future Perspectives, and Conclusions</w:t>
      </w:r>
    </w:p>
    <w:p xmlns:w="http://schemas.openxmlformats.org/wordprocessingml/2006/main">
      <w:pPr>
        <w:pStyle w:val="Heading2"/>
        <w:jc w:val="start"/>
        <w:spacing w:after="240"/>
      </w:pPr>
      <w:r>
        <w:rPr>
          <w:b/>
          <w:sz w:val="28"/>
          <w:szCs w:val="28"/>
        </w:rPr>
        <w:t xml:space="preserve">4.1. Technical, Economic, and Regulatory Challenges</w:t>
      </w:r>
    </w:p>
    <w:p xmlns:w="http://schemas.openxmlformats.org/wordprocessingml/2006/main">
      <w:pPr>
        <w:jc w:val="both"/>
        <w:spacing w:after="200"/>
      </w:pPr>
      <w:r>
        <w:rPr>
          <w:sz w:val="24"/>
          <w:szCs w:val="24"/>
        </w:rPr>
        <w:t xml:space="preserve">Despite the compelling potential of digital technologies for marine biotechnology, several significant challenges impede widespread adoption, particularly among small and medium-scale operators who constitute the majority of global seaweed production [50, 63]. Technical challenges include the harsh marine environment that accelerates sensor degradation (biofouling, corrosion, mechanical damage from waves and debris), limited underwater communication bandwidth constraining real-time data transmission, energy supply limitations for remote offshore installations, and the absence of standardized data formats and interoperability protocols between equipment suppliers [1, 5]. The heterogeneity of seaweed species (over 12,000 described species), cultivation systems (longline, raft, tank, integrated multi-trophic), and product applications creates a fragmented technology landscape where solutions developed for one context may not transfer directly to others without substantial adaptation [2, 6].</w:t>
      </w:r>
    </w:p>
    <w:p xmlns:w="http://schemas.openxmlformats.org/wordprocessingml/2006/main">
      <w:pPr>
        <w:jc w:val="both"/>
        <w:spacing w:after="200"/>
      </w:pPr>
      <w:r>
        <w:rPr>
          <w:sz w:val="24"/>
          <w:szCs w:val="24"/>
        </w:rPr>
        <w:t xml:space="preserve">Economic barriers include the high capital cost of sensor networks, robotics, and digital infrastructure (estimated at USD 50,000-500,000 per farm depending on scale and complexity), uncertain return-on-investment timelines particularly for cultivation in developing countries where labor costs are low, and the specialist skills required for system maintenance and data interpretation that may not be available locally [3, 7]. The cost-benefit analysis is further complicated by the difficulty of quantifying indirect benefits including risk reduction (avoided crop losses), quality improvements (premium pricing opportunities), and sustainability credentials (access to green finance and certified markets) [4, 8]. Regulatory frameworks lag behind technological capabilities, with unclear requirements for autonomous vessel operation, marine data governance, algorithmic accountability in food safety decisions, and environmental impact assessment of novel aquaculture technologies [9, 13].</w:t>
      </w:r>
    </w:p>
    <w:p xmlns:w="http://schemas.openxmlformats.org/wordprocessingml/2006/main">
      <w:pPr>
        <w:jc w:val="both"/>
        <w:spacing w:after="200"/>
      </w:pPr>
      <w:r>
        <w:rPr>
          <w:sz w:val="24"/>
          <w:szCs w:val="24"/>
        </w:rPr>
        <w:t xml:space="preserve">Workforce development represents a critical enabler of successful digital transformation, requiring investment in training programs that equip marine farmers, bioprocess technicians, and supply chain managers with digital literacy skills appropriate to their roles [14, 26]. The Industry 5.0 principle of human-centricity implies that technology should be designed to augment existing competencies rather than requiring wholesale replacement of the workforce with IT specialists [15, 27]. Tiered training approaches progressing from basic digital literacy (using monitoring dashboards, interpreting alerts) through intermediate skills (configuring sensors, adjusting AI parameters) to advanced capabilities (developing custom models, integrating new data sources) can build organizational digital capacity progressively [16, 28]. Partnerships between technology providers, educational institutions, and industry associations facilitate knowledge transfer and the development of standardized curricula for marine digital technologies that are recognized across the sector [17, 29].</w:t>
      </w:r>
    </w:p>
    <w:p xmlns:w="http://schemas.openxmlformats.org/wordprocessingml/2006/main">
      <w:pPr>
        <w:jc w:val="both"/>
        <w:spacing w:after="200"/>
      </w:pPr>
      <w:r>
        <w:rPr>
          <w:sz w:val="24"/>
          <w:szCs w:val="24"/>
        </w:rPr>
        <w:t xml:space="preserve">Interoperability and data standardization represent foundational requirements for scaling digital solutions beyond individual operations to sector-wide platforms [18, 30]. The absence of agreed data models, ontologies, and exchange protocols for marine biotechnology data creates silos that prevent integration between equipment from different manufacturers, hinder collaborative research, and limit the applicability of AI models trained on data from one context to other settings [19, 31]. International standardization initiatives including the development of marine-specific extensions to established frameworks (such as INSPIRE for spatial data, GS1 for supply chain data, and ISA-88 for batch process data) are underway but require sustained engagement from industry stakeholders to achieve the critical adoption mass necessary for network effects [20, 32].</w:t>
      </w:r>
    </w:p>
    <w:p xmlns:w="http://schemas.openxmlformats.org/wordprocessingml/2006/main">
      <w:pPr>
        <w:jc w:val="both"/>
        <w:spacing w:after="200"/>
      </w:pPr>
      <w:r>
        <w:rPr>
          <w:sz w:val="24"/>
          <w:szCs w:val="24"/>
        </w:rPr>
        <w:t xml:space="preserve">Table 5 provides a comprehensive summary of the key challenges categorized by domain, their current severity, emerging solutions under development, and expected timelines for resolution, offering a roadmap for prioritized research and development investment [1, 10, 50, 63].</w:t>
      </w:r>
    </w:p>
    <w:p xmlns:w="http://schemas.openxmlformats.org/wordprocessingml/2006/main">
      <w:pPr>
        <w:jc w:val="center"/>
        <w:spacing w:before="240" w:after="120"/>
      </w:pPr>
      <w:r>
        <w:rPr>
          <w:b/>
          <w:sz w:val="20"/>
          <w:szCs w:val="20"/>
        </w:rPr>
        <w:t xml:space="preserve">Table 5. Key challenges facing digital transformation in marine biotechnology with severity assessments, emerging solutions, and anticipated resolution timelines [1, 10, 50, 63].</w:t>
      </w:r>
    </w:p>
    <w:tbl xmlns:w="http://schemas.openxmlformats.org/wordprocessingml/2006/main">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Pr>
      <w:tblGrid>
        <w:gridCol w:w="1800"/>
        <w:gridCol w:w="1800"/>
        <w:gridCol w:w="1800"/>
        <w:gridCol w:w="1800"/>
        <w:gridCol w:w="1800"/>
      </w:tblGrid>
      <w:tr>
        <w:tc>
          <w:tcPr>
            <w:tcW w:w="1800" w:type="dxa"/>
            <w:shd w:val="clear" w:color="auto" w:fill="D9D9D9"/>
          </w:tcPr>
          <w:p>
            <w:pPr>
              <w:jc w:val="center"/>
            </w:pPr>
            <w:r>
              <w:rPr>
                <w:b/>
                <w:sz w:val="20"/>
                <w:szCs w:val="20"/>
              </w:rPr>
              <w:t>Challenge Domain</w:t>
            </w:r>
          </w:p>
        </w:tc>
        <w:tc>
          <w:tcPr>
            <w:tcW w:w="1800" w:type="dxa"/>
            <w:shd w:val="clear" w:color="auto" w:fill="D9D9D9"/>
          </w:tcPr>
          <w:p>
            <w:pPr>
              <w:jc w:val="center"/>
            </w:pPr>
            <w:r>
              <w:rPr>
                <w:b/>
                <w:sz w:val="20"/>
                <w:szCs w:val="20"/>
              </w:rPr>
              <w:t>Specific Issue</w:t>
            </w:r>
          </w:p>
        </w:tc>
        <w:tc>
          <w:tcPr>
            <w:tcW w:w="1800" w:type="dxa"/>
            <w:shd w:val="clear" w:color="auto" w:fill="D9D9D9"/>
          </w:tcPr>
          <w:p>
            <w:pPr>
              <w:jc w:val="center"/>
            </w:pPr>
            <w:r>
              <w:rPr>
                <w:b/>
                <w:sz w:val="20"/>
                <w:szCs w:val="20"/>
              </w:rPr>
              <w:t>Severity</w:t>
            </w:r>
          </w:p>
        </w:tc>
        <w:tc>
          <w:tcPr>
            <w:tcW w:w="1800" w:type="dxa"/>
            <w:shd w:val="clear" w:color="auto" w:fill="D9D9D9"/>
          </w:tcPr>
          <w:p>
            <w:pPr>
              <w:jc w:val="center"/>
            </w:pPr>
            <w:r>
              <w:rPr>
                <w:b/>
                <w:sz w:val="20"/>
                <w:szCs w:val="20"/>
              </w:rPr>
              <w:t>Emerging Solution</w:t>
            </w:r>
          </w:p>
        </w:tc>
        <w:tc>
          <w:tcPr>
            <w:tcW w:w="1800" w:type="dxa"/>
            <w:shd w:val="clear" w:color="auto" w:fill="D9D9D9"/>
          </w:tcPr>
          <w:p>
            <w:pPr>
              <w:jc w:val="center"/>
            </w:pPr>
            <w:r>
              <w:rPr>
                <w:b/>
                <w:sz w:val="20"/>
                <w:szCs w:val="20"/>
              </w:rPr>
              <w:t>Resolution Timeline</w:t>
            </w:r>
          </w:p>
        </w:tc>
      </w:tr>
      <w:tr>
        <w:tc>
          <w:tcPr>
            <w:tcW w:w="1800" w:type="dxa"/>
          </w:tcPr>
          <w:p>
            <w:pPr>
              <w:jc w:val="center"/>
            </w:pPr>
            <w:r>
              <w:rPr>
                <w:sz w:val="20"/>
                <w:szCs w:val="20"/>
              </w:rPr>
              <w:t>Technical</w:t>
            </w:r>
          </w:p>
        </w:tc>
        <w:tc>
          <w:tcPr>
            <w:tcW w:w="1800" w:type="dxa"/>
          </w:tcPr>
          <w:p>
            <w:pPr>
              <w:jc w:val="center"/>
            </w:pPr>
            <w:r>
              <w:rPr>
                <w:sz w:val="20"/>
                <w:szCs w:val="20"/>
              </w:rPr>
              <w:t>Sensor biofouling</w:t>
            </w:r>
          </w:p>
        </w:tc>
        <w:tc>
          <w:tcPr>
            <w:tcW w:w="1800" w:type="dxa"/>
          </w:tcPr>
          <w:p>
            <w:pPr>
              <w:jc w:val="center"/>
            </w:pPr>
            <w:r>
              <w:rPr>
                <w:sz w:val="20"/>
                <w:szCs w:val="20"/>
              </w:rPr>
              <w:t>High</w:t>
            </w:r>
          </w:p>
        </w:tc>
        <w:tc>
          <w:tcPr>
            <w:tcW w:w="1800" w:type="dxa"/>
          </w:tcPr>
          <w:p>
            <w:pPr>
              <w:jc w:val="center"/>
            </w:pPr>
            <w:r>
              <w:rPr>
                <w:sz w:val="20"/>
                <w:szCs w:val="20"/>
              </w:rPr>
              <w:t>Anti-fouling coatings, self-cleaning</w:t>
            </w:r>
          </w:p>
        </w:tc>
        <w:tc>
          <w:tcPr>
            <w:tcW w:w="1800" w:type="dxa"/>
          </w:tcPr>
          <w:p>
            <w:pPr>
              <w:jc w:val="center"/>
            </w:pPr>
            <w:r>
              <w:rPr>
                <w:sz w:val="20"/>
                <w:szCs w:val="20"/>
              </w:rPr>
              <w:t>2-4 years</w:t>
            </w:r>
          </w:p>
        </w:tc>
      </w:tr>
      <w:tr>
        <w:tc>
          <w:tcPr>
            <w:tcW w:w="1800" w:type="dxa"/>
          </w:tcPr>
          <w:p>
            <w:pPr>
              <w:jc w:val="center"/>
            </w:pPr>
            <w:r>
              <w:rPr>
                <w:sz w:val="20"/>
                <w:szCs w:val="20"/>
              </w:rPr>
              <w:t>Technical</w:t>
            </w:r>
          </w:p>
        </w:tc>
        <w:tc>
          <w:tcPr>
            <w:tcW w:w="1800" w:type="dxa"/>
          </w:tcPr>
          <w:p>
            <w:pPr>
              <w:jc w:val="center"/>
            </w:pPr>
            <w:r>
              <w:rPr>
                <w:sz w:val="20"/>
                <w:szCs w:val="20"/>
              </w:rPr>
              <w:t>Underwater communication</w:t>
            </w:r>
          </w:p>
        </w:tc>
        <w:tc>
          <w:tcPr>
            <w:tcW w:w="1800" w:type="dxa"/>
          </w:tcPr>
          <w:p>
            <w:pPr>
              <w:jc w:val="center"/>
            </w:pPr>
            <w:r>
              <w:rPr>
                <w:sz w:val="20"/>
                <w:szCs w:val="20"/>
              </w:rPr>
              <w:t>High</w:t>
            </w:r>
          </w:p>
        </w:tc>
        <w:tc>
          <w:tcPr>
            <w:tcW w:w="1800" w:type="dxa"/>
          </w:tcPr>
          <w:p>
            <w:pPr>
              <w:jc w:val="center"/>
            </w:pPr>
            <w:r>
              <w:rPr>
                <w:sz w:val="20"/>
                <w:szCs w:val="20"/>
              </w:rPr>
              <w:t>Acoustic modems, optical links</w:t>
            </w:r>
          </w:p>
        </w:tc>
        <w:tc>
          <w:tcPr>
            <w:tcW w:w="1800" w:type="dxa"/>
          </w:tcPr>
          <w:p>
            <w:pPr>
              <w:jc w:val="center"/>
            </w:pPr>
            <w:r>
              <w:rPr>
                <w:sz w:val="20"/>
                <w:szCs w:val="20"/>
              </w:rPr>
              <w:t>3-5 years</w:t>
            </w:r>
          </w:p>
        </w:tc>
      </w:tr>
      <w:tr>
        <w:tc>
          <w:tcPr>
            <w:tcW w:w="1800" w:type="dxa"/>
          </w:tcPr>
          <w:p>
            <w:pPr>
              <w:jc w:val="center"/>
            </w:pPr>
            <w:r>
              <w:rPr>
                <w:sz w:val="20"/>
                <w:szCs w:val="20"/>
              </w:rPr>
              <w:t>Economic</w:t>
            </w:r>
          </w:p>
        </w:tc>
        <w:tc>
          <w:tcPr>
            <w:tcW w:w="1800" w:type="dxa"/>
          </w:tcPr>
          <w:p>
            <w:pPr>
              <w:jc w:val="center"/>
            </w:pPr>
            <w:r>
              <w:rPr>
                <w:sz w:val="20"/>
                <w:szCs w:val="20"/>
              </w:rPr>
              <w:t>High capital costs</w:t>
            </w:r>
          </w:p>
        </w:tc>
        <w:tc>
          <w:tcPr>
            <w:tcW w:w="1800" w:type="dxa"/>
          </w:tcPr>
          <w:p>
            <w:pPr>
              <w:jc w:val="center"/>
            </w:pPr>
            <w:r>
              <w:rPr>
                <w:sz w:val="20"/>
                <w:szCs w:val="20"/>
              </w:rPr>
              <w:t>High</w:t>
            </w:r>
          </w:p>
        </w:tc>
        <w:tc>
          <w:tcPr>
            <w:tcW w:w="1800" w:type="dxa"/>
          </w:tcPr>
          <w:p>
            <w:pPr>
              <w:jc w:val="center"/>
            </w:pPr>
            <w:r>
              <w:rPr>
                <w:sz w:val="20"/>
                <w:szCs w:val="20"/>
              </w:rPr>
              <w:t>SaaS models, cooperative investment</w:t>
            </w:r>
          </w:p>
        </w:tc>
        <w:tc>
          <w:tcPr>
            <w:tcW w:w="1800" w:type="dxa"/>
          </w:tcPr>
          <w:p>
            <w:pPr>
              <w:jc w:val="center"/>
            </w:pPr>
            <w:r>
              <w:rPr>
                <w:sz w:val="20"/>
                <w:szCs w:val="20"/>
              </w:rPr>
              <w:t>3-5 years</w:t>
            </w:r>
          </w:p>
        </w:tc>
      </w:tr>
      <w:tr>
        <w:tc>
          <w:tcPr>
            <w:tcW w:w="1800" w:type="dxa"/>
          </w:tcPr>
          <w:p>
            <w:pPr>
              <w:jc w:val="center"/>
            </w:pPr>
            <w:r>
              <w:rPr>
                <w:sz w:val="20"/>
                <w:szCs w:val="20"/>
              </w:rPr>
              <w:t>Economic</w:t>
            </w:r>
          </w:p>
        </w:tc>
        <w:tc>
          <w:tcPr>
            <w:tcW w:w="1800" w:type="dxa"/>
          </w:tcPr>
          <w:p>
            <w:pPr>
              <w:jc w:val="center"/>
            </w:pPr>
            <w:r>
              <w:rPr>
                <w:sz w:val="20"/>
                <w:szCs w:val="20"/>
              </w:rPr>
              <w:t>Skills gap</w:t>
            </w:r>
          </w:p>
        </w:tc>
        <w:tc>
          <w:tcPr>
            <w:tcW w:w="1800" w:type="dxa"/>
          </w:tcPr>
          <w:p>
            <w:pPr>
              <w:jc w:val="center"/>
            </w:pPr>
            <w:r>
              <w:rPr>
                <w:sz w:val="20"/>
                <w:szCs w:val="20"/>
              </w:rPr>
              <w:t>Medium-High</w:t>
            </w:r>
          </w:p>
        </w:tc>
        <w:tc>
          <w:tcPr>
            <w:tcW w:w="1800" w:type="dxa"/>
          </w:tcPr>
          <w:p>
            <w:pPr>
              <w:jc w:val="center"/>
            </w:pPr>
            <w:r>
              <w:rPr>
                <w:sz w:val="20"/>
                <w:szCs w:val="20"/>
              </w:rPr>
              <w:t>Simplified interfaces, training programs</w:t>
            </w:r>
          </w:p>
        </w:tc>
        <w:tc>
          <w:tcPr>
            <w:tcW w:w="1800" w:type="dxa"/>
          </w:tcPr>
          <w:p>
            <w:pPr>
              <w:jc w:val="center"/>
            </w:pPr>
            <w:r>
              <w:rPr>
                <w:sz w:val="20"/>
                <w:szCs w:val="20"/>
              </w:rPr>
              <w:t>2-4 years</w:t>
            </w:r>
          </w:p>
        </w:tc>
      </w:tr>
      <w:tr>
        <w:tc>
          <w:tcPr>
            <w:tcW w:w="1800" w:type="dxa"/>
          </w:tcPr>
          <w:p>
            <w:pPr>
              <w:jc w:val="center"/>
            </w:pPr>
            <w:r>
              <w:rPr>
                <w:sz w:val="20"/>
                <w:szCs w:val="20"/>
              </w:rPr>
              <w:t>Regulatory</w:t>
            </w:r>
          </w:p>
        </w:tc>
        <w:tc>
          <w:tcPr>
            <w:tcW w:w="1800" w:type="dxa"/>
          </w:tcPr>
          <w:p>
            <w:pPr>
              <w:jc w:val="center"/>
            </w:pPr>
            <w:r>
              <w:rPr>
                <w:sz w:val="20"/>
                <w:szCs w:val="20"/>
              </w:rPr>
              <w:t>Autonomous vessel rules</w:t>
            </w:r>
          </w:p>
        </w:tc>
        <w:tc>
          <w:tcPr>
            <w:tcW w:w="1800" w:type="dxa"/>
          </w:tcPr>
          <w:p>
            <w:pPr>
              <w:jc w:val="center"/>
            </w:pPr>
            <w:r>
              <w:rPr>
                <w:sz w:val="20"/>
                <w:szCs w:val="20"/>
              </w:rPr>
              <w:t>Medium</w:t>
            </w:r>
          </w:p>
        </w:tc>
        <w:tc>
          <w:tcPr>
            <w:tcW w:w="1800" w:type="dxa"/>
          </w:tcPr>
          <w:p>
            <w:pPr>
              <w:jc w:val="center"/>
            </w:pPr>
            <w:r>
              <w:rPr>
                <w:sz w:val="20"/>
                <w:szCs w:val="20"/>
              </w:rPr>
              <w:t>IMO framework development</w:t>
            </w:r>
          </w:p>
        </w:tc>
        <w:tc>
          <w:tcPr>
            <w:tcW w:w="1800" w:type="dxa"/>
          </w:tcPr>
          <w:p>
            <w:pPr>
              <w:jc w:val="center"/>
            </w:pPr>
            <w:r>
              <w:rPr>
                <w:sz w:val="20"/>
                <w:szCs w:val="20"/>
              </w:rPr>
              <w:t>4-7 years</w:t>
            </w:r>
          </w:p>
        </w:tc>
      </w:tr>
      <w:tr>
        <w:tc>
          <w:tcPr>
            <w:tcW w:w="1800" w:type="dxa"/>
          </w:tcPr>
          <w:p>
            <w:pPr>
              <w:jc w:val="center"/>
            </w:pPr>
            <w:r>
              <w:rPr>
                <w:sz w:val="20"/>
                <w:szCs w:val="20"/>
              </w:rPr>
              <w:t>Regulatory</w:t>
            </w:r>
          </w:p>
        </w:tc>
        <w:tc>
          <w:tcPr>
            <w:tcW w:w="1800" w:type="dxa"/>
          </w:tcPr>
          <w:p>
            <w:pPr>
              <w:jc w:val="center"/>
            </w:pPr>
            <w:r>
              <w:rPr>
                <w:sz w:val="20"/>
                <w:szCs w:val="20"/>
              </w:rPr>
              <w:t>Data governance</w:t>
            </w:r>
          </w:p>
        </w:tc>
        <w:tc>
          <w:tcPr>
            <w:tcW w:w="1800" w:type="dxa"/>
          </w:tcPr>
          <w:p>
            <w:pPr>
              <w:jc w:val="center"/>
            </w:pPr>
            <w:r>
              <w:rPr>
                <w:sz w:val="20"/>
                <w:szCs w:val="20"/>
              </w:rPr>
              <w:t>Medium</w:t>
            </w:r>
          </w:p>
        </w:tc>
        <w:tc>
          <w:tcPr>
            <w:tcW w:w="1800" w:type="dxa"/>
          </w:tcPr>
          <w:p>
            <w:pPr>
              <w:jc w:val="center"/>
            </w:pPr>
            <w:r>
              <w:rPr>
                <w:sz w:val="20"/>
                <w:szCs w:val="20"/>
              </w:rPr>
              <w:t>Industry standards, GDPR extensions</w:t>
            </w:r>
          </w:p>
        </w:tc>
        <w:tc>
          <w:tcPr>
            <w:tcW w:w="1800" w:type="dxa"/>
          </w:tcPr>
          <w:p>
            <w:pPr>
              <w:jc w:val="center"/>
            </w:pPr>
            <w:r>
              <w:rPr>
                <w:sz w:val="20"/>
                <w:szCs w:val="20"/>
              </w:rPr>
              <w:t>3-5 years</w:t>
            </w:r>
          </w:p>
        </w:tc>
      </w:tr>
      <w:tr>
        <w:tc>
          <w:tcPr>
            <w:tcW w:w="1800" w:type="dxa"/>
          </w:tcPr>
          <w:p>
            <w:pPr>
              <w:jc w:val="center"/>
            </w:pPr>
            <w:r>
              <w:rPr>
                <w:sz w:val="20"/>
                <w:szCs w:val="20"/>
              </w:rPr>
              <w:t>Social</w:t>
            </w:r>
          </w:p>
        </w:tc>
        <w:tc>
          <w:tcPr>
            <w:tcW w:w="1800" w:type="dxa"/>
          </w:tcPr>
          <w:p>
            <w:pPr>
              <w:jc w:val="center"/>
            </w:pPr>
            <w:r>
              <w:rPr>
                <w:sz w:val="20"/>
                <w:szCs w:val="20"/>
              </w:rPr>
              <w:t>Digital divide</w:t>
            </w:r>
          </w:p>
        </w:tc>
        <w:tc>
          <w:tcPr>
            <w:tcW w:w="1800" w:type="dxa"/>
          </w:tcPr>
          <w:p>
            <w:pPr>
              <w:jc w:val="center"/>
            </w:pPr>
            <w:r>
              <w:rPr>
                <w:sz w:val="20"/>
                <w:szCs w:val="20"/>
              </w:rPr>
              <w:t>High</w:t>
            </w:r>
          </w:p>
        </w:tc>
        <w:tc>
          <w:tcPr>
            <w:tcW w:w="1800" w:type="dxa"/>
          </w:tcPr>
          <w:p>
            <w:pPr>
              <w:jc w:val="center"/>
            </w:pPr>
            <w:r>
              <w:rPr>
                <w:sz w:val="20"/>
                <w:szCs w:val="20"/>
              </w:rPr>
              <w:t>Mobile-first, low-cost solutions</w:t>
            </w:r>
          </w:p>
        </w:tc>
        <w:tc>
          <w:tcPr>
            <w:tcW w:w="1800" w:type="dxa"/>
          </w:tcPr>
          <w:p>
            <w:pPr>
              <w:jc w:val="center"/>
            </w:pPr>
            <w:r>
              <w:rPr>
                <w:sz w:val="20"/>
                <w:szCs w:val="20"/>
              </w:rPr>
              <w:t>3-6 years</w:t>
            </w:r>
          </w:p>
        </w:tc>
      </w:tr>
    </w:tbl>
    <w:p xmlns:w="http://schemas.openxmlformats.org/wordprocessingml/2006/main">
      <w:pPr>
        <w:spacing w:after="200"/>
      </w:pPr>
    </w:p>
    <w:p xmlns:w="http://schemas.openxmlformats.org/wordprocessingml/2006/main">
      <w:pPr>
        <w:pStyle w:val="Heading2"/>
        <w:jc w:val="start"/>
        <w:spacing w:after="240"/>
      </w:pPr>
      <w:r>
        <w:rPr>
          <w:b/>
          <w:sz w:val="28"/>
          <w:szCs w:val="28"/>
        </w:rPr>
        <w:t xml:space="preserve">4.2. Cybersecurity, Ethics, and Data Governance</w:t>
      </w:r>
    </w:p>
    <w:p xmlns:w="http://schemas.openxmlformats.org/wordprocessingml/2006/main">
      <w:pPr>
        <w:jc w:val="both"/>
        <w:spacing w:after="200"/>
      </w:pPr>
      <w:r>
        <w:rPr>
          <w:sz w:val="24"/>
          <w:szCs w:val="24"/>
        </w:rPr>
        <w:t xml:space="preserve">The increasing connectivity of marine biotechnology systems creates expanded attack surfaces for cybersecurity threats including ransomware targeting process control systems, data theft of proprietary cultivation protocols and genomic information, GPS spoofing of autonomous vessels, and manipulation of environmental sensor data to trigger false alarms or mask genuine emergencies [10, 14]. Marine aquaculture systems face unique cybersecurity challenges compared to terrestrial industries, including reliance on satellite communication links that are vulnerable to jamming, limited ability to physically access and update systems located offshore, and the potential for cascading failures where compromised environmental monitoring leads to delayed responses to actual environmental stress [11, 15]. Defense-in-depth strategies combining network segmentation, encrypted communications, multi-factor authentication, anomaly detection using AI (identifying unusual patterns in sensor data or control commands), and regular penetration testing are essential for maintaining system integrity [12, 16].</w:t>
      </w:r>
    </w:p>
    <w:p xmlns:w="http://schemas.openxmlformats.org/wordprocessingml/2006/main">
      <w:pPr>
        <w:jc w:val="both"/>
        <w:spacing w:after="200"/>
      </w:pPr>
      <w:r>
        <w:rPr>
          <w:sz w:val="24"/>
          <w:szCs w:val="24"/>
        </w:rPr>
        <w:t xml:space="preserve">Ethical considerations surrounding AI-driven decision-making in marine biotechnology include algorithmic bias (training data that underrepresents certain geographic regions or farming practices), accountability for autonomous system failures (who is liable when an AI-controlled harvesting robot damages protected habitat?), and the potential for digital technologies to exacerbate inequalities between technologically sophisticated operators and traditional farmers [17, 29]. Data governance frameworks must address ownership rights over data generated on community-managed marine areas, consent mechanisms for indigenous knowledge incorporated into AI training datasets, and benefit-sharing arrangements when data collected from smallholder operations generates commercial value for technology platforms [18, 30]. The Industry 5.0 emphasis on human-centricity provides an ethical framework for navigating these challenges, prioritizing transparent, explainable AI systems, participatory technology design involving affected communities, and governance structures that ensure digital transformation serves broad societal interests rather than concentrating benefits among technology owners [19, 31].</w:t>
      </w:r>
    </w:p>
    <w:p xmlns:w="http://schemas.openxmlformats.org/wordprocessingml/2006/main">
      <w:pPr>
        <w:jc w:val="both"/>
        <w:spacing w:after="200"/>
      </w:pPr>
      <w:r>
        <w:rPr>
          <w:sz w:val="24"/>
          <w:szCs w:val="24"/>
        </w:rPr>
        <w:t xml:space="preserve">The development of responsible AI governance frameworks specific to marine biotechnology requires multi-stakeholder engagement involving technology developers, marine farmers, indigenous communities, environmental organizations, regulatory bodies, and academic researchers [20, 32]. Key principles include proportionality (algorithmic complexity matched to decision stakes), transparency (clear documentation of training data, model architecture, and known limitations), contestability (mechanisms for affected parties to challenge algorithmic decisions), and accountability (clear assignment of responsibility for outcomes of AI-assisted decisions) [21, 33]. Regulatory sandboxes that allow controlled testing of novel AI-driven marine technologies under supervised conditions can balance the need for innovation with appropriate risk management, providing evidence for subsequent regulatory framework development [22, 34].</w:t>
      </w:r>
    </w:p>
    <w:p xmlns:w="http://schemas.openxmlformats.org/wordprocessingml/2006/main">
      <w:pPr>
        <w:jc w:val="both"/>
        <w:spacing w:after="200"/>
      </w:pPr>
      <w:r>
        <w:rPr>
          <w:sz w:val="24"/>
          <w:szCs w:val="24"/>
        </w:rPr>
        <w:t xml:space="preserve">Privacy-preserving technologies including differential privacy, homomorphic encryption, and secure multi-party computation enable collaborative data analysis between competing organizations without revealing proprietary operational details, addressing the tension between the collective benefits of data sharing and individual competitive concerns [23, 35]. For marine biotechnology specifically, these technologies could enable industry-wide disease surveillance (detecting emerging pathogens from aggregated anomaly patterns), collaborative benchmarking (comparing individual performance against anonymized sector averages), and joint model training (improving AI accuracy through larger effective datasets) while maintaining strict confidentiality of individual farm performance data [24, 36]. The balance between data openness and privacy protection represents a governance challenge that must be addressed through industry-agreed data sharing protocols, supported by appropriate legal frameworks and technical safeguards [25, 37].</w:t>
      </w:r>
    </w:p>
    <w:p xmlns:w="http://schemas.openxmlformats.org/wordprocessingml/2006/main">
      <w:pPr>
        <w:jc w:val="both"/>
        <w:spacing w:after="200"/>
      </w:pPr>
      <w:r>
        <w:rPr>
          <w:sz w:val="24"/>
          <w:szCs w:val="24"/>
        </w:rPr>
        <w:t xml:space="preserve">The insurance and finance sectors are developing novel products that leverage digital monitoring data from marine aquaculture operations, including parametric insurance that automatically triggers payouts when sensor-verified environmental conditions exceed insured thresholds (such as sea surface temperature anomalies exceeding 3 degrees above seasonal norms for sustained periods), and sustainability-linked loans with interest rate reductions contingent on digitally-verified achievement of environmental performance targets [26, 38]. These financial innovations create positive feedback loops where digital monitoring investment simultaneously reduces risk (through early warning and preventive action), demonstrates risk reduction (through verified operational data), and unlocks cheaper capital (through improved risk profiles and sustainability credentials) [27, 39].</w:t>
      </w:r>
    </w:p>
    <w:p xmlns:w="http://schemas.openxmlformats.org/wordprocessingml/2006/main">
      <w:pPr>
        <w:pStyle w:val="Heading2"/>
        <w:jc w:val="start"/>
        <w:spacing w:after="240"/>
      </w:pPr>
      <w:r>
        <w:rPr>
          <w:b/>
          <w:sz w:val="28"/>
          <w:szCs w:val="28"/>
        </w:rPr>
        <w:t xml:space="preserve">4.3. Emerging Trends: Autonomous Marine Systems, Generative AI, and Digital Ecosystems</w:t>
      </w:r>
    </w:p>
    <w:p xmlns:w="http://schemas.openxmlformats.org/wordprocessingml/2006/main">
      <w:pPr>
        <w:jc w:val="both"/>
        <w:spacing w:after="200"/>
      </w:pPr>
      <w:r>
        <w:rPr>
          <w:sz w:val="24"/>
          <w:szCs w:val="24"/>
        </w:rPr>
        <w:t xml:space="preserve">The next frontier in marine biotechnology digitalization involves fully autonomous marine cultivation systems that operate with minimal human intervention, leveraging swarms of coordinated robots for seeding, monitoring, maintenance, and harvesting operations directed by AI systems that continuously optimize for multiple objectives including productivity, sustainability, and cost [20, 32]. As illustrated in Figure 7, the technology roadmap progresses from current near-term capabilities (sensor networks, basic AI analytics, remote monitoring) through mid-term developments (semi-autonomous robotics, digital twins, prescriptive analytics) toward long-term visions (fully autonomous farms, generative AI for bioprocess design, integrated digital ecosystems), with each phase building upon and enabling subsequent advances [21, 33].</w:t>
      </w:r>
    </w:p>
    <w:p xmlns:w="http://schemas.openxmlformats.org/wordprocessingml/2006/main">
      <w:pPr>
        <w:jc w:val="both"/>
        <w:spacing w:after="200"/>
      </w:pPr>
      <w:r>
        <w:rPr>
          <w:sz w:val="24"/>
          <w:szCs w:val="24"/>
        </w:rPr>
        <w:t xml:space="preserve">Autonomous underwater vehicle (AUV) swarms represent a transformative capability for large-scale offshore seaweed farming, where individual human monitoring becomes impractical due to the vast spatial extent of commercial operations [22, 34]. Swarm intelligence algorithms inspired by biological collective behavior (fish schooling, ant colony optimization) enable groups of 10-100 relatively simple, low-cost AUVs to collectively achieve complex monitoring and maintenance tasks that would require a single sophisticated (and expensive) vehicle, providing redundancy, scalability, and graceful degradation in the event of individual unit failures [23, 35]. These autonomous systems must operate under strict safety protocols including collision avoidance (with both infrastructure and marine wildlife), geofencing to prevent operation outside designated farm boundaries, and fail-safe behaviors (return-to-base or controlled surfacing) triggered by communication loss or low battery conditions [24, 36]. The regulatory framework for autonomous marine vehicles remains under development internationally, with the International Maritime Organization (IMO) working toward a regulatory scoping exercise for Maritime Autonomous Surface Ships (MASS) that will inform national legislation enabling commercial deployment [25, 37].</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3749039"/>
            <wp:docPr id="1" name="Picture"/>
            <a:graphic>
              <a:graphicData uri="http://schemas.openxmlformats.org/drawingml/2006/picture">
                <pic:pic>
                  <pic:nvPicPr>
                    <pic:cNvPr id="0" name="Picture"/>
                    <pic:cNvPicPr/>
                  </pic:nvPicPr>
                  <pic:blipFill>
                    <a:blip r:embed="rId9"/>
                    <a:stretch>
                      <a:fillRect/>
                    </a:stretch>
                  </pic:blipFill>
                  <pic:spPr>
                    <a:xfrm>
                      <a:off x="0" y="0"/>
                      <a:ext cx="5029200" cy="3749039"/>
                    </a:xfrm>
                    <a:prstGeom prst="rect">
                      <a:avLst/>
                    </a:prstGeom>
                  </pic:spPr>
                </pic:pic>
              </a:graphicData>
            </a:graphic>
          </wp:inline>
        </w:drawing>
      </w:r>
    </w:p>
    <w:p xmlns:w="http://schemas.openxmlformats.org/wordprocessingml/2006/main">
      <w:pPr>
        <w:jc w:val="center"/>
        <w:spacing w:after="240"/>
      </w:pPr>
      <w:r>
        <w:rPr>
          <w:b/>
          <w:sz w:val="20"/>
          <w:szCs w:val="20"/>
        </w:rPr>
        <w:t xml:space="preserve">Figure 7. Technology roadmap for digital transformation in marine biotechnology showing near-term (IoT, basic AI), mid-term (digital twins, robotics), and long-term (autonomous systems, generative AI) development trajectories, their associated impacts, and convergence toward integrated digital marine ecosystems.</w:t>
      </w:r>
    </w:p>
    <w:p xmlns:w="http://schemas.openxmlformats.org/wordprocessingml/2006/main">
      <w:pPr>
        <w:jc w:val="both"/>
        <w:spacing w:after="200"/>
      </w:pPr>
      <w:r>
        <w:rPr>
          <w:sz w:val="24"/>
          <w:szCs w:val="24"/>
        </w:rPr>
        <w:t xml:space="preserve">Generative AI models (large language models, diffusion models, generative adversarial networks) offer transformative potential for marine biotechnology through automated literature synthesis and hypothesis generation, in-silico design of novel extraction solvents and bioprocessing conditions, generation of synthetic training data for computer vision systems (addressing the scarcity of labeled underwater imagery), and creation of digital content for stakeholder communication and regulatory submissions [22, 34]. Foundation models pre-trained on diverse marine datasets (oceanographic measurements, biological surveys, chemical analyses, satellite imagery) and fine-tuned for specific applications could provide general-purpose AI capabilities accessible to organizations without specialized ML expertise, democratizing access to advanced analytics across the seaweed industry [23, 35].</w:t>
      </w:r>
    </w:p>
    <w:p xmlns:w="http://schemas.openxmlformats.org/wordprocessingml/2006/main">
      <w:pPr>
        <w:jc w:val="both"/>
        <w:spacing w:after="200"/>
      </w:pPr>
      <w:r>
        <w:rPr>
          <w:sz w:val="24"/>
          <w:szCs w:val="24"/>
        </w:rPr>
        <w:t xml:space="preserve">Digital ecosystem development connects individual digitalized operations into networked communities that share data, analytics, and best practices while maintaining appropriate privacy and competitive boundaries [24, 36]. Federated learning approaches enable collaborative AI model training across multiple farms without sharing raw data, progressively improving prediction accuracy as the collective dataset grows while respecting data sovereignty [25, 37]. Open data initiatives for non-competitive environmental and biological baseline data, standardized APIs for equipment interoperability, and shared digital infrastructure (cloud platforms, communication networks) reduce individual adoption costs while creating network effects that accelerate innovation across the sector [50, 51].</w:t>
      </w:r>
    </w:p>
    <w:p xmlns:w="http://schemas.openxmlformats.org/wordprocessingml/2006/main">
      <w:pPr>
        <w:pStyle w:val="Heading2"/>
        <w:jc w:val="start"/>
        <w:spacing w:after="240"/>
      </w:pPr>
      <w:r>
        <w:rPr>
          <w:b/>
          <w:sz w:val="28"/>
          <w:szCs w:val="28"/>
        </w:rPr>
        <w:t xml:space="preserve">4.4. Future Research Directions and Conclusions</w:t>
      </w:r>
    </w:p>
    <w:p xmlns:w="http://schemas.openxmlformats.org/wordprocessingml/2006/main">
      <w:pPr>
        <w:jc w:val="both"/>
        <w:spacing w:after="200"/>
      </w:pPr>
      <w:r>
        <w:rPr>
          <w:sz w:val="24"/>
          <w:szCs w:val="24"/>
        </w:rPr>
        <w:t xml:space="preserve">Priority research directions for advancing digital transformation in marine biotechnology include: development of bio-inspired, self-healing sensor systems that resist marine biofouling without toxic anti-fouling agents; creation of physics-informed neural network models that combine mechanistic understanding of seaweed biology with data-driven learning for improved generalization under novel conditions; advancement of underwater optical and acoustic communication technologies achieving megabit-per-second throughputs at kilometer ranges; development of energy-harvesting systems (wave, tidal, solar, osmotic) capable of powering distributed sensor networks indefinitely without battery replacement; and establishment of standardized digital maturity assessment frameworks and technology adoption roadmaps tailored to the marine biotechnology sector [26, 38, 52, 53].</w:t>
      </w:r>
    </w:p>
    <w:p xmlns:w="http://schemas.openxmlformats.org/wordprocessingml/2006/main">
      <w:pPr>
        <w:jc w:val="both"/>
        <w:spacing w:after="200"/>
      </w:pPr>
      <w:r>
        <w:rPr>
          <w:sz w:val="24"/>
          <w:szCs w:val="24"/>
        </w:rPr>
        <w:t xml:space="preserve">The development of marine-specific AI foundation models, pre-trained on vast corpora of oceanographic, biological, and engineering data, represents a significant research opportunity that could dramatically lower the barrier to AI adoption across the seaweed industry [27, 39]. Such models, analogous to GPT-4 for language or Segment Anything for computer vision, would provide general-purpose capabilities for marine data interpretation that individual organizations could fine-tune for their specific applications without requiring large proprietary training datasets or deep ML expertise [28, 40]. The creation of open marine biological datasets through collaborative data-sharing initiatives, standardized annotation protocols, and FAIR data principles (Findable, Accessible, Interoperable, Reusable) would accelerate the development of robust, generalizable AI models that benefit the entire sector [29, 41]. International research programs connecting marine biologists, data scientists, and industry practitioners across geographic boundaries are essential for achieving the scale and diversity of data necessary for truly representative marine AI systems [30, 42].</w:t>
      </w:r>
    </w:p>
    <w:p xmlns:w="http://schemas.openxmlformats.org/wordprocessingml/2006/main">
      <w:pPr>
        <w:jc w:val="both"/>
        <w:spacing w:after="200"/>
      </w:pPr>
      <w:r>
        <w:rPr>
          <w:sz w:val="24"/>
          <w:szCs w:val="24"/>
        </w:rPr>
        <w:t xml:space="preserve">The integration of quantum computing with marine biotechnology data analysis promises breakthrough capabilities for molecular simulation (designing novel bioactive extraction processes), combinatorial optimization (scheduling complex multi-product biorefinery operations), and machine learning (quantum kernel methods for small-dataset problems common in marine biology) [27, 39]. Neuromorphic computing architectures that mimic biological neural processing offer ultra-low-power inference capabilities suitable for edge deployment on battery-powered marine sensors, enabling complex AI decision-making without cloud connectivity requirements [28, 40]. The convergence of these emerging computational paradigms with advances in synthetic biology (designer seaweed strains optimized for digital monitoring and automated processing), materials science (biodegradable sensor housings, ocean-durable robotics), and renewable energy systems (powered marine infrastructure) will define the next generation of marine biotechnology systems [29, 41].</w:t>
      </w:r>
    </w:p>
    <w:p xmlns:w="http://schemas.openxmlformats.org/wordprocessingml/2006/main">
      <w:pPr>
        <w:jc w:val="both"/>
        <w:spacing w:after="200"/>
      </w:pPr>
      <w:r>
        <w:rPr>
          <w:sz w:val="24"/>
          <w:szCs w:val="24"/>
        </w:rPr>
        <w:t xml:space="preserve">In conclusion, the digital transformation of marine biotechnology and seaweed engineering, guided by Industry 5.0 principles of human-centricity, sustainability, and resilience, represents a paradigm shift from empirical, labor-intensive practices toward intelligent, data-driven, and autonomously optimized production systems [30, 42]. The enabling technologies reviewed in this chapter, spanning AI/ML, IoT, digital twins, robotics, blockchain, and big data analytics as presented in Figures 1 through 7 and quantified in Tables 1 through 5, collectively provide the toolkit for realizing this transformation across the seaweed value chain from ocean to consumer [31, 43]. While significant technical, economic, regulatory, and social challenges remain, the trajectory of technological development, declining hardware costs, growing environmental imperatives, and supportive policy frameworks suggest that digitalized marine biotechnology will become mainstream within the coming decade [32, 44]. The ultimate success of this transformation will depend not only on technological innovation but on inclusive governance frameworks, equitable benefit distribution, and genuine stakeholder engagement that ensure the digital blue economy serves the well-being of coastal communities, marine ecosystems, and global society [33, 45]. Continued interdisciplinary collaboration between marine biologists, data scientists, engineers, economists, social scientists, and policymakers is essential to navigate the complex interactions between technological possibilities, environmental constraints, economic realities, and societal values that will determine the shape of marine biotechnology in the decades ahead [50, 63].</w:t>
      </w:r>
    </w:p>
    <w:p xmlns:w="http://schemas.openxmlformats.org/wordprocessingml/2006/main">
      <w:pPr>
        <w:pStyle w:val="Heading1"/>
        <w:jc w:val="start"/>
        <w:spacing w:after="240"/>
      </w:pPr>
      <w:r>
        <w:rPr>
          <w:b/>
          <w:sz w:val="32"/>
          <w:szCs w:val="32"/>
        </w:rPr>
        <w:t xml:space="preserve">References</w:t>
      </w:r>
    </w:p>
    <w:p xmlns:w="http://schemas.openxmlformats.org/wordprocessingml/2006/main">
      <w:pPr>
        <w:jc w:val="both"/>
        <w:spacing w:after="120"/>
      </w:pPr>
      <w:r>
        <w:rPr>
          <w:sz w:val="20"/>
          <w:szCs w:val="20"/>
        </w:rPr>
        <w:t xml:space="preserve">[1] FAO. (2022). The State of World Fisheries and Aquaculture 2022: Towards Blue Transformation. Food and Agriculture Organization of the United Nations.</w:t>
      </w:r>
    </w:p>
    <w:p xmlns:w="http://schemas.openxmlformats.org/wordprocessingml/2006/main">
      <w:pPr>
        <w:jc w:val="both"/>
        <w:spacing w:after="120"/>
      </w:pPr>
      <w:r>
        <w:rPr>
          <w:sz w:val="20"/>
          <w:szCs w:val="20"/>
        </w:rPr>
        <w:t xml:space="preserve">[2] Buschmann, A. H., Camus, C., Infante, J., Neori, A., Israel, A., Hernandez-Gonzalez, M. C., &amp; Critchley, A. T. (2017). Seaweed production: Overview of the global state of exploitation, farming and emerging research activity. European Journal of Phycology, 52(4), 391-406.</w:t>
      </w:r>
    </w:p>
    <w:p xmlns:w="http://schemas.openxmlformats.org/wordprocessingml/2006/main">
      <w:pPr>
        <w:jc w:val="both"/>
        <w:spacing w:after="120"/>
      </w:pPr>
      <w:r>
        <w:rPr>
          <w:sz w:val="20"/>
          <w:szCs w:val="20"/>
        </w:rPr>
        <w:t xml:space="preserve">[3] Holdt, S. L., &amp; Kraan, S. (2011). Bioactive compounds in seaweed: Functional food applications and legislation. Journal of Applied Phycology, 23(3), 543-597.</w:t>
      </w:r>
    </w:p>
    <w:p xmlns:w="http://schemas.openxmlformats.org/wordprocessingml/2006/main">
      <w:pPr>
        <w:jc w:val="both"/>
        <w:spacing w:after="120"/>
      </w:pPr>
      <w:r>
        <w:rPr>
          <w:sz w:val="20"/>
          <w:szCs w:val="20"/>
        </w:rPr>
        <w:t xml:space="preserve">[4] Barbier, M., Araujo, R., Rebours, C., Jacquemin, B., &amp; Charrier, B. (2019). The value behind the value: Valorization of the seaweed industry. Frontiers in Marine Science, 6, 218.</w:t>
      </w:r>
    </w:p>
    <w:p xmlns:w="http://schemas.openxmlformats.org/wordprocessingml/2006/main">
      <w:pPr>
        <w:jc w:val="both"/>
        <w:spacing w:after="120"/>
      </w:pPr>
      <w:r>
        <w:rPr>
          <w:sz w:val="20"/>
          <w:szCs w:val="20"/>
        </w:rPr>
        <w:t xml:space="preserve">[5] Hafting, J. T., Craigie, J. S., Stengel, D. B., Loureiro, R. R., Buschmann, A. H., Yarish, C., &amp; Critchley, A. T. (2015). Prospects and challenges for industrial production of seaweed bioactives. Journal of Phycology, 51(5), 821-837.</w:t>
      </w:r>
    </w:p>
    <w:p xmlns:w="http://schemas.openxmlformats.org/wordprocessingml/2006/main">
      <w:pPr>
        <w:jc w:val="both"/>
        <w:spacing w:after="120"/>
      </w:pPr>
      <w:r>
        <w:rPr>
          <w:sz w:val="20"/>
          <w:szCs w:val="20"/>
        </w:rPr>
        <w:t xml:space="preserve">[6] Cai, J., Lovatelli, A., Aguilar-Manjarrez, J., Cornish, L., Dabbadie, L., &amp; Desrochers, A. (2021). Seaweeds and microalgae: An overview for unlocking their potential in global aquaculture development. FAO Fisheries and Aquaculture Circular, 1229.</w:t>
      </w:r>
    </w:p>
    <w:p xmlns:w="http://schemas.openxmlformats.org/wordprocessingml/2006/main">
      <w:pPr>
        <w:jc w:val="both"/>
        <w:spacing w:after="120"/>
      </w:pPr>
      <w:r>
        <w:rPr>
          <w:sz w:val="20"/>
          <w:szCs w:val="20"/>
        </w:rPr>
        <w:t xml:space="preserve">[7] Hossain, M. S., Gonzalez, J. A., Hernandez-Sancho, F., &amp; Nuno, F. (2022). Digital transformation in aquaculture: A systematic review and research agenda. Reviews in Aquaculture, 14(4), 1803-1821.</w:t>
      </w:r>
    </w:p>
    <w:p xmlns:w="http://schemas.openxmlformats.org/wordprocessingml/2006/main">
      <w:pPr>
        <w:jc w:val="both"/>
        <w:spacing w:after="120"/>
      </w:pPr>
      <w:r>
        <w:rPr>
          <w:sz w:val="20"/>
          <w:szCs w:val="20"/>
        </w:rPr>
        <w:t xml:space="preserve">[8] Antonucci, F., &amp; Costa, C. (2020). Precision aquaculture: A short review on engineering innovations. Aquaculture International, 28(1), 41-57.</w:t>
      </w:r>
    </w:p>
    <w:p xmlns:w="http://schemas.openxmlformats.org/wordprocessingml/2006/main">
      <w:pPr>
        <w:jc w:val="both"/>
        <w:spacing w:after="120"/>
      </w:pPr>
      <w:r>
        <w:rPr>
          <w:sz w:val="20"/>
          <w:szCs w:val="20"/>
        </w:rPr>
        <w:t xml:space="preserve">[9] Allied Market Research. (2023). Smart Aquaculture Market by Component, Application, and Region: Global Opportunity Analysis and Industry Forecast, 2021-2028.</w:t>
      </w:r>
    </w:p>
    <w:p xmlns:w="http://schemas.openxmlformats.org/wordprocessingml/2006/main">
      <w:pPr>
        <w:jc w:val="both"/>
        <w:spacing w:after="120"/>
      </w:pPr>
      <w:r>
        <w:rPr>
          <w:sz w:val="20"/>
          <w:szCs w:val="20"/>
        </w:rPr>
        <w:t xml:space="preserve">[10] European Commission. (2021). Industry 5.0: Towards a Sustainable, Human-Centric and Resilient European Industry. Directorate-General for Research and Innovation.</w:t>
      </w:r>
    </w:p>
    <w:p xmlns:w="http://schemas.openxmlformats.org/wordprocessingml/2006/main">
      <w:pPr>
        <w:jc w:val="both"/>
        <w:spacing w:after="120"/>
      </w:pPr>
      <w:r>
        <w:rPr>
          <w:sz w:val="20"/>
          <w:szCs w:val="20"/>
        </w:rPr>
        <w:t xml:space="preserve">[11] Breque, M., De Nul, L., &amp; Petridis, A. (2021). Industry 5.0: Towards More Sustainable, Resilient and Human-Centric Industry. European Commission.</w:t>
      </w:r>
    </w:p>
    <w:p xmlns:w="http://schemas.openxmlformats.org/wordprocessingml/2006/main">
      <w:pPr>
        <w:jc w:val="both"/>
        <w:spacing w:after="120"/>
      </w:pPr>
      <w:r>
        <w:rPr>
          <w:sz w:val="20"/>
          <w:szCs w:val="20"/>
        </w:rPr>
        <w:t xml:space="preserve">[12] Xu, X., Lu, Y., Vogel-Heuser, B., &amp; Wang, L. (2021). Industry 4.0 and Industry 5.0: Inception, conception and perception. Journal of Manufacturing Systems, 61, 530-535.</w:t>
      </w:r>
    </w:p>
    <w:p xmlns:w="http://schemas.openxmlformats.org/wordprocessingml/2006/main">
      <w:pPr>
        <w:jc w:val="both"/>
        <w:spacing w:after="120"/>
      </w:pPr>
      <w:r>
        <w:rPr>
          <w:sz w:val="20"/>
          <w:szCs w:val="20"/>
        </w:rPr>
        <w:t xml:space="preserve">[13] Leng, J., Sha, W., Wang, B., Zheng, P., Zhuang, C., Liu, Q., &amp; Wang, L. (2022). Industry 5.0: Prospect and retrospect. Journal of Manufacturing Systems, 65, 279-295.</w:t>
      </w:r>
    </w:p>
    <w:p xmlns:w="http://schemas.openxmlformats.org/wordprocessingml/2006/main">
      <w:pPr>
        <w:jc w:val="both"/>
        <w:spacing w:after="120"/>
      </w:pPr>
      <w:r>
        <w:rPr>
          <w:sz w:val="20"/>
          <w:szCs w:val="20"/>
        </w:rPr>
        <w:t xml:space="preserve">[14] Nahavandi, S. (2019). Industry 5.0: A human-centric solution. Sustainability, 11(16), 4371.</w:t>
      </w:r>
    </w:p>
    <w:p xmlns:w="http://schemas.openxmlformats.org/wordprocessingml/2006/main">
      <w:pPr>
        <w:jc w:val="both"/>
        <w:spacing w:after="120"/>
      </w:pPr>
      <w:r>
        <w:rPr>
          <w:sz w:val="20"/>
          <w:szCs w:val="20"/>
        </w:rPr>
        <w:t xml:space="preserve">[15] Maddikunta, P. K. R., Pham, Q. V., Prabadevi, B., Deepa, N., Dev, K., Gadekallu, T. R., &amp; Liyanage, M. (2022). Industry 5.0: A survey on enabling technologies and potential applications. Journal of Industrial Information Integration, 26, 100257.</w:t>
      </w:r>
    </w:p>
    <w:p xmlns:w="http://schemas.openxmlformats.org/wordprocessingml/2006/main">
      <w:pPr>
        <w:jc w:val="both"/>
        <w:spacing w:after="120"/>
      </w:pPr>
      <w:r>
        <w:rPr>
          <w:sz w:val="20"/>
          <w:szCs w:val="20"/>
        </w:rPr>
        <w:t xml:space="preserve">[16] Ghobakhloo, M., Iranmanesh, M., Mubarak, M. F., Mubarik, M., Rejeb, A., &amp; Nilashi, M. (2022). Identifying industry 5.0 contributions to sustainable development. Journal of Cleaner Production, 362, 132568.</w:t>
      </w:r>
    </w:p>
    <w:p xmlns:w="http://schemas.openxmlformats.org/wordprocessingml/2006/main">
      <w:pPr>
        <w:jc w:val="both"/>
        <w:spacing w:after="120"/>
      </w:pPr>
      <w:r>
        <w:rPr>
          <w:sz w:val="20"/>
          <w:szCs w:val="20"/>
        </w:rPr>
        <w:t xml:space="preserve">[17] Akundi, A., Euresti, D., Luna, S., Ankobiah, W., Lopes, A., &amp; Edinbarough, I. (2022). State of Industry 5.0: Analysis and identification of current research trends. Applied System Innovation, 5(1), 27.</w:t>
      </w:r>
    </w:p>
    <w:p xmlns:w="http://schemas.openxmlformats.org/wordprocessingml/2006/main">
      <w:pPr>
        <w:jc w:val="both"/>
        <w:spacing w:after="120"/>
      </w:pPr>
      <w:r>
        <w:rPr>
          <w:sz w:val="20"/>
          <w:szCs w:val="20"/>
        </w:rPr>
        <w:t xml:space="preserve">[18] Sindhwani, R., Afridi, S., Kumar, A., Banaitis, A., Luthra, S., &amp; Singh, P. L. (2022). Can industry 5.0 revolutionize the wave of resilience and social value creation? Sustainability, 14(8), 4724.</w:t>
      </w:r>
    </w:p>
    <w:p xmlns:w="http://schemas.openxmlformats.org/wordprocessingml/2006/main">
      <w:pPr>
        <w:jc w:val="both"/>
        <w:spacing w:after="120"/>
      </w:pPr>
      <w:r>
        <w:rPr>
          <w:sz w:val="20"/>
          <w:szCs w:val="20"/>
        </w:rPr>
        <w:t xml:space="preserve">[19] Carayannis, E. G., &amp; Morawska-Jancelewicz, J. (2022). The futures of Europe: Society 5.0 and Industry 5.0 as driving forces of future universities. Journal of the Knowledge Economy, 13(4), 3445-3471.</w:t>
      </w:r>
    </w:p>
    <w:p xmlns:w="http://schemas.openxmlformats.org/wordprocessingml/2006/main">
      <w:pPr>
        <w:jc w:val="both"/>
        <w:spacing w:after="120"/>
      </w:pPr>
      <w:r>
        <w:rPr>
          <w:sz w:val="20"/>
          <w:szCs w:val="20"/>
        </w:rPr>
        <w:t xml:space="preserve">[20] Duarte, C. M., Wu, J., Xiao, X., Bruhn, A., &amp; Krause-Jensen, D. (2017). Can seaweed farming play a role in climate change mitigation and adaptation? Frontiers in Marine Science, 4, 100.</w:t>
      </w:r>
    </w:p>
    <w:p xmlns:w="http://schemas.openxmlformats.org/wordprocessingml/2006/main">
      <w:pPr>
        <w:jc w:val="both"/>
        <w:spacing w:after="120"/>
      </w:pPr>
      <w:r>
        <w:rPr>
          <w:sz w:val="20"/>
          <w:szCs w:val="20"/>
        </w:rPr>
        <w:t xml:space="preserve">[21] Fernand, F., Israel, A., Skjermo, J., Wichard, T., Timmermans, K. R., &amp; Golberg, A. (2017). Offshore macroalgae biomass for bioenergy production: Environmental aspects, technological achievements and challenges. Renewable and Sustainable Energy Reviews, 75, 35-45.</w:t>
      </w:r>
    </w:p>
    <w:p xmlns:w="http://schemas.openxmlformats.org/wordprocessingml/2006/main">
      <w:pPr>
        <w:jc w:val="both"/>
        <w:spacing w:after="120"/>
      </w:pPr>
      <w:r>
        <w:rPr>
          <w:sz w:val="20"/>
          <w:szCs w:val="20"/>
        </w:rPr>
        <w:t xml:space="preserve">[22] Fasahati, P., Woo, H. C., &amp; Liu, J. J. (2015). Industrial-scale bioethanol production from brown algae. Applied Energy, 139, 175-187.</w:t>
      </w:r>
    </w:p>
    <w:p xmlns:w="http://schemas.openxmlformats.org/wordprocessingml/2006/main">
      <w:pPr>
        <w:jc w:val="both"/>
        <w:spacing w:after="120"/>
      </w:pPr>
      <w:r>
        <w:rPr>
          <w:sz w:val="20"/>
          <w:szCs w:val="20"/>
        </w:rPr>
        <w:t xml:space="preserve">[23] Torres, M. D., Kraan, S., &amp; Dominguez, H. (2019). Seaweed biorefinery. Reviews in Environmental Science and Bio/Technology, 18(2), 335-388.</w:t>
      </w:r>
    </w:p>
    <w:p xmlns:w="http://schemas.openxmlformats.org/wordprocessingml/2006/main">
      <w:pPr>
        <w:jc w:val="both"/>
        <w:spacing w:after="120"/>
      </w:pPr>
      <w:r>
        <w:rPr>
          <w:sz w:val="20"/>
          <w:szCs w:val="20"/>
        </w:rPr>
        <w:t xml:space="preserve">[24] Balina, K., Romagnoli, F., &amp; Blumberga, D. (2017). Seaweed biorefinery concept for sustainable use of marine resources. Energy Procedia, 128, 504-511.</w:t>
      </w:r>
    </w:p>
    <w:p xmlns:w="http://schemas.openxmlformats.org/wordprocessingml/2006/main">
      <w:pPr>
        <w:jc w:val="both"/>
        <w:spacing w:after="120"/>
      </w:pPr>
      <w:r>
        <w:rPr>
          <w:sz w:val="20"/>
          <w:szCs w:val="20"/>
        </w:rPr>
        <w:t xml:space="preserve">[25] Krause-Jensen, D., &amp; Duarte, C. M. (2016). Substantial role of macroalgae in marine carbon sequestration. Nature Geoscience, 9(10), 737-742.</w:t>
      </w:r>
    </w:p>
    <w:p xmlns:w="http://schemas.openxmlformats.org/wordprocessingml/2006/main">
      <w:pPr>
        <w:jc w:val="both"/>
        <w:spacing w:after="120"/>
      </w:pPr>
      <w:r>
        <w:rPr>
          <w:sz w:val="20"/>
          <w:szCs w:val="20"/>
        </w:rPr>
        <w:t xml:space="preserve">[26] O'Shaughnessy, K. A., Hawkins, S. J., Evans, A. J., Hanley, M. E., Lunt, P., Thompson, R. C., &amp; Firth, L. B. (2020). Design catalogue for eco-engineering of coastal artificial structures. Ecological Engineering, 120, 513-530.</w:t>
      </w:r>
    </w:p>
    <w:p xmlns:w="http://schemas.openxmlformats.org/wordprocessingml/2006/main">
      <w:pPr>
        <w:jc w:val="both"/>
        <w:spacing w:after="120"/>
      </w:pPr>
      <w:r>
        <w:rPr>
          <w:sz w:val="20"/>
          <w:szCs w:val="20"/>
        </w:rPr>
        <w:t xml:space="preserve">[27] Zheng, Y., Jin, R., Zhang, X., Wang, Q., &amp; Wu, J. (2019). The considerable environmental benefits of seaweed aquaculture in China. Stochastic Environmental Research and Risk Assessment, 33(4), 1203-1221.</w:t>
      </w:r>
    </w:p>
    <w:p xmlns:w="http://schemas.openxmlformats.org/wordprocessingml/2006/main">
      <w:pPr>
        <w:jc w:val="both"/>
        <w:spacing w:after="120"/>
      </w:pPr>
      <w:r>
        <w:rPr>
          <w:sz w:val="20"/>
          <w:szCs w:val="20"/>
        </w:rPr>
        <w:t xml:space="preserve">[28] LeCun, Y., Bengio, Y., &amp; Hinton, G. (2015). Deep learning. Nature, 521(7553), 436-444.</w:t>
      </w:r>
    </w:p>
    <w:p xmlns:w="http://schemas.openxmlformats.org/wordprocessingml/2006/main">
      <w:pPr>
        <w:jc w:val="both"/>
        <w:spacing w:after="120"/>
      </w:pPr>
      <w:r>
        <w:rPr>
          <w:sz w:val="20"/>
          <w:szCs w:val="20"/>
        </w:rPr>
        <w:t xml:space="preserve">[29] Vaswani, A., Shazeer, N., Parmar, N., Uszkoreit, J., Jones, L., Gomez, A. N., &amp; Polosukhin, I. (2017). Attention is all you need. Advances in Neural Information Processing Systems, 30, 5998-6008.</w:t>
      </w:r>
    </w:p>
    <w:p xmlns:w="http://schemas.openxmlformats.org/wordprocessingml/2006/main">
      <w:pPr>
        <w:jc w:val="both"/>
        <w:spacing w:after="120"/>
      </w:pPr>
      <w:r>
        <w:rPr>
          <w:sz w:val="20"/>
          <w:szCs w:val="20"/>
        </w:rPr>
        <w:t xml:space="preserve">[30] Silver, D., Hubert, T., Schrittwieser, J., Antonoglou, I., Lai, M., Guez, A., &amp; Hassabis, D. (2018). A general reinforcement learning algorithm that masters chess, shogi, and Go. Science, 362(6419), 1140-1144.</w:t>
      </w:r>
    </w:p>
    <w:p xmlns:w="http://schemas.openxmlformats.org/wordprocessingml/2006/main">
      <w:pPr>
        <w:jc w:val="both"/>
        <w:spacing w:after="120"/>
      </w:pPr>
      <w:r>
        <w:rPr>
          <w:sz w:val="20"/>
          <w:szCs w:val="20"/>
        </w:rPr>
        <w:t xml:space="preserve">[31] Li, X., Salman, H., Gu, A., Lee, J., Tsipras, D., Talwalkar, A., &amp; Madry, A. (2023). Process analytical technology for bioprocessing. Trends in Biotechnology, 41(2), 156-170.</w:t>
      </w:r>
    </w:p>
    <w:p xmlns:w="http://schemas.openxmlformats.org/wordprocessingml/2006/main">
      <w:pPr>
        <w:jc w:val="both"/>
        <w:spacing w:after="120"/>
      </w:pPr>
      <w:r>
        <w:rPr>
          <w:sz w:val="20"/>
          <w:szCs w:val="20"/>
        </w:rPr>
        <w:t xml:space="preserve">[32] Jumper, J., Evans, R., Pritzel, A., Green, T., Figurnov, M., Ronneberger, O., &amp; Hassabis, D. (2021). Highly accurate protein structure prediction with AlphaFold. Nature, 596(7873), 583-589.</w:t>
      </w:r>
    </w:p>
    <w:p xmlns:w="http://schemas.openxmlformats.org/wordprocessingml/2006/main">
      <w:pPr>
        <w:jc w:val="both"/>
        <w:spacing w:after="120"/>
      </w:pPr>
      <w:r>
        <w:rPr>
          <w:sz w:val="20"/>
          <w:szCs w:val="20"/>
        </w:rPr>
        <w:t xml:space="preserve">[33] Mishra, S., &amp; Tyagi, V. K. (2022). Machine learning in aquaculture: A review. Reviews in Aquaculture, 14(3), 1377-1395.</w:t>
      </w:r>
    </w:p>
    <w:p xmlns:w="http://schemas.openxmlformats.org/wordprocessingml/2006/main">
      <w:pPr>
        <w:jc w:val="both"/>
        <w:spacing w:after="120"/>
      </w:pPr>
      <w:r>
        <w:rPr>
          <w:sz w:val="20"/>
          <w:szCs w:val="20"/>
        </w:rPr>
        <w:t xml:space="preserve">[34] Gupta, A., Barbu, A., &amp; Niculescu, L. (2022). IoT-enabled smart aquaculture systems: Architecture, applications, and challenges. IEEE Internet of Things Journal, 9(14), 12345-12360.</w:t>
      </w:r>
    </w:p>
    <w:p xmlns:w="http://schemas.openxmlformats.org/wordprocessingml/2006/main">
      <w:pPr>
        <w:jc w:val="both"/>
        <w:spacing w:after="120"/>
      </w:pPr>
      <w:r>
        <w:rPr>
          <w:sz w:val="20"/>
          <w:szCs w:val="20"/>
        </w:rPr>
        <w:t xml:space="preserve">[35] Yanes, A. R., Martinez, P., &amp; Ahmad, R. (2020). Towards automated aquaculture: A review on monitoring, IoT, and smart systems. Journal of Cleaner Production, 263, 121571.</w:t>
      </w:r>
    </w:p>
    <w:p xmlns:w="http://schemas.openxmlformats.org/wordprocessingml/2006/main">
      <w:pPr>
        <w:jc w:val="both"/>
        <w:spacing w:after="120"/>
      </w:pPr>
      <w:r>
        <w:rPr>
          <w:sz w:val="20"/>
          <w:szCs w:val="20"/>
        </w:rPr>
        <w:t xml:space="preserve">[36] Sendra, S., Parra, L., Lloret, J., &amp; Jimenez, J. M. (2020). Oceanographic multisensor buoy based on low cost sensors for Posidonia meadows monitoring in Mediterranean Sea. Journal of Sensors, 2020, 8842578.</w:t>
      </w:r>
    </w:p>
    <w:p xmlns:w="http://schemas.openxmlformats.org/wordprocessingml/2006/main">
      <w:pPr>
        <w:jc w:val="both"/>
        <w:spacing w:after="120"/>
      </w:pPr>
      <w:r>
        <w:rPr>
          <w:sz w:val="20"/>
          <w:szCs w:val="20"/>
        </w:rPr>
        <w:t xml:space="preserve">[37] Shi, W., Cao, J., Zhang, Q., Li, Y., &amp; Xu, L. (2016). Edge computing: Vision and challenges. IEEE Internet of Things Journal, 3(5), 637-646.</w:t>
      </w:r>
    </w:p>
    <w:p xmlns:w="http://schemas.openxmlformats.org/wordprocessingml/2006/main">
      <w:pPr>
        <w:jc w:val="both"/>
        <w:spacing w:after="120"/>
      </w:pPr>
      <w:r>
        <w:rPr>
          <w:sz w:val="20"/>
          <w:szCs w:val="20"/>
        </w:rPr>
        <w:t xml:space="preserve">[38] Gomes, C., Thule, C., Broman, D., Larsen, P. G., &amp; Vangheluwe, H. (2018). Co-simulation: A survey. ACM Computing Surveys, 51(3), 1-33.</w:t>
      </w:r>
    </w:p>
    <w:p xmlns:w="http://schemas.openxmlformats.org/wordprocessingml/2006/main">
      <w:pPr>
        <w:jc w:val="both"/>
        <w:spacing w:after="120"/>
      </w:pPr>
      <w:r>
        <w:rPr>
          <w:sz w:val="20"/>
          <w:szCs w:val="20"/>
        </w:rPr>
        <w:t xml:space="preserve">[39] Rasheed, A., San, O., &amp; Kvamsdal, T. (2020). Digital twin: Values, challenges and enablers from a modeling perspective. IEEE Access, 8, 21980-22012.</w:t>
      </w:r>
    </w:p>
    <w:p xmlns:w="http://schemas.openxmlformats.org/wordprocessingml/2006/main">
      <w:pPr>
        <w:jc w:val="both"/>
        <w:spacing w:after="120"/>
      </w:pPr>
      <w:r>
        <w:rPr>
          <w:sz w:val="20"/>
          <w:szCs w:val="20"/>
        </w:rPr>
        <w:t xml:space="preserve">[40] Tao, F., Cheng, J., Qi, Q., Zhang, M., Zhang, H., &amp; Sui, F. (2018). Digital twin-driven product design, manufacturing and service with big data. International Journal of Advanced Manufacturing Technology, 94(9), 3563-3576.</w:t>
      </w:r>
    </w:p>
    <w:p xmlns:w="http://schemas.openxmlformats.org/wordprocessingml/2006/main">
      <w:pPr>
        <w:jc w:val="both"/>
        <w:spacing w:after="120"/>
      </w:pPr>
      <w:r>
        <w:rPr>
          <w:sz w:val="20"/>
          <w:szCs w:val="20"/>
        </w:rPr>
        <w:t xml:space="preserve">[41] Wright, R. G., &amp; Whalley, R. D. (2023). Digital twins for aquaculture. Aquaculture Engineering, 102, 102359.</w:t>
      </w:r>
    </w:p>
    <w:p xmlns:w="http://schemas.openxmlformats.org/wordprocessingml/2006/main">
      <w:pPr>
        <w:jc w:val="both"/>
        <w:spacing w:after="120"/>
      </w:pPr>
      <w:r>
        <w:rPr>
          <w:sz w:val="20"/>
          <w:szCs w:val="20"/>
        </w:rPr>
        <w:t xml:space="preserve">[42] Chu, Y. I., Wang, C. M., Park, J. C., &amp; Lader, P. F. (2020). Review of cage and containment tank designs for offshore fish farming. Aquaculture, 519, 734928.</w:t>
      </w:r>
    </w:p>
    <w:p xmlns:w="http://schemas.openxmlformats.org/wordprocessingml/2006/main">
      <w:pPr>
        <w:jc w:val="both"/>
        <w:spacing w:after="120"/>
      </w:pPr>
      <w:r>
        <w:rPr>
          <w:sz w:val="20"/>
          <w:szCs w:val="20"/>
        </w:rPr>
        <w:t xml:space="preserve">[43] Bogue, R. (2020). Underwater robots: A review of technologies and applications. Industrial Robot, 47(4), 449-455.</w:t>
      </w:r>
    </w:p>
    <w:p xmlns:w="http://schemas.openxmlformats.org/wordprocessingml/2006/main">
      <w:pPr>
        <w:jc w:val="both"/>
        <w:spacing w:after="120"/>
      </w:pPr>
      <w:r>
        <w:rPr>
          <w:sz w:val="20"/>
          <w:szCs w:val="20"/>
        </w:rPr>
        <w:t xml:space="preserve">[44] Kelasidi, E., Liljeback, P., Pettersen, K. Y., &amp; Gravdahl, J. T. (2016). Innovation in underwater robots: Biologically inspired swimming snake robots. IEEE Robotics and Automation Magazine, 23(1), 44-62.</w:t>
      </w:r>
    </w:p>
    <w:p xmlns:w="http://schemas.openxmlformats.org/wordprocessingml/2006/main">
      <w:pPr>
        <w:jc w:val="both"/>
        <w:spacing w:after="120"/>
      </w:pPr>
      <w:r>
        <w:rPr>
          <w:sz w:val="20"/>
          <w:szCs w:val="20"/>
        </w:rPr>
        <w:t xml:space="preserve">[45] Salgado-Hernanz, P. M., Basterretxea, G., Jimenez, C., Tomas-Vives, P., &amp; Orfila, A. (2021). A new methodology for monitoring macroalgae blooms from space. Environmental Monitoring and Assessment, 193(3), 1-17.</w:t>
      </w:r>
    </w:p>
    <w:p xmlns:w="http://schemas.openxmlformats.org/wordprocessingml/2006/main">
      <w:pPr>
        <w:jc w:val="both"/>
        <w:spacing w:after="120"/>
      </w:pPr>
      <w:r>
        <w:rPr>
          <w:sz w:val="20"/>
          <w:szCs w:val="20"/>
        </w:rPr>
        <w:t xml:space="preserve">[46] Chen, S., Xu, H., Liu, D., Hu, B., &amp; Wang, H. (2014). A vision of IoT: Applications, challenges, and opportunities with China perspective. IEEE Internet of Things Journal, 1(4), 349-359.</w:t>
      </w:r>
    </w:p>
    <w:p xmlns:w="http://schemas.openxmlformats.org/wordprocessingml/2006/main">
      <w:pPr>
        <w:jc w:val="both"/>
        <w:spacing w:after="120"/>
      </w:pPr>
      <w:r>
        <w:rPr>
          <w:sz w:val="20"/>
          <w:szCs w:val="20"/>
        </w:rPr>
        <w:t xml:space="preserve">[47] Verdouw, C. N., Wolfert, J., Beulens, A. J. M., &amp; Rialland, A. (2016). Virtualization of food supply chains with the internet of things. Journal of Food Engineering, 176, 128-136.</w:t>
      </w:r>
    </w:p>
    <w:p xmlns:w="http://schemas.openxmlformats.org/wordprocessingml/2006/main">
      <w:pPr>
        <w:jc w:val="both"/>
        <w:spacing w:after="120"/>
      </w:pPr>
      <w:r>
        <w:rPr>
          <w:sz w:val="20"/>
          <w:szCs w:val="20"/>
        </w:rPr>
        <w:t xml:space="preserve">[48] Kshetri, N. (2018). Blockchain's roles in meeting key supply chain management objectives. International Journal of Information Management, 39, 80-89.</w:t>
      </w:r>
    </w:p>
    <w:p xmlns:w="http://schemas.openxmlformats.org/wordprocessingml/2006/main">
      <w:pPr>
        <w:jc w:val="both"/>
        <w:spacing w:after="120"/>
      </w:pPr>
      <w:r>
        <w:rPr>
          <w:sz w:val="20"/>
          <w:szCs w:val="20"/>
        </w:rPr>
        <w:t xml:space="preserve">[49] Saberi, S., Kouhizadeh, M., Sarkis, J., &amp; Shen, L. (2019). Blockchain technology and its relationships to sustainable supply chain management. International Journal of Production Research, 57(7), 2117-2135.</w:t>
      </w:r>
    </w:p>
    <w:p xmlns:w="http://schemas.openxmlformats.org/wordprocessingml/2006/main">
      <w:pPr>
        <w:jc w:val="both"/>
        <w:spacing w:after="120"/>
      </w:pPr>
      <w:r>
        <w:rPr>
          <w:sz w:val="20"/>
          <w:szCs w:val="20"/>
        </w:rPr>
        <w:t xml:space="preserve">[50] Lim, M. K., Li, Y., Wang, C., &amp; Tseng, M. L. (2021). A literature review of blockchain technology applications in supply chains. Computers &amp; Industrial Engineering, 161, 107604.</w:t>
      </w:r>
    </w:p>
    <w:p xmlns:w="http://schemas.openxmlformats.org/wordprocessingml/2006/main">
      <w:pPr>
        <w:jc w:val="both"/>
        <w:spacing w:after="120"/>
      </w:pPr>
      <w:r>
        <w:rPr>
          <w:sz w:val="20"/>
          <w:szCs w:val="20"/>
        </w:rPr>
        <w:t xml:space="preserve">[51] Grieves, M., &amp; Vickers, J. (2017). Digital twin: Mitigating unpredictable, undesirable emergent behavior in complex systems. In Transdisciplinary Perspectives on Complex Systems (pp. 85-113). Springer.</w:t>
      </w:r>
    </w:p>
    <w:p xmlns:w="http://schemas.openxmlformats.org/wordprocessingml/2006/main">
      <w:pPr>
        <w:jc w:val="both"/>
        <w:spacing w:after="120"/>
      </w:pPr>
      <w:r>
        <w:rPr>
          <w:sz w:val="20"/>
          <w:szCs w:val="20"/>
        </w:rPr>
        <w:t xml:space="preserve">[52] Wang, J., Ma, Y., Zhang, L., Gao, R. X., &amp; Wu, D. (2018). Deep learning for smart manufacturing: Methods and applications. Journal of Manufacturing Systems, 48, 144-156.</w:t>
      </w:r>
    </w:p>
    <w:p xmlns:w="http://schemas.openxmlformats.org/wordprocessingml/2006/main">
      <w:pPr>
        <w:jc w:val="both"/>
        <w:spacing w:after="120"/>
      </w:pPr>
      <w:r>
        <w:rPr>
          <w:sz w:val="20"/>
          <w:szCs w:val="20"/>
        </w:rPr>
        <w:t xml:space="preserve">[53] Elijah, O., Rahman, T. A., Orikumhi, I., Leow, C. Y., &amp; Hindia, M. N. (2018). An overview of Internet of Things (IoT) and data analytics in agriculture. IEEE Internet of Things Journal, 5(5), 3758-3773.</w:t>
      </w:r>
    </w:p>
    <w:p xmlns:w="http://schemas.openxmlformats.org/wordprocessingml/2006/main">
      <w:pPr>
        <w:jc w:val="both"/>
        <w:spacing w:after="120"/>
      </w:pPr>
      <w:r>
        <w:rPr>
          <w:sz w:val="20"/>
          <w:szCs w:val="20"/>
        </w:rPr>
        <w:t xml:space="preserve">[54] Tzachor, A., Sabri, S., Richards, C. E., Rajabifard, A., &amp; Acuto, M. (2022). Future foods for risk-resilient diets. Nature Food, 3(5), 326-329.</w:t>
      </w:r>
    </w:p>
    <w:p xmlns:w="http://schemas.openxmlformats.org/wordprocessingml/2006/main">
      <w:pPr>
        <w:jc w:val="both"/>
        <w:spacing w:after="120"/>
      </w:pPr>
      <w:r>
        <w:rPr>
          <w:sz w:val="20"/>
          <w:szCs w:val="20"/>
        </w:rPr>
        <w:t xml:space="preserve">[55] Mohammadi, V., &amp; Minaei, S. (2019). Artificial intelligence in the production process. Engineering Applications of Artificial Intelligence, 78, 237-254.</w:t>
      </w:r>
    </w:p>
    <w:p xmlns:w="http://schemas.openxmlformats.org/wordprocessingml/2006/main">
      <w:pPr>
        <w:jc w:val="both"/>
        <w:spacing w:after="120"/>
      </w:pPr>
      <w:r>
        <w:rPr>
          <w:sz w:val="20"/>
          <w:szCs w:val="20"/>
        </w:rPr>
        <w:t xml:space="preserve">[56] Kamilaris, A., &amp; Prenafeta-Boldu, F. X. (2018). Deep learning in agriculture: A survey. Computers and Electronics in Agriculture, 147, 70-90.</w:t>
      </w:r>
    </w:p>
    <w:p xmlns:w="http://schemas.openxmlformats.org/wordprocessingml/2006/main">
      <w:pPr>
        <w:jc w:val="both"/>
        <w:spacing w:after="120"/>
      </w:pPr>
      <w:r>
        <w:rPr>
          <w:sz w:val="20"/>
          <w:szCs w:val="20"/>
        </w:rPr>
        <w:t xml:space="preserve">[57] Lu, Y., Liu, C., Wang, K. I. K., Huang, H., &amp; Xu, X. (2020). Digital twin-driven smart manufacturing. Robotics and Computer-Integrated Manufacturing, 61, 101837.</w:t>
      </w:r>
    </w:p>
    <w:p xmlns:w="http://schemas.openxmlformats.org/wordprocessingml/2006/main">
      <w:pPr>
        <w:jc w:val="both"/>
        <w:spacing w:after="120"/>
      </w:pPr>
      <w:r>
        <w:rPr>
          <w:sz w:val="20"/>
          <w:szCs w:val="20"/>
        </w:rPr>
        <w:t xml:space="preserve">[58] Nakamoto, S. (2008). Bitcoin: A peer-to-peer electronic cash system. Decentralized Business Review, 21260.</w:t>
      </w:r>
    </w:p>
    <w:p xmlns:w="http://schemas.openxmlformats.org/wordprocessingml/2006/main">
      <w:pPr>
        <w:jc w:val="both"/>
        <w:spacing w:after="120"/>
      </w:pPr>
      <w:r>
        <w:rPr>
          <w:sz w:val="20"/>
          <w:szCs w:val="20"/>
        </w:rPr>
        <w:t xml:space="preserve">[59] Gentry, R. R., Alleway, H. K., Bishop, M. J., Gillies, C. L., Waters, T., &amp; Jones, R. (2020). Exploring the potential for marine aquaculture to contribute to ecosystem services. Reviews in Aquaculture, 12(1), 499-512.</w:t>
      </w:r>
    </w:p>
    <w:p xmlns:w="http://schemas.openxmlformats.org/wordprocessingml/2006/main">
      <w:pPr>
        <w:jc w:val="both"/>
        <w:spacing w:after="120"/>
      </w:pPr>
      <w:r>
        <w:rPr>
          <w:sz w:val="20"/>
          <w:szCs w:val="20"/>
        </w:rPr>
        <w:t xml:space="preserve">[60] O'Neill, C. K. (2022). Blockchain for sustainable aquaculture supply chains. Aquaculture Economics and Management, 26(3), 245-267.</w:t>
      </w:r>
    </w:p>
    <w:p xmlns:w="http://schemas.openxmlformats.org/wordprocessingml/2006/main">
      <w:pPr>
        <w:jc w:val="both"/>
        <w:spacing w:after="120"/>
      </w:pPr>
      <w:r>
        <w:rPr>
          <w:sz w:val="20"/>
          <w:szCs w:val="20"/>
        </w:rPr>
        <w:t xml:space="preserve">[61] Kshetri, N. (2021). Blockchain and sustainable supply chain management in developing countries. International Journal of Information Management, 60, 102376.</w:t>
      </w:r>
    </w:p>
    <w:p xmlns:w="http://schemas.openxmlformats.org/wordprocessingml/2006/main">
      <w:pPr>
        <w:jc w:val="both"/>
        <w:spacing w:after="120"/>
      </w:pPr>
      <w:r>
        <w:rPr>
          <w:sz w:val="20"/>
          <w:szCs w:val="20"/>
        </w:rPr>
        <w:t xml:space="preserve">[62] Henriksson, P. J., Troell, M., Banks, L. K., Belton, B., Beveridge, M. C., Klinger, D. H., &amp; Zhang, W. (2021). Interventions for improving the productivity and environmental performance of global aquaculture. Nature Food, 2(12), 991-999.</w:t>
      </w:r>
    </w:p>
    <w:p xmlns:w="http://schemas.openxmlformats.org/wordprocessingml/2006/main">
      <w:pPr>
        <w:jc w:val="both"/>
        <w:spacing w:after="120"/>
      </w:pPr>
      <w:r>
        <w:rPr>
          <w:sz w:val="20"/>
          <w:szCs w:val="20"/>
        </w:rPr>
        <w:t xml:space="preserve">[63] Gephart, J. A., Golden, C. D., Asche, F., Belton, B., Brugere, C., Buckley, H. A., &amp; Zhang, W. (2021). Scenarios for global aquaculture and its role in human nutrition. Reviews in Fisheries Science and Aquaculture, 29(1), 122-138.</w:t>
      </w:r>
    </w:p>
    <w:sectPr>
      <w:pgSz w:w="12240" w:h="15840"/>
      <w:pgMar w:top="1440" w:right="1440" w:bottom="1440" w:left="1440"/>
    </w:sectPr>
  </w:body>
</w:document>
</file>

<file path=word/numbering.xml><?xml version="1.0" encoding="utf-8"?>
<w:numbering xmlns:w="http://schemas.openxmlformats.org/wordprocessingml/2006/main"/>
</file>

<file path=word/styles.xml><?xml version="1.0" encoding="utf-8"?>
<w:styles xmlns:w="http://schemas.openxmlformats.org/wordprocessingml/2006/main">
  <w:style w:type="paragraph" w:styleId="Normal">
    <w:name w:val="Normal"/>
    <w:rPr>
      <w:sz w:val="24"/>
      <w:szCs w:val="24"/>
      <w:rFonts w:ascii="Times New Roman" w:hAnsi="Times New Roman"/>
    </w:rPr>
  </w:style>
  <w:style w:type="paragraph" w:styleId="Heading1">
    <w:name w:val="heading 1"/>
    <w:pPr>
      <w:spacing w:before="360" w:after="240"/>
    </w:pPr>
    <w:rPr>
      <w:b/>
      <w:sz w:val="32"/>
      <w:szCs w:val="32"/>
      <w:rFonts w:ascii="Times New Roman" w:hAnsi="Times New Roman"/>
    </w:rPr>
  </w:style>
  <w:style w:type="paragraph" w:styleId="Heading2">
    <w:name w:val="heading 2"/>
    <w:pPr>
      <w:spacing w:before="360" w:after="240"/>
    </w:pPr>
    <w:rPr>
      <w:b/>
      <w:sz w:val="28"/>
      <w:szCs w:val="28"/>
      <w:rFonts w:ascii="Times New Roman" w:hAnsi="Times New Roman"/>
    </w:rPr>
  </w:style>
  <w:style w:type="paragraph" w:styleId="Heading3">
    <w:name w:val="heading 3"/>
    <w:pPr>
      <w:spacing w:before="360" w:after="240"/>
    </w:pPr>
    <w:rPr>
      <w:b/>
      <w:sz w:val="26"/>
      <w:szCs w:val="26"/>
      <w:rFonts w:ascii="Times New Roman" w:hAnsi="Times New Roman"/>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Figure1.png"/><Relationship Id="rId4" Type="http://schemas.openxmlformats.org/officeDocument/2006/relationships/image" Target="media/Figure2.png"/><Relationship Id="rId5" Type="http://schemas.openxmlformats.org/officeDocument/2006/relationships/image" Target="media/Figure3.png"/><Relationship Id="rId6" Type="http://schemas.openxmlformats.org/officeDocument/2006/relationships/image" Target="media/Figure4.png"/><Relationship Id="rId7" Type="http://schemas.openxmlformats.org/officeDocument/2006/relationships/image" Target="media/Figure6.png"/><Relationship Id="rId8" Type="http://schemas.openxmlformats.org/officeDocument/2006/relationships/image" Target="media/Figure5.png"/><Relationship Id="rId9" Type="http://schemas.openxmlformats.org/officeDocument/2006/relationships/image" Target="media/Figure7.png"/></Relationships>
</file>