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36"/>
        </w:rPr>
        <w:t xml:space="preserve">Nomenclature</w:t>
      </w:r>
    </w:p>
    <w:p>
      <w:r>
        <w:rPr>
          <w:i/>
          <w:sz w:val="20"/>
        </w:rPr>
        <w:t xml:space="preserve">Manuscript: From Pure Fluids to Nanofluids: Extending ANFIS-Based Convergence Control to Dispersed Phase Heat Transfer</w:t>
      </w:r>
    </w:p>
    <w:p/>
    <w:p>
      <w:r>
        <w:rPr>
          <w:b/>
          <w:sz w:val="26"/>
        </w:rPr>
        <w:t xml:space="preserve">General Symbols (Roman)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00"/>
        <w:gridCol w:w="6500"/>
        <w:gridCol w:w="1800"/>
      </w:tblGrid>
      <w:tr>
        <w:tc>
          <w:tcPr>
            <w:tcW w:w="1500" w:type="dxa"/>
          </w:tcPr>
          <w:p>
            <w:r>
              <w:rPr>
                <w:b/>
              </w:rPr>
              <w:t xml:space="preserve">Symbol</w:t>
            </w:r>
          </w:p>
        </w:tc>
        <w:tc>
          <w:tcPr>
            <w:tcW w:w="6500" w:type="dxa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Unit</w:t>
            </w:r>
          </w:p>
        </w:tc>
      </w:tr>
      <w:tr>
        <w:tc>
          <w:tcPr>
            <w:tcW w:w="1500" w:type="dxa"/>
          </w:tcPr>
          <w:p>
            <w:r>
              <w:t xml:space="preserve">a_P</w:t>
            </w:r>
          </w:p>
        </w:tc>
        <w:tc>
          <w:tcPr>
            <w:tcW w:w="6500" w:type="dxa"/>
          </w:tcPr>
          <w:p>
            <w:r>
              <w:t xml:space="preserve">Coefficient of the central computational point in the discretized equation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a_nb</w:t>
            </w:r>
          </w:p>
        </w:tc>
        <w:tc>
          <w:tcPr>
            <w:tcW w:w="6500" w:type="dxa"/>
          </w:tcPr>
          <w:p>
            <w:r>
              <w:t xml:space="preserve">Coefficients of neighbouring nodes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b</w:t>
            </w:r>
          </w:p>
        </w:tc>
        <w:tc>
          <w:tcPr>
            <w:tcW w:w="6500" w:type="dxa"/>
          </w:tcPr>
          <w:p>
            <w:r>
              <w:t xml:space="preserve">Source term in the discretized equation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C_p</w:t>
            </w:r>
          </w:p>
        </w:tc>
        <w:tc>
          <w:tcPr>
            <w:tcW w:w="6500" w:type="dxa"/>
          </w:tcPr>
          <w:p>
            <w:r>
              <w:t xml:space="preserve">Specific heat capacity at constant pressure</w:t>
            </w:r>
          </w:p>
        </w:tc>
        <w:tc>
          <w:tcPr>
            <w:tcW w:w="1800" w:type="dxa"/>
          </w:tcPr>
          <w:p>
            <w:r>
              <w:t xml:space="preserve">J kg⁻¹ K⁻¹</w:t>
            </w:r>
          </w:p>
        </w:tc>
      </w:tr>
      <w:tr>
        <w:tc>
          <w:tcPr>
            <w:tcW w:w="1500" w:type="dxa"/>
          </w:tcPr>
          <w:p>
            <w:r>
              <w:t xml:space="preserve">d</w:t>
            </w:r>
          </w:p>
        </w:tc>
        <w:tc>
          <w:tcPr>
            <w:tcW w:w="6500" w:type="dxa"/>
          </w:tcPr>
          <w:p>
            <w:r>
              <w:t xml:space="preserve">Displacement vector (residual-based correction)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‖d‖</w:t>
            </w:r>
          </w:p>
        </w:tc>
        <w:tc>
          <w:tcPr>
            <w:tcW w:w="6500" w:type="dxa"/>
          </w:tcPr>
          <w:p>
            <w:r>
              <w:t xml:space="preserve">Euclidean (2-)norm of the displacement vector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D</w:t>
            </w:r>
          </w:p>
        </w:tc>
        <w:tc>
          <w:tcPr>
            <w:tcW w:w="6500" w:type="dxa"/>
          </w:tcPr>
          <w:p>
            <w:r>
              <w:t xml:space="preserve">Fluid domain / gap width (conjugate ratio Dk_f/Lk_w)</w:t>
            </w:r>
          </w:p>
        </w:tc>
        <w:tc>
          <w:tcPr>
            <w:tcW w:w="1800" w:type="dxa"/>
          </w:tcPr>
          <w:p>
            <w:r>
              <w:t xml:space="preserve">m</w:t>
            </w:r>
          </w:p>
        </w:tc>
      </w:tr>
      <w:tr>
        <w:tc>
          <w:tcPr>
            <w:tcW w:w="1500" w:type="dxa"/>
          </w:tcPr>
          <w:p>
            <w:r>
              <w:t xml:space="preserve">e_n</w:t>
            </w:r>
          </w:p>
        </w:tc>
        <w:tc>
          <w:tcPr>
            <w:tcW w:w="6500" w:type="dxa"/>
          </w:tcPr>
          <w:p>
            <w:r>
              <w:t xml:space="preserve">Error in tuning index at iteration n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g</w:t>
            </w:r>
          </w:p>
        </w:tc>
        <w:tc>
          <w:tcPr>
            <w:tcW w:w="6500" w:type="dxa"/>
          </w:tcPr>
          <w:p>
            <w:r>
              <w:t xml:space="preserve">Gravitational acceleration</w:t>
            </w:r>
          </w:p>
        </w:tc>
        <w:tc>
          <w:tcPr>
            <w:tcW w:w="1800" w:type="dxa"/>
          </w:tcPr>
          <w:p>
            <w:r>
              <w:t xml:space="preserve">m s⁻²</w:t>
            </w:r>
          </w:p>
        </w:tc>
      </w:tr>
      <w:tr>
        <w:tc>
          <w:tcPr>
            <w:tcW w:w="1500" w:type="dxa"/>
          </w:tcPr>
          <w:p>
            <w:r>
              <w:t xml:space="preserve">Gr</w:t>
            </w:r>
          </w:p>
        </w:tc>
        <w:tc>
          <w:tcPr>
            <w:tcW w:w="6500" w:type="dxa"/>
          </w:tcPr>
          <w:p>
            <w:r>
              <w:t xml:space="preserve">Grashof number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k</w:t>
            </w:r>
          </w:p>
        </w:tc>
        <w:tc>
          <w:tcPr>
            <w:tcW w:w="6500" w:type="dxa"/>
          </w:tcPr>
          <w:p>
            <w:r>
              <w:t xml:space="preserve">Thermal conductivity</w:t>
            </w:r>
          </w:p>
        </w:tc>
        <w:tc>
          <w:tcPr>
            <w:tcW w:w="1800" w:type="dxa"/>
          </w:tcPr>
          <w:p>
            <w:r>
              <w:t xml:space="preserve">W m⁻¹ K⁻¹</w:t>
            </w:r>
          </w:p>
        </w:tc>
      </w:tr>
      <w:tr>
        <w:tc>
          <w:tcPr>
            <w:tcW w:w="1500" w:type="dxa"/>
          </w:tcPr>
          <w:p>
            <w:r>
              <w:t xml:space="preserve">L</w:t>
            </w:r>
          </w:p>
        </w:tc>
        <w:tc>
          <w:tcPr>
            <w:tcW w:w="6500" w:type="dxa"/>
          </w:tcPr>
          <w:p>
            <w:r>
              <w:t xml:space="preserve">Solid wall thickness (conjugate ratio Dk_f/Lk_w)</w:t>
            </w:r>
          </w:p>
        </w:tc>
        <w:tc>
          <w:tcPr>
            <w:tcW w:w="1800" w:type="dxa"/>
          </w:tcPr>
          <w:p>
            <w:r>
              <w:t xml:space="preserve">m</w:t>
            </w:r>
          </w:p>
        </w:tc>
      </w:tr>
      <w:tr>
        <w:tc>
          <w:tcPr>
            <w:tcW w:w="1500" w:type="dxa"/>
          </w:tcPr>
          <w:p>
            <w:r>
              <w:t xml:space="preserve">Nu</w:t>
            </w:r>
          </w:p>
        </w:tc>
        <w:tc>
          <w:tcPr>
            <w:tcW w:w="6500" w:type="dxa"/>
          </w:tcPr>
          <w:p>
            <w:r>
              <w:t xml:space="preserve">Nusselt number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P</w:t>
            </w:r>
          </w:p>
        </w:tc>
        <w:tc>
          <w:tcPr>
            <w:tcW w:w="6500" w:type="dxa"/>
          </w:tcPr>
          <w:p>
            <w:r>
              <w:t xml:space="preserve">Pressure</w:t>
            </w:r>
          </w:p>
        </w:tc>
        <w:tc>
          <w:tcPr>
            <w:tcW w:w="1800" w:type="dxa"/>
          </w:tcPr>
          <w:p>
            <w:r>
              <w:t xml:space="preserve">Pa</w:t>
            </w:r>
          </w:p>
        </w:tc>
      </w:tr>
      <w:tr>
        <w:tc>
          <w:tcPr>
            <w:tcW w:w="1500" w:type="dxa"/>
          </w:tcPr>
          <w:p>
            <w:r>
              <w:t xml:space="preserve">Pe</w:t>
            </w:r>
          </w:p>
        </w:tc>
        <w:tc>
          <w:tcPr>
            <w:tcW w:w="6500" w:type="dxa"/>
          </w:tcPr>
          <w:p>
            <w:r>
              <w:t xml:space="preserve">Péclet number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Ra</w:t>
            </w:r>
          </w:p>
        </w:tc>
        <w:tc>
          <w:tcPr>
            <w:tcW w:w="6500" w:type="dxa"/>
          </w:tcPr>
          <w:p>
            <w:r>
              <w:t xml:space="preserve">Rayleigh number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Re</w:t>
            </w:r>
          </w:p>
        </w:tc>
        <w:tc>
          <w:tcPr>
            <w:tcW w:w="6500" w:type="dxa"/>
          </w:tcPr>
          <w:p>
            <w:r>
              <w:t xml:space="preserve">Reynolds number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T</w:t>
            </w:r>
          </w:p>
        </w:tc>
        <w:tc>
          <w:tcPr>
            <w:tcW w:w="6500" w:type="dxa"/>
          </w:tcPr>
          <w:p>
            <w:r>
              <w:t xml:space="preserve">Temperature</w:t>
            </w:r>
          </w:p>
        </w:tc>
        <w:tc>
          <w:tcPr>
            <w:tcW w:w="1800" w:type="dxa"/>
          </w:tcPr>
          <w:p>
            <w:r>
              <w:t xml:space="preserve">K</w:t>
            </w:r>
          </w:p>
        </w:tc>
      </w:tr>
      <w:tr>
        <w:tc>
          <w:tcPr>
            <w:tcW w:w="1500" w:type="dxa"/>
          </w:tcPr>
          <w:p>
            <w:r>
              <w:t xml:space="preserve">T_c</w:t>
            </w:r>
          </w:p>
        </w:tc>
        <w:tc>
          <w:tcPr>
            <w:tcW w:w="6500" w:type="dxa"/>
          </w:tcPr>
          <w:p>
            <w:r>
              <w:t xml:space="preserve">Cold-wall temperature</w:t>
            </w:r>
          </w:p>
        </w:tc>
        <w:tc>
          <w:tcPr>
            <w:tcW w:w="1800" w:type="dxa"/>
          </w:tcPr>
          <w:p>
            <w:r>
              <w:t xml:space="preserve">K</w:t>
            </w:r>
          </w:p>
        </w:tc>
      </w:tr>
      <w:tr>
        <w:tc>
          <w:tcPr>
            <w:tcW w:w="1500" w:type="dxa"/>
          </w:tcPr>
          <w:p>
            <w:r>
              <w:t xml:space="preserve">T_h</w:t>
            </w:r>
          </w:p>
        </w:tc>
        <w:tc>
          <w:tcPr>
            <w:tcW w:w="6500" w:type="dxa"/>
          </w:tcPr>
          <w:p>
            <w:r>
              <w:t xml:space="preserve">Hot-wall temperature</w:t>
            </w:r>
          </w:p>
        </w:tc>
        <w:tc>
          <w:tcPr>
            <w:tcW w:w="1800" w:type="dxa"/>
          </w:tcPr>
          <w:p>
            <w:r>
              <w:t xml:space="preserve">K</w:t>
            </w:r>
          </w:p>
        </w:tc>
      </w:tr>
      <w:tr>
        <w:tc>
          <w:tcPr>
            <w:tcW w:w="1500" w:type="dxa"/>
          </w:tcPr>
          <w:p>
            <w:r>
              <w:t xml:space="preserve">u</w:t>
            </w:r>
          </w:p>
        </w:tc>
        <w:tc>
          <w:tcPr>
            <w:tcW w:w="6500" w:type="dxa"/>
          </w:tcPr>
          <w:p>
            <w:r>
              <w:t xml:space="preserve">Velocity component in x-direction</w:t>
            </w:r>
          </w:p>
        </w:tc>
        <w:tc>
          <w:tcPr>
            <w:tcW w:w="1800" w:type="dxa"/>
          </w:tcPr>
          <w:p>
            <w:r>
              <w:t xml:space="preserve">m s⁻¹</w:t>
            </w:r>
          </w:p>
        </w:tc>
      </w:tr>
      <w:tr>
        <w:tc>
          <w:tcPr>
            <w:tcW w:w="1500" w:type="dxa"/>
          </w:tcPr>
          <w:p>
            <w:r>
              <w:t xml:space="preserve">U</w:t>
            </w:r>
          </w:p>
        </w:tc>
        <w:tc>
          <w:tcPr>
            <w:tcW w:w="6500" w:type="dxa"/>
          </w:tcPr>
          <w:p>
            <w:r>
              <w:t xml:space="preserve">Lid (top-wall) velocity</w:t>
            </w:r>
          </w:p>
        </w:tc>
        <w:tc>
          <w:tcPr>
            <w:tcW w:w="1800" w:type="dxa"/>
          </w:tcPr>
          <w:p>
            <w:r>
              <w:t xml:space="preserve">m s⁻¹</w:t>
            </w:r>
          </w:p>
        </w:tc>
      </w:tr>
      <w:tr>
        <w:tc>
          <w:tcPr>
            <w:tcW w:w="1500" w:type="dxa"/>
          </w:tcPr>
          <w:p>
            <w:r>
              <w:t xml:space="preserve">v</w:t>
            </w:r>
          </w:p>
        </w:tc>
        <w:tc>
          <w:tcPr>
            <w:tcW w:w="6500" w:type="dxa"/>
          </w:tcPr>
          <w:p>
            <w:r>
              <w:t xml:space="preserve">Velocity component in y-direction</w:t>
            </w:r>
          </w:p>
        </w:tc>
        <w:tc>
          <w:tcPr>
            <w:tcW w:w="1800" w:type="dxa"/>
          </w:tcPr>
          <w:p>
            <w:r>
              <w:t xml:space="preserve">m s⁻¹</w:t>
            </w:r>
          </w:p>
        </w:tc>
      </w:tr>
      <w:tr>
        <w:tc>
          <w:tcPr>
            <w:tcW w:w="1500" w:type="dxa"/>
          </w:tcPr>
          <w:p>
            <w:r>
              <w:t xml:space="preserve">x, y</w:t>
            </w:r>
          </w:p>
        </w:tc>
        <w:tc>
          <w:tcPr>
            <w:tcW w:w="6500" w:type="dxa"/>
          </w:tcPr>
          <w:p>
            <w:r>
              <w:t xml:space="preserve">Cartesian coordinates</w:t>
            </w:r>
          </w:p>
        </w:tc>
        <w:tc>
          <w:tcPr>
            <w:tcW w:w="1800" w:type="dxa"/>
          </w:tcPr>
          <w:p>
            <w:r>
              <w:t xml:space="preserve">m</w:t>
            </w:r>
          </w:p>
        </w:tc>
      </w:tr>
    </w:tbl>
    <w:p/>
    <w:p>
      <w:r>
        <w:rPr>
          <w:b/>
          <w:sz w:val="26"/>
        </w:rPr>
        <w:t xml:space="preserve">Greek Symbols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00"/>
        <w:gridCol w:w="6500"/>
        <w:gridCol w:w="1800"/>
      </w:tblGrid>
      <w:tr>
        <w:tc>
          <w:tcPr>
            <w:tcW w:w="1500" w:type="dxa"/>
          </w:tcPr>
          <w:p>
            <w:r>
              <w:rPr>
                <w:b/>
              </w:rPr>
              <w:t xml:space="preserve">Symbol</w:t>
            </w:r>
          </w:p>
        </w:tc>
        <w:tc>
          <w:tcPr>
            <w:tcW w:w="6500" w:type="dxa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Unit</w:t>
            </w:r>
          </w:p>
        </w:tc>
      </w:tr>
      <w:tr>
        <w:tc>
          <w:tcPr>
            <w:tcW w:w="1500" w:type="dxa"/>
          </w:tcPr>
          <w:p>
            <w:r>
              <w:t xml:space="preserve">α</w:t>
            </w:r>
          </w:p>
        </w:tc>
        <w:tc>
          <w:tcPr>
            <w:tcW w:w="6500" w:type="dxa"/>
          </w:tcPr>
          <w:p>
            <w:r>
              <w:t xml:space="preserve">Under-relaxation factor (0 &lt; α ≤ 1)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α₀</w:t>
            </w:r>
          </w:p>
        </w:tc>
        <w:tc>
          <w:tcPr>
            <w:tcW w:w="6500" w:type="dxa"/>
          </w:tcPr>
          <w:p>
            <w:r>
              <w:t xml:space="preserve">Initial relaxation factor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Δα</w:t>
            </w:r>
          </w:p>
        </w:tc>
        <w:tc>
          <w:tcPr>
            <w:tcW w:w="6500" w:type="dxa"/>
          </w:tcPr>
          <w:p>
            <w:r>
              <w:t xml:space="preserve">Change in relaxation factor (ANFIS output)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β</w:t>
            </w:r>
          </w:p>
        </w:tc>
        <w:tc>
          <w:tcPr>
            <w:tcW w:w="6500" w:type="dxa"/>
          </w:tcPr>
          <w:p>
            <w:r>
              <w:t xml:space="preserve">Thermal expansion coefficient</w:t>
            </w:r>
          </w:p>
        </w:tc>
        <w:tc>
          <w:tcPr>
            <w:tcW w:w="1800" w:type="dxa"/>
          </w:tcPr>
          <w:p>
            <w:r>
              <w:t xml:space="preserve">K⁻¹</w:t>
            </w:r>
          </w:p>
        </w:tc>
      </w:tr>
      <w:tr>
        <w:tc>
          <w:tcPr>
            <w:tcW w:w="1500" w:type="dxa"/>
          </w:tcPr>
          <w:p>
            <w:r>
              <w:t xml:space="preserve">γ_n</w:t>
            </w:r>
          </w:p>
        </w:tc>
        <w:tc>
          <w:tcPr>
            <w:tcW w:w="6500" w:type="dxa"/>
          </w:tcPr>
          <w:p>
            <w:r>
              <w:t xml:space="preserve">Tuning index at iteration n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Δe_n</w:t>
            </w:r>
          </w:p>
        </w:tc>
        <w:tc>
          <w:tcPr>
            <w:tcW w:w="6500" w:type="dxa"/>
          </w:tcPr>
          <w:p>
            <w:r>
              <w:t xml:space="preserve">Change in error at iteration n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μ</w:t>
            </w:r>
          </w:p>
        </w:tc>
        <w:tc>
          <w:tcPr>
            <w:tcW w:w="6500" w:type="dxa"/>
          </w:tcPr>
          <w:p>
            <w:r>
              <w:t xml:space="preserve">Dynamic viscosity</w:t>
            </w:r>
          </w:p>
        </w:tc>
        <w:tc>
          <w:tcPr>
            <w:tcW w:w="1800" w:type="dxa"/>
          </w:tcPr>
          <w:p>
            <w:r>
              <w:t xml:space="preserve">Pa s</w:t>
            </w:r>
          </w:p>
        </w:tc>
      </w:tr>
      <w:tr>
        <w:tc>
          <w:tcPr>
            <w:tcW w:w="1500" w:type="dxa"/>
          </w:tcPr>
          <w:p>
            <w:r>
              <w:t xml:space="preserve">ρ</w:t>
            </w:r>
          </w:p>
        </w:tc>
        <w:tc>
          <w:tcPr>
            <w:tcW w:w="6500" w:type="dxa"/>
          </w:tcPr>
          <w:p>
            <w:r>
              <w:t xml:space="preserve">Density</w:t>
            </w:r>
          </w:p>
        </w:tc>
        <w:tc>
          <w:tcPr>
            <w:tcW w:w="1800" w:type="dxa"/>
          </w:tcPr>
          <w:p>
            <w:r>
              <w:t xml:space="preserve">kg m⁻³</w:t>
            </w:r>
          </w:p>
        </w:tc>
      </w:tr>
      <w:tr>
        <w:tc>
          <w:tcPr>
            <w:tcW w:w="1500" w:type="dxa"/>
          </w:tcPr>
          <w:p>
            <w:r>
              <w:t xml:space="preserve">ϕ</w:t>
            </w:r>
          </w:p>
        </w:tc>
        <w:tc>
          <w:tcPr>
            <w:tcW w:w="6500" w:type="dxa"/>
          </w:tcPr>
          <w:p>
            <w:r>
              <w:t xml:space="preserve">Nanoparticle volume fraction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φ_P</w:t>
            </w:r>
          </w:p>
        </w:tc>
        <w:tc>
          <w:tcPr>
            <w:tcW w:w="6500" w:type="dxa"/>
          </w:tcPr>
          <w:p>
            <w:r>
              <w:t xml:space="preserve">Generic transported variable at point P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  <w:tr>
        <w:tc>
          <w:tcPr>
            <w:tcW w:w="1500" w:type="dxa"/>
          </w:tcPr>
          <w:p>
            <w:r>
              <w:t xml:space="preserve">φ_nb</w:t>
            </w:r>
          </w:p>
        </w:tc>
        <w:tc>
          <w:tcPr>
            <w:tcW w:w="6500" w:type="dxa"/>
          </w:tcPr>
          <w:p>
            <w:r>
              <w:t xml:space="preserve">Generic transported variable at neighbouring nodes</w:t>
            </w:r>
          </w:p>
        </w:tc>
        <w:tc>
          <w:tcPr>
            <w:tcW w:w="1800" w:type="dxa"/>
          </w:tcPr>
          <w:p>
            <w:r>
              <w:t xml:space="preserve">–</w:t>
            </w:r>
          </w:p>
        </w:tc>
      </w:tr>
    </w:tbl>
    <w:p/>
    <w:p>
      <w:r>
        <w:rPr>
          <w:b/>
          <w:sz w:val="26"/>
        </w:rPr>
        <w:t xml:space="preserve">Subscripts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00"/>
        <w:gridCol w:w="8000"/>
      </w:tblGrid>
      <w:tr>
        <w:tc>
          <w:tcPr>
            <w:tcW w:w="1800" w:type="dxa"/>
          </w:tcPr>
          <w:p>
            <w:r>
              <w:rPr>
                <w:b/>
              </w:rPr>
              <w:t xml:space="preserve">Subscript</w:t>
            </w:r>
          </w:p>
        </w:tc>
        <w:tc>
          <w:tcPr>
            <w:tcW w:w="80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c</w:t>
            </w:r>
          </w:p>
        </w:tc>
        <w:tc>
          <w:tcPr>
            <w:tcW w:w="8000" w:type="dxa"/>
          </w:tcPr>
          <w:p>
            <w:r>
              <w:t xml:space="preserve">Cold (wall)</w:t>
            </w:r>
          </w:p>
        </w:tc>
      </w:tr>
      <w:tr>
        <w:tc>
          <w:tcPr>
            <w:tcW w:w="1800" w:type="dxa"/>
          </w:tcPr>
          <w:p>
            <w:r>
              <w:t xml:space="preserve">f</w:t>
            </w:r>
          </w:p>
        </w:tc>
        <w:tc>
          <w:tcPr>
            <w:tcW w:w="8000" w:type="dxa"/>
          </w:tcPr>
          <w:p>
            <w:r>
              <w:t xml:space="preserve">Base fluid</w:t>
            </w:r>
          </w:p>
        </w:tc>
      </w:tr>
      <w:tr>
        <w:tc>
          <w:tcPr>
            <w:tcW w:w="1800" w:type="dxa"/>
          </w:tcPr>
          <w:p>
            <w:r>
              <w:t xml:space="preserve">h</w:t>
            </w:r>
          </w:p>
        </w:tc>
        <w:tc>
          <w:tcPr>
            <w:tcW w:w="8000" w:type="dxa"/>
          </w:tcPr>
          <w:p>
            <w:r>
              <w:t xml:space="preserve">Hot (wall)</w:t>
            </w:r>
          </w:p>
        </w:tc>
      </w:tr>
      <w:tr>
        <w:tc>
          <w:tcPr>
            <w:tcW w:w="1800" w:type="dxa"/>
          </w:tcPr>
          <w:p>
            <w:r>
              <w:t xml:space="preserve">n</w:t>
            </w:r>
          </w:p>
        </w:tc>
        <w:tc>
          <w:tcPr>
            <w:tcW w:w="8000" w:type="dxa"/>
          </w:tcPr>
          <w:p>
            <w:r>
              <w:t xml:space="preserve">Current iteration</w:t>
            </w:r>
          </w:p>
        </w:tc>
      </w:tr>
      <w:tr>
        <w:tc>
          <w:tcPr>
            <w:tcW w:w="1800" w:type="dxa"/>
          </w:tcPr>
          <w:p>
            <w:r>
              <w:t xml:space="preserve">n−1</w:t>
            </w:r>
          </w:p>
        </w:tc>
        <w:tc>
          <w:tcPr>
            <w:tcW w:w="8000" w:type="dxa"/>
          </w:tcPr>
          <w:p>
            <w:r>
              <w:t xml:space="preserve">Previous iteration</w:t>
            </w:r>
          </w:p>
        </w:tc>
      </w:tr>
      <w:tr>
        <w:tc>
          <w:tcPr>
            <w:tcW w:w="1800" w:type="dxa"/>
          </w:tcPr>
          <w:p>
            <w:r>
              <w:t xml:space="preserve">n+1</w:t>
            </w:r>
          </w:p>
        </w:tc>
        <w:tc>
          <w:tcPr>
            <w:tcW w:w="8000" w:type="dxa"/>
          </w:tcPr>
          <w:p>
            <w:r>
              <w:t xml:space="preserve">Next iteration</w:t>
            </w:r>
          </w:p>
        </w:tc>
      </w:tr>
      <w:tr>
        <w:tc>
          <w:tcPr>
            <w:tcW w:w="1800" w:type="dxa"/>
          </w:tcPr>
          <w:p>
            <w:r>
              <w:t xml:space="preserve">nb</w:t>
            </w:r>
          </w:p>
        </w:tc>
        <w:tc>
          <w:tcPr>
            <w:tcW w:w="8000" w:type="dxa"/>
          </w:tcPr>
          <w:p>
            <w:r>
              <w:t xml:space="preserve">Neighbouring node</w:t>
            </w:r>
          </w:p>
        </w:tc>
      </w:tr>
      <w:tr>
        <w:tc>
          <w:tcPr>
            <w:tcW w:w="1800" w:type="dxa"/>
          </w:tcPr>
          <w:p>
            <w:r>
              <w:t xml:space="preserve">nf</w:t>
            </w:r>
          </w:p>
        </w:tc>
        <w:tc>
          <w:tcPr>
            <w:tcW w:w="8000" w:type="dxa"/>
          </w:tcPr>
          <w:p>
            <w:r>
              <w:t xml:space="preserve">Nanofluid (effective property)</w:t>
            </w:r>
          </w:p>
        </w:tc>
      </w:tr>
      <w:tr>
        <w:tc>
          <w:tcPr>
            <w:tcW w:w="1800" w:type="dxa"/>
          </w:tcPr>
          <w:p>
            <w:r>
              <w:t xml:space="preserve">P</w:t>
            </w:r>
          </w:p>
        </w:tc>
        <w:tc>
          <w:tcPr>
            <w:tcW w:w="8000" w:type="dxa"/>
          </w:tcPr>
          <w:p>
            <w:r>
              <w:t xml:space="preserve">Central computational point</w:t>
            </w:r>
          </w:p>
        </w:tc>
      </w:tr>
      <w:tr>
        <w:tc>
          <w:tcPr>
            <w:tcW w:w="1800" w:type="dxa"/>
          </w:tcPr>
          <w:p>
            <w:r>
              <w:t xml:space="preserve">s</w:t>
            </w:r>
          </w:p>
        </w:tc>
        <w:tc>
          <w:tcPr>
            <w:tcW w:w="8000" w:type="dxa"/>
          </w:tcPr>
          <w:p>
            <w:r>
              <w:t xml:space="preserve">Solid nanoparticle</w:t>
            </w:r>
          </w:p>
        </w:tc>
      </w:tr>
    </w:tbl>
    <w:p/>
    <w:p>
      <w:r>
        <w:rPr>
          <w:b/>
          <w:sz w:val="26"/>
        </w:rPr>
        <w:t xml:space="preserve">Superscripts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00"/>
        <w:gridCol w:w="8000"/>
      </w:tblGrid>
      <w:tr>
        <w:tc>
          <w:tcPr>
            <w:tcW w:w="1800" w:type="dxa"/>
          </w:tcPr>
          <w:p>
            <w:r>
              <w:rPr>
                <w:b/>
              </w:rPr>
              <w:t xml:space="preserve">Superscript</w:t>
            </w:r>
          </w:p>
        </w:tc>
        <w:tc>
          <w:tcPr>
            <w:tcW w:w="80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*</w:t>
            </w:r>
          </w:p>
        </w:tc>
        <w:tc>
          <w:tcPr>
            <w:tcW w:w="8000" w:type="dxa"/>
          </w:tcPr>
          <w:p>
            <w:r>
              <w:t xml:space="preserve">Updated (under-relaxed) value of a variable</w:t>
            </w:r>
          </w:p>
        </w:tc>
      </w:tr>
      <w:tr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8000" w:type="dxa"/>
          </w:tcPr>
          <w:p>
            <w:r>
              <w:t xml:space="preserve">Second-order (used in second derivatives, e.g. ∂²u/∂x²)</w:t>
            </w:r>
          </w:p>
        </w:tc>
      </w:tr>
    </w:tbl>
    <w:p/>
    <w:p>
      <w:r>
        <w:rPr>
          <w:b/>
          <w:sz w:val="26"/>
        </w:rPr>
        <w:t xml:space="preserve">Abbreviations / Acronyms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00"/>
        <w:gridCol w:w="8000"/>
      </w:tblGrid>
      <w:tr>
        <w:tc>
          <w:tcPr>
            <w:tcW w:w="1800" w:type="dxa"/>
          </w:tcPr>
          <w:p>
            <w:r>
              <w:rPr>
                <w:b/>
              </w:rPr>
              <w:t xml:space="preserve">Acronym</w:t>
            </w:r>
          </w:p>
        </w:tc>
        <w:tc>
          <w:tcPr>
            <w:tcW w:w="8000" w:type="dxa"/>
          </w:tcPr>
          <w:p>
            <w:r>
              <w:rPr>
                <w:b/>
              </w:rPr>
              <w:t xml:space="preserve">Definition</w:t>
            </w:r>
          </w:p>
        </w:tc>
      </w:tr>
      <w:tr>
        <w:tc>
          <w:tcPr>
            <w:tcW w:w="1800" w:type="dxa"/>
          </w:tcPr>
          <w:p>
            <w:r>
              <w:t xml:space="preserve">ANFIS</w:t>
            </w:r>
          </w:p>
        </w:tc>
        <w:tc>
          <w:tcPr>
            <w:tcW w:w="8000" w:type="dxa"/>
          </w:tcPr>
          <w:p>
            <w:r>
              <w:t xml:space="preserve">Adaptive-Network-Based Fuzzy Inference System</w:t>
            </w:r>
          </w:p>
        </w:tc>
      </w:tr>
      <w:tr>
        <w:tc>
          <w:tcPr>
            <w:tcW w:w="1800" w:type="dxa"/>
          </w:tcPr>
          <w:p>
            <w:r>
              <w:t xml:space="preserve">CFD</w:t>
            </w:r>
          </w:p>
        </w:tc>
        <w:tc>
          <w:tcPr>
            <w:tcW w:w="8000" w:type="dxa"/>
          </w:tcPr>
          <w:p>
            <w:r>
              <w:t xml:space="preserve">Computational Fluid Dynamics</w:t>
            </w:r>
          </w:p>
        </w:tc>
      </w:tr>
      <w:tr>
        <w:tc>
          <w:tcPr>
            <w:tcW w:w="1800" w:type="dxa"/>
          </w:tcPr>
          <w:p>
            <w:r>
              <w:t xml:space="preserve">CHT</w:t>
            </w:r>
          </w:p>
        </w:tc>
        <w:tc>
          <w:tcPr>
            <w:tcW w:w="8000" w:type="dxa"/>
          </w:tcPr>
          <w:p>
            <w:r>
              <w:t xml:space="preserve">Conjugate Heat Transfer</w:t>
            </w:r>
          </w:p>
        </w:tc>
      </w:tr>
      <w:tr>
        <w:tc>
          <w:tcPr>
            <w:tcW w:w="1800" w:type="dxa"/>
          </w:tcPr>
          <w:p>
            <w:r>
              <w:t xml:space="preserve">CPU</w:t>
            </w:r>
          </w:p>
        </w:tc>
        <w:tc>
          <w:tcPr>
            <w:tcW w:w="8000" w:type="dxa"/>
          </w:tcPr>
          <w:p>
            <w:r>
              <w:t xml:space="preserve">Central Processing Unit</w:t>
            </w:r>
          </w:p>
        </w:tc>
      </w:tr>
      <w:tr>
        <w:tc>
          <w:tcPr>
            <w:tcW w:w="1800" w:type="dxa"/>
          </w:tcPr>
          <w:p>
            <w:r>
              <w:t xml:space="preserve">SIMPLER</w:t>
            </w:r>
          </w:p>
        </w:tc>
        <w:tc>
          <w:tcPr>
            <w:tcW w:w="8000" w:type="dxa"/>
          </w:tcPr>
          <w:p>
            <w:r>
              <w:t xml:space="preserve">Semi-Implicit Method for Pressure-Linked Equations Revised</w:t>
            </w:r>
          </w:p>
        </w:tc>
      </w:tr>
      <w:tr>
        <w:tc>
          <w:tcPr>
            <w:tcW w:w="1800" w:type="dxa"/>
          </w:tcPr>
          <w:p>
            <w:r>
              <w:t xml:space="preserve">SOR</w:t>
            </w:r>
          </w:p>
        </w:tc>
        <w:tc>
          <w:tcPr>
            <w:tcW w:w="8000" w:type="dxa"/>
          </w:tcPr>
          <w:p>
            <w:r>
              <w:t xml:space="preserve">Successive Over-Relaxation</w:t>
            </w:r>
          </w:p>
        </w:tc>
      </w:tr>
    </w:tbl>
    <w:p/>
    <w:p>
      <w:r>
        <w:rPr>
          <w:b/>
          <w:sz w:val="26"/>
        </w:rPr>
        <w:t xml:space="preserve">Notes</w:t>
      </w:r>
    </w:p>
    <w:p>
      <w:r>
        <w:t xml:space="preserve">1. The symbol φ (phi) is recommended for the generic transported variable, while ϕ (or φᵥ) is recommended for the nanoparticle volume fraction, to avoid overloading a single glyph across Eqs. (5)–(11).</w:t>
      </w:r>
    </w:p>
    <w:p>
      <w:r>
        <w:t xml:space="preserve">2. The conjugate conduction–convection ratio appears as both Dk_f/Lk_w (Sec. 2.5) and Lk_w/Dk_f (Sec. 3.3); recommend using one consistent form throughout.</w:t>
      </w:r>
    </w:p>
    <w:sectPr>
      <w:pgSz w:w="12240" w:h="15840"/>
      <w:pgMar w:top="1440" w:right="1440" w:bottom="1440" w:left="1440" w:header="720" w:footer="720" w:gutter="0"/>
    </w:sectPr>
  </w:body>
</w:document>
</file>