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28"/>
          <w:szCs w:val="28"/>
        </w:rPr>
        <w:t xml:space="preserve">Nomenclature</w:t>
      </w:r>
    </w:p>
    <w:tbl>
      <w:tblPr>
        <w:tblStyle w:val="TableGrid"/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600"/>
        <w:gridCol w:w="5600"/>
        <w:gridCol w:w="2160"/>
      </w:tblGrid>
      <w:tr>
        <w:tc>
          <w:tcPr>
            <w:tcW w:w="16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Symbol</w:t>
            </w:r>
          </w:p>
        </w:tc>
        <w:tc>
          <w:tcPr>
            <w:tcW w:w="560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Description</w:t>
            </w:r>
          </w:p>
        </w:tc>
        <w:tc>
          <w:tcPr>
            <w:tcW w:w="2160" w:type="dxa"/>
            <w:shd w:val="clear" w:color="auto" w:fill="D9E2F3"/>
          </w:tcPr>
          <w:p>
            <w:pPr>
              <w:spacing w:after="0"/>
            </w:pPr>
            <w:r>
              <w:rPr>
                <w:b/>
                <w:sz w:val="20"/>
                <w:szCs w:val="20"/>
              </w:rPr>
              <w:t xml:space="preserve">Unit</w:t>
            </w:r>
          </w:p>
        </w:tc>
      </w:tr>
      <w:tr>
        <w:tc>
          <w:tcPr>
            <w:tcW w:w="1600" w:type="dxa"/>
          </w:tcPr>
          <w:p>
            <w:pPr>
              <w:spacing w:after="0"/>
            </w:pPr>
            <w:r>
              <w:rPr>
                <w:i/>
                <w:sz w:val="20"/>
                <w:szCs w:val="20"/>
              </w:rPr>
              <w:t xml:space="preserve">A</w:t>
            </w:r>
          </w:p>
        </w:tc>
        <w:tc>
          <w:tcPr>
            <w:tcW w:w="56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heat transfer surface area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m²</w:t>
            </w:r>
          </w:p>
        </w:tc>
      </w:tr>
      <w:tr>
        <w:tc>
          <w:tcPr>
            <w:tcW w:w="1600" w:type="dxa"/>
          </w:tcPr>
          <w:p>
            <w:pPr>
              <w:spacing w:after="0"/>
            </w:pPr>
            <w:r>
              <w:rPr>
                <w:i/>
                <w:sz w:val="20"/>
                <w:szCs w:val="20"/>
              </w:rPr>
              <w:t xml:space="preserve">c</w:t>
            </w:r>
            <w:r>
              <w:rPr>
                <w:i/>
                <w:vertAlign w:val="subscript"/>
                <w:sz w:val="20"/>
                <w:szCs w:val="20"/>
              </w:rPr>
              <w:t xml:space="preserve">p</w:t>
            </w:r>
          </w:p>
        </w:tc>
        <w:tc>
          <w:tcPr>
            <w:tcW w:w="56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specific heat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J kg⁻¹ K⁻¹</w:t>
            </w:r>
          </w:p>
        </w:tc>
      </w:tr>
      <w:tr>
        <w:tc>
          <w:tcPr>
            <w:tcW w:w="1600" w:type="dxa"/>
          </w:tcPr>
          <w:p>
            <w:pPr>
              <w:spacing w:after="0"/>
            </w:pPr>
            <w:r>
              <w:rPr>
                <w:i/>
                <w:sz w:val="20"/>
                <w:szCs w:val="20"/>
              </w:rPr>
              <w:t xml:space="preserve">D</w:t>
            </w:r>
            <w:r>
              <w:rPr>
                <w:i/>
                <w:vertAlign w:val="subscript"/>
                <w:sz w:val="20"/>
                <w:szCs w:val="20"/>
              </w:rPr>
              <w:t xml:space="preserve">h</w:t>
            </w:r>
          </w:p>
        </w:tc>
        <w:tc>
          <w:tcPr>
            <w:tcW w:w="56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hydraulic diameter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</w:t>
            </w:r>
          </w:p>
        </w:tc>
      </w:tr>
      <w:tr>
        <w:tc>
          <w:tcPr>
            <w:tcW w:w="1600" w:type="dxa"/>
          </w:tcPr>
          <w:p>
            <w:pPr>
              <w:spacing w:after="0"/>
            </w:pPr>
            <w:r>
              <w:rPr>
                <w:i/>
                <w:sz w:val="20"/>
                <w:szCs w:val="20"/>
              </w:rPr>
              <w:t xml:space="preserve">h</w:t>
            </w:r>
          </w:p>
        </w:tc>
        <w:tc>
          <w:tcPr>
            <w:tcW w:w="56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heat transfer coefficient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 m⁻² K⁻¹</w:t>
            </w:r>
          </w:p>
        </w:tc>
      </w:tr>
      <w:tr>
        <w:tc>
          <w:tcPr>
            <w:tcW w:w="1600" w:type="dxa"/>
          </w:tcPr>
          <w:p>
            <w:pPr>
              <w:spacing w:after="0"/>
            </w:pPr>
            <w:r>
              <w:rPr>
                <w:i/>
                <w:sz w:val="20"/>
                <w:szCs w:val="20"/>
              </w:rPr>
              <w:t xml:space="preserve">k</w:t>
            </w:r>
          </w:p>
        </w:tc>
        <w:tc>
          <w:tcPr>
            <w:tcW w:w="56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thermal conductivity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 m⁻¹ K⁻¹</w:t>
            </w:r>
          </w:p>
        </w:tc>
      </w:tr>
      <w:tr>
        <w:tc>
          <w:tcPr>
            <w:tcW w:w="1600" w:type="dxa"/>
          </w:tcPr>
          <w:p>
            <w:pPr>
              <w:spacing w:after="0"/>
            </w:pPr>
            <w:r>
              <w:rPr>
                <w:i/>
                <w:sz w:val="20"/>
                <w:szCs w:val="20"/>
              </w:rPr>
              <w:t xml:space="preserve">ṅ</w:t>
            </w:r>
          </w:p>
        </w:tc>
        <w:tc>
          <w:tcPr>
            <w:tcW w:w="56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mass flow rate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kg s⁻¹</w:t>
            </w:r>
          </w:p>
        </w:tc>
      </w:tr>
      <w:tr>
        <w:tc>
          <w:tcPr>
            <w:tcW w:w="1600" w:type="dxa"/>
          </w:tcPr>
          <w:p>
            <w:pPr>
              <w:spacing w:after="0"/>
            </w:pPr>
            <w:r>
              <w:rPr>
                <w:i/>
                <w:sz w:val="20"/>
                <w:szCs w:val="20"/>
              </w:rPr>
              <w:t xml:space="preserve">N</w:t>
            </w:r>
          </w:p>
        </w:tc>
        <w:tc>
          <w:tcPr>
            <w:tcW w:w="56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number of samples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w="1600" w:type="dxa"/>
          </w:tcPr>
          <w:p>
            <w:pPr>
              <w:spacing w:after="0"/>
            </w:pPr>
            <w:r>
              <w:rPr>
                <w:i/>
                <w:sz w:val="20"/>
                <w:szCs w:val="20"/>
              </w:rPr>
              <w:t xml:space="preserve">Nu</w:t>
            </w:r>
          </w:p>
        </w:tc>
        <w:tc>
          <w:tcPr>
            <w:tcW w:w="56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Nusselt number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w="1600" w:type="dxa"/>
          </w:tcPr>
          <w:p>
            <w:pPr>
              <w:spacing w:after="0"/>
            </w:pPr>
            <w:r>
              <w:rPr>
                <w:i/>
                <w:sz w:val="20"/>
                <w:szCs w:val="20"/>
              </w:rPr>
              <w:t xml:space="preserve">Pr</w:t>
            </w:r>
          </w:p>
        </w:tc>
        <w:tc>
          <w:tcPr>
            <w:tcW w:w="56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Prandtl number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w="1600" w:type="dxa"/>
          </w:tcPr>
          <w:p>
            <w:pPr>
              <w:spacing w:after="0"/>
            </w:pPr>
            <w:r>
              <w:rPr>
                <w:i/>
                <w:sz w:val="20"/>
                <w:szCs w:val="20"/>
              </w:rPr>
              <w:t xml:space="preserve">Q</w:t>
            </w:r>
          </w:p>
        </w:tc>
        <w:tc>
          <w:tcPr>
            <w:tcW w:w="56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heat transfer rate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</w:t>
            </w:r>
          </w:p>
        </w:tc>
      </w:tr>
      <w:tr>
        <w:tc>
          <w:tcPr>
            <w:tcW w:w="1600" w:type="dxa"/>
          </w:tcPr>
          <w:p>
            <w:pPr>
              <w:spacing w:after="0"/>
            </w:pPr>
            <w:r>
              <w:rPr>
                <w:i/>
                <w:sz w:val="20"/>
                <w:szCs w:val="20"/>
              </w:rPr>
              <w:t xml:space="preserve">Re</w:t>
            </w:r>
          </w:p>
        </w:tc>
        <w:tc>
          <w:tcPr>
            <w:tcW w:w="56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Reynolds number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w="1600" w:type="dxa"/>
          </w:tcPr>
          <w:p>
            <w:pPr>
              <w:spacing w:after="0"/>
            </w:pPr>
            <w:r>
              <w:rPr>
                <w:i/>
                <w:sz w:val="20"/>
                <w:szCs w:val="20"/>
              </w:rPr>
              <w:t xml:space="preserve">T</w:t>
            </w:r>
          </w:p>
        </w:tc>
        <w:tc>
          <w:tcPr>
            <w:tcW w:w="56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temperature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</w:t>
            </w:r>
          </w:p>
        </w:tc>
      </w:tr>
      <w:tr>
        <w:tc>
          <w:tcPr>
            <w:tcW w:w="1600" w:type="dxa"/>
          </w:tcPr>
          <w:p>
            <w:pPr>
              <w:spacing w:after="0"/>
            </w:pPr>
            <w:r>
              <w:rPr>
                <w:i/>
                <w:sz w:val="20"/>
                <w:szCs w:val="20"/>
              </w:rPr>
              <w:t xml:space="preserve">U</w:t>
            </w:r>
          </w:p>
        </w:tc>
        <w:tc>
          <w:tcPr>
            <w:tcW w:w="56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velocity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m s⁻¹</w:t>
            </w:r>
          </w:p>
        </w:tc>
      </w:tr>
      <w:tr>
        <w:tc>
          <w:tcPr>
            <w:tcW w:w="1600" w:type="dxa"/>
          </w:tcPr>
          <w:p>
            <w:pPr>
              <w:spacing w:after="0"/>
            </w:pPr>
            <w:r>
              <w:rPr>
                <w:i/>
                <w:sz w:val="20"/>
                <w:szCs w:val="20"/>
              </w:rPr>
              <w:t xml:space="preserve">ε</w:t>
            </w:r>
          </w:p>
        </w:tc>
        <w:tc>
          <w:tcPr>
            <w:tcW w:w="56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radiator effectiveness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w="1600" w:type="dxa"/>
          </w:tcPr>
          <w:p>
            <w:pPr>
              <w:spacing w:after="0"/>
            </w:pPr>
            <w:r>
              <w:rPr>
                <w:i/>
                <w:sz w:val="20"/>
                <w:szCs w:val="20"/>
              </w:rPr>
              <w:t xml:space="preserve">φ</w:t>
            </w:r>
          </w:p>
        </w:tc>
        <w:tc>
          <w:tcPr>
            <w:tcW w:w="56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nanoparticle volume concentration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%</w:t>
            </w:r>
          </w:p>
        </w:tc>
      </w:tr>
      <w:tr>
        <w:tc>
          <w:tcPr>
            <w:tcW w:w="1600" w:type="dxa"/>
          </w:tcPr>
          <w:p>
            <w:pPr>
              <w:spacing w:after="0"/>
            </w:pPr>
            <w:r>
              <w:rPr>
                <w:i/>
                <w:sz w:val="20"/>
                <w:szCs w:val="20"/>
              </w:rPr>
              <w:t xml:space="preserve">μ</w:t>
            </w:r>
          </w:p>
        </w:tc>
        <w:tc>
          <w:tcPr>
            <w:tcW w:w="56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dynamic viscosity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kg m⁻¹ s⁻¹</w:t>
            </w:r>
          </w:p>
        </w:tc>
      </w:tr>
      <w:tr>
        <w:tc>
          <w:tcPr>
            <w:tcW w:w="1600" w:type="dxa"/>
          </w:tcPr>
          <w:p>
            <w:pPr>
              <w:spacing w:after="0"/>
            </w:pPr>
            <w:r>
              <w:rPr>
                <w:i/>
                <w:sz w:val="20"/>
                <w:szCs w:val="20"/>
              </w:rPr>
              <w:t xml:space="preserve">ρ</w:t>
            </w:r>
          </w:p>
        </w:tc>
        <w:tc>
          <w:tcPr>
            <w:tcW w:w="56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density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kg m⁻³</w:t>
            </w:r>
          </w:p>
        </w:tc>
      </w:tr>
      <w:tr>
        <w:tc>
          <w:tcPr>
            <w:tcW w:w="1600" w:type="dxa"/>
          </w:tcPr>
          <w:p>
            <w:pPr>
              <w:spacing w:after="0"/>
            </w:pPr>
            <w:r>
              <w:rPr>
                <w:i/>
                <w:sz w:val="20"/>
                <w:szCs w:val="20"/>
              </w:rPr>
              <w:t xml:space="preserve">ΔT</w:t>
            </w:r>
            <w:r>
              <w:rPr>
                <w:i/>
                <w:vertAlign w:val="subscript"/>
                <w:sz w:val="20"/>
                <w:szCs w:val="20"/>
              </w:rPr>
              <w:t xml:space="preserve">LMTD</w:t>
            </w:r>
          </w:p>
        </w:tc>
        <w:tc>
          <w:tcPr>
            <w:tcW w:w="560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log-mean temperature difference</w:t>
            </w:r>
          </w:p>
        </w:tc>
        <w:tc>
          <w:tcPr>
            <w:tcW w:w="2160" w:type="dxa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K</w:t>
            </w:r>
          </w:p>
        </w:tc>
      </w:tr>
    </w:tbl>
    <w:p/>
    <w:p>
      <w:pPr>
        <w:spacing w:after="120"/>
      </w:pPr>
      <w:r>
        <w:rPr>
          <w:b/>
          <w:sz w:val="22"/>
          <w:szCs w:val="22"/>
        </w:rPr>
        <w:t xml:space="preserve">Subscripts: </w:t>
      </w:r>
      <w:r>
        <w:rPr>
          <w:sz w:val="22"/>
          <w:szCs w:val="22"/>
        </w:rPr>
        <w:t xml:space="preserve">nf = nanofluid;  p = particles;  w = base fluid (water);  in = inlet;  out = outlet;  a = air;  c = coolant;  max = maximum;  min = minimum.</w:t>
      </w:r>
    </w:p>
    <w:p>
      <w:pPr>
        <w:spacing w:after="120"/>
      </w:pPr>
      <w:r>
        <w:rPr>
          <w:b/>
          <w:sz w:val="22"/>
          <w:szCs w:val="22"/>
        </w:rPr>
        <w:t xml:space="preserve">Abbreviations: </w:t>
      </w:r>
      <w:r>
        <w:rPr>
          <w:sz w:val="22"/>
          <w:szCs w:val="22"/>
        </w:rPr>
        <w:t xml:space="preserve">DIW = deionized water;  NF = nanofluid;  HNF = hybrid nanofluid;  ML = machine learning;  MLRR = Multiple Linear Ridge Regression;  PLSR = Partial Least Squares Regression;  MLP = Multi-Layer Perceptron;  SVR = Support Vector Regression;  AdaBoost (AB) = Adaptive Boosting;  RFR = Random Forest Regression.</w:t>
      </w: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hAnsi="Times New Roman"/>
      <w:sz w:val="22"/>
      <w:szCs w:val="22"/>
    </w:rPr>
    <w:pPr>
      <w:spacing w:after="120" w:line="276" w:lineRule="auto"/>
    </w:p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</Relationships>
</file>