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AI-Driven Prediction of Biodiversity Loss</w:t>
      </w:r>
    </w:p>
    <w:p>
      <w:pPr>
        <w:pStyle w:val="Normal"/>
      </w:pPr>
      <w:r>
        <w:rPr>
          <w:b/>
        </w:rPr>
        <w:t xml:space="preserve">Book:</w:t>
      </w:r>
      <w:r>
        <w:t xml:space="preserve"> Cognitive Digital Twins for Sustainable Systems: AI-Driven Simulation for Environmental Resilience</w:t>
      </w:r>
    </w:p>
    <w:p>
      <w:pPr>
        <w:pStyle w:val="Normal"/>
      </w:pPr>
      <w:r>
        <w:t xml:space="preserve">Amman Jakhar¹,* and Sachin Kalsi¹</w:t>
      </w:r>
    </w:p>
    <w:p>
      <w:pPr>
        <w:pStyle w:val="Normal"/>
      </w:pPr>
      <w:r>
        <w:rPr>
          <w:i/>
        </w:rPr>
        <w:t xml:space="preserve">¹ Department of Mechanical Engineering, Chandigarh University, Mohali, Punjab-140301</w:t>
      </w:r>
    </w:p>
    <w:p>
      <w:pPr>
        <w:pStyle w:val="Normal"/>
      </w:pPr>
      <w:r>
        <w:rPr>
          <w:i/>
        </w:rPr>
        <w:t xml:space="preserve">\</w:t>
      </w:r>
      <w:r>
        <w:t xml:space="preserve"> Corresponding Email: ammanjakhar5000734@gmail.com*</w:t>
      </w:r>
    </w:p>
    <w:p>
      <w:pPr>
        <w:pStyle w:val="Heading1"/>
      </w:pPr>
      <w:r>
        <w:t xml:space="preserve">Abstract</w:t>
      </w:r>
    </w:p>
    <w:p>
      <w:pPr>
        <w:pStyle w:val="Normal"/>
      </w:pPr>
      <w:r>
        <w:t xml:space="preserve">Artificial intelligence is emerging as an indispensable tool for forecasting biodiversity loss, addressing the profound complexity of interacting stressors—climate change, chemical pollution, habitat degradation, and invasive species—that drive non-linear ecological decline [1]. The convergence of big data, IoT sensor networks, and advanced machine learning enables the processing of massive, multi-source spatiotemporal datasets, capturing subtle signals of population change and providing early warning of potential ecological risks [2]. Contemporary AI-driven biodiversity forecasting systems operate at multiple scales and modalities. Google's ecosystem modelling team employs graph neural networks to produce species range maps at unprecedented resolution, combining field observations with satellite embeddings and species trait data [3]. The EU's BioDT project is developing a Biodiversity Digital Twin that leverages high-performance computing and AI to simulate species–environment interactions, enabling scientists to observe changes, relate them to possible causes, and predict effects under climate or human intervention scenarios [4]. Complementing these efforts, the NATURE-FIRST project integrates remote sensing with environmental forensics through a conservation technology platform, providing near-real-time monitoring and predictive intelligence for poaching, habitat loss, and human–wildlife conflicts [5]. The Hybrid Biodiversity Forecasting Engine framework proposes combining ecological theory with explainable AI to forecast change under complex pressures, linking functional biodiversity metrics to ecosystem resilience [6]. These integrated approaches address critical gaps in conventional monitoring: spatial and temporal misalignment between threats and biodiversity observations, fragmented disciplinary approaches, and limited capacity to diagnose cumulative and interacting stressors [7]. However, challenges persist—including data scarcity in under-resourced regions, model uncertainty, and the need for standardized forecasting metrics [8]. By embedding biodiversity forecasts into economic planning, regulation, and corporate decision-making frameworks, AI-driven prediction platforms offer transformative potential for anticipating risks and designing proactive conservation strategies [9].</w:t>
      </w:r>
    </w:p>
    <w:p>
      <w:pPr>
        <w:pStyle w:val="Normal"/>
      </w:pPr>
      <w:r>
        <w:rPr>
          <w:b/>
        </w:rPr>
        <w:t xml:space="preserve">Keywords:</w:t>
      </w:r>
      <w:r>
        <w:t xml:space="preserve"> Biodiversity Forecasting, Digital Twins, Ecological Modelling, Explainable AI, Environmental Monitoring</w:t>
      </w:r>
    </w:p>
    <w:p>
      <w:pPr>
        <w:pStyle w:val="Heading1"/>
      </w:pPr>
      <w:r>
        <w:t xml:space="preserve">1. Introduction: The Biodiversity Crisis and the Imperative for Predictive Intelligence</w:t>
      </w:r>
    </w:p>
    <w:p>
      <w:pPr>
        <w:pStyle w:val="Normal"/>
      </w:pPr>
      <w:r>
        <w:t xml:space="preserve">The living fabric of the planet is unravelling at a rate without precedent in human history. The 2019 Global Assessment of the Intergovernmental Science-Policy Platform on Biodiversity and Ecosystem Services concluded that around one million animal and plant species are now threatened with extinction, many within decades, and that the average abundance of native species in most major terrestrial habitats has fallen by at least twenty per cent since 1900 [1]. This decline is not a smooth, linear erosion that can be extrapolated with simple trend lines; rather, it emerges from the tangled interaction of multiple stressors that reinforce one another in ways that are frequently abrupt, threshold-driven, and difficult to reverse. Human activity has so pervasively reshaped the biosphere that researchers now speak of a human-driven decline of life on Earth that will require transformative economic and social change to arrest [10]. Some scientists characterise the current episode as a sixth mass extinction, with contemporary vertebrate loss rates estimated to be tens to hundreds of times higher than the background rate inferred from the fossil record [11].</w:t>
      </w:r>
    </w:p>
    <w:p>
      <w:pPr>
        <w:pStyle w:val="Normal"/>
      </w:pPr>
      <w:r>
        <w:t xml:space="preserve">Documenting the scale of this crisis has always been constrained by what can be observed. Of the millions of species thought to exist, only a fraction have been formally described, and rates of extinction, distribution, and protection remain highly uncertain for most taxonomic groups [12]. Long-running indices such as the Living Planet Index, which tracks thousands of vertebrate populations worldwide, report an average decline of roughly seventy per cent in monitored wildlife populations over the past half-century, underscoring both the severity of the trend and the value of sustained, large-scale monitoring [13]. Yet aggregate indices, however alarming, cannot by themselves tell a land manager which watershed will cross an ecological threshold next season, nor can they warn a fisheries regulator that a particular stock is approaching collapse. The central scientific and management challenge is therefore not only to measure biodiversity loss but to </w:t>
      </w:r>
      <w:r>
        <w:rPr>
          <w:i/>
        </w:rPr>
        <w:t xml:space="preserve">anticipate</w:t>
      </w:r>
      <w:r>
        <w:t xml:space="preserve"> it with enough spatial and temporal precision to act before damage becomes irreversible.</w:t>
      </w:r>
    </w:p>
    <w:p>
      <w:pPr>
        <w:pStyle w:val="Normal"/>
      </w:pPr>
      <w:r>
        <w:t xml:space="preserve">The drivers of decline are by now well catalogued. Habitat loss and fragmentation from land-use change, direct exploitation of organisms, climate change, pollution, and invasive alien species constitute the dominant pressures, and their relative importance varies across biomes and taxa. Crucially, these drivers rarely operate in isolation. Climate change can weaken a population's resilience to habitat fragmentation; pollution can amplify the impact of an invasive competitor; drought can turn a sustainable harvest into overexploitation. Such synergies among extinction drivers mean that the combined effect is often greater than the sum of the parts, producing non-linear responses that confound predictions built on single-factor reasoning [7]. Climate change deserves particular emphasis because it acts as a threat multiplier across all other pressures, shifting the ranges within which species can persist and rearranging the biotic communities on which ecosystems depend [14]. Early global scenario exercises already anticipated that the interaction of land-use change and climate would be the leading determinant of twenty-first-century biodiversity outcomes, a projection that subsequent decades have largely borne out [15]. Table 1 summarises the principal drivers, the ecological mechanisms through which they operate, and the observable signals that modern sensing and AI systems can exploit to detect and forecast their effects.</w:t>
      </w:r>
    </w:p>
    <w:p>
      <w:pPr>
        <w:pStyle w:val="TableCaption"/>
      </w:pPr>
      <w:r>
        <w:t xml:space="preserve">Table 1: Principal drivers of biodiversity loss, their mechanisms, and AI-observable indicators.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Driver</w:t>
            </w:r>
          </w:p>
        </w:tc>
        <w:tc>
          <w:tcPr>
            <w:shd w:val="clear" w:color="auto" w:fill="D9E2F3"/>
          </w:tcPr>
          <w:p>
            <w:pPr>
              <w:jc w:val="center"/>
            </w:pPr>
            <w:r>
              <w:rPr>
                <w:b/>
              </w:rPr>
              <w:t xml:space="preserve">Primary mechanism</w:t>
            </w:r>
          </w:p>
        </w:tc>
        <w:tc>
          <w:tcPr>
            <w:shd w:val="clear" w:color="auto" w:fill="D9E2F3"/>
          </w:tcPr>
          <w:p>
            <w:pPr>
              <w:jc w:val="center"/>
            </w:pPr>
            <w:r>
              <w:rPr>
                <w:b/>
              </w:rPr>
              <w:t xml:space="preserve">Observable indicators</w:t>
            </w:r>
          </w:p>
        </w:tc>
        <w:tc>
          <w:tcPr>
            <w:shd w:val="clear" w:color="auto" w:fill="D9E2F3"/>
          </w:tcPr>
          <w:p>
            <w:pPr>
              <w:jc w:val="center"/>
            </w:pPr>
            <w:r>
              <w:rPr>
                <w:b/>
              </w:rPr>
              <w:t xml:space="preserve">AI/data proxies</w:t>
            </w:r>
          </w:p>
        </w:tc>
      </w:tr>
      <w:tr>
        <w:tc>
          <w:p>
            <w:pPr>
              <w:spacing w:after="40"/>
            </w:pPr>
            <w:r>
              <w:t xml:space="preserve">Habitat loss and fragmentation</w:t>
            </w:r>
          </w:p>
        </w:tc>
        <w:tc>
          <w:p>
            <w:pPr>
              <w:spacing w:after="40"/>
            </w:pPr>
            <w:r>
              <w:t xml:space="preserve">Conversion and division of natural land cover</w:t>
            </w:r>
          </w:p>
        </w:tc>
        <w:tc>
          <w:p>
            <w:pPr>
              <w:spacing w:after="40"/>
            </w:pPr>
            <w:r>
              <w:t xml:space="preserve">Deforestation, patch size, connectivity loss</w:t>
            </w:r>
          </w:p>
        </w:tc>
        <w:tc>
          <w:p>
            <w:pPr>
              <w:spacing w:after="40"/>
            </w:pPr>
            <w:r>
              <w:t xml:space="preserve">Satellite land-cover change, LiDAR structure</w:t>
            </w:r>
          </w:p>
        </w:tc>
      </w:tr>
      <w:tr>
        <w:tc>
          <w:p>
            <w:pPr>
              <w:spacing w:after="40"/>
            </w:pPr>
            <w:r>
              <w:t xml:space="preserve">Climate change</w:t>
            </w:r>
          </w:p>
        </w:tc>
        <w:tc>
          <w:p>
            <w:pPr>
              <w:spacing w:after="40"/>
            </w:pPr>
            <w:r>
              <w:t xml:space="preserve">Shifting thermal and hydrological niches</w:t>
            </w:r>
          </w:p>
        </w:tc>
        <w:tc>
          <w:p>
            <w:pPr>
              <w:spacing w:after="40"/>
            </w:pPr>
            <w:r>
              <w:t xml:space="preserve">Range shifts, phenology change, thermal stress</w:t>
            </w:r>
          </w:p>
        </w:tc>
        <w:tc>
          <w:p>
            <w:pPr>
              <w:spacing w:after="40"/>
            </w:pPr>
            <w:r>
              <w:t xml:space="preserve">Reanalysis climate grids, remote-sensing anomalies</w:t>
            </w:r>
          </w:p>
        </w:tc>
      </w:tr>
      <w:tr>
        <w:tc>
          <w:p>
            <w:pPr>
              <w:spacing w:after="40"/>
            </w:pPr>
            <w:r>
              <w:t xml:space="preserve">Direct exploitation</w:t>
            </w:r>
          </w:p>
        </w:tc>
        <w:tc>
          <w:p>
            <w:pPr>
              <w:spacing w:after="40"/>
            </w:pPr>
            <w:r>
              <w:t xml:space="preserve">Harvest beyond replacement rate</w:t>
            </w:r>
          </w:p>
        </w:tc>
        <w:tc>
          <w:p>
            <w:pPr>
              <w:spacing w:after="40"/>
            </w:pPr>
            <w:r>
              <w:t xml:space="preserve">Population decline, size truncation</w:t>
            </w:r>
          </w:p>
        </w:tc>
        <w:tc>
          <w:p>
            <w:pPr>
              <w:spacing w:after="40"/>
            </w:pPr>
            <w:r>
              <w:t xml:space="preserve">Catch records, acoustic and camera-trap counts</w:t>
            </w:r>
          </w:p>
        </w:tc>
      </w:tr>
      <w:tr>
        <w:tc>
          <w:p>
            <w:pPr>
              <w:spacing w:after="40"/>
            </w:pPr>
            <w:r>
              <w:t xml:space="preserve">Pollution</w:t>
            </w:r>
          </w:p>
        </w:tc>
        <w:tc>
          <w:p>
            <w:pPr>
              <w:spacing w:after="40"/>
            </w:pPr>
            <w:r>
              <w:t xml:space="preserve">Toxic loading and eutrophication</w:t>
            </w:r>
          </w:p>
        </w:tc>
        <w:tc>
          <w:p>
            <w:pPr>
              <w:spacing w:after="40"/>
            </w:pPr>
            <w:r>
              <w:t xml:space="preserve">Water quality decline, mortality events</w:t>
            </w:r>
          </w:p>
        </w:tc>
        <w:tc>
          <w:p>
            <w:pPr>
              <w:spacing w:after="40"/>
            </w:pPr>
            <w:r>
              <w:t xml:space="preserve">IoT water sensors, spectral indices</w:t>
            </w:r>
          </w:p>
        </w:tc>
      </w:tr>
      <w:tr>
        <w:tc>
          <w:p>
            <w:pPr>
              <w:spacing w:after="40"/>
            </w:pPr>
            <w:r>
              <w:t xml:space="preserve">Invasive alien species</w:t>
            </w:r>
          </w:p>
        </w:tc>
        <w:tc>
          <w:p>
            <w:pPr>
              <w:spacing w:after="40"/>
            </w:pPr>
            <w:r>
              <w:t xml:space="preserve">Competition, predation, disease</w:t>
            </w:r>
          </w:p>
        </w:tc>
        <w:tc>
          <w:p>
            <w:pPr>
              <w:spacing w:after="40"/>
            </w:pPr>
            <w:r>
              <w:t xml:space="preserve">Native displacement, novel co-occurrence</w:t>
            </w:r>
          </w:p>
        </w:tc>
        <w:tc>
          <w:p>
            <w:pPr>
              <w:spacing w:after="40"/>
            </w:pPr>
            <w:r>
              <w:t xml:space="preserve">eDNA detection, occurrence-model anomalies</w:t>
            </w:r>
          </w:p>
        </w:tc>
      </w:tr>
      <w:tr>
        <w:tc>
          <w:p>
            <w:pPr>
              <w:spacing w:after="40"/>
            </w:pPr>
            <w:r>
              <w:t xml:space="preserve">Cumulative interactions</w:t>
            </w:r>
          </w:p>
        </w:tc>
        <w:tc>
          <w:p>
            <w:pPr>
              <w:spacing w:after="40"/>
            </w:pPr>
            <w:r>
              <w:t xml:space="preserve">Synergistic amplification of stressors</w:t>
            </w:r>
          </w:p>
        </w:tc>
        <w:tc>
          <w:p>
            <w:pPr>
              <w:spacing w:after="40"/>
            </w:pPr>
            <w:r>
              <w:t xml:space="preserve">Non-linear collapse, regime shifts</w:t>
            </w:r>
          </w:p>
        </w:tc>
        <w:tc>
          <w:p>
            <w:pPr>
              <w:spacing w:after="40"/>
            </w:pPr>
            <w:r>
              <w:t xml:space="preserve">Multi-stressor coupled models, early-warning signals</w:t>
            </w:r>
          </w:p>
        </w:tc>
      </w:tr>
    </w:tbl>
    <w:p>
      <w:pPr>
        <w:pStyle w:val="Normal"/>
      </w:pPr>
      <w:r>
        <w:t xml:space="preserve">Conventional biodiversity monitoring, though indispensable, struggles against three structural limitations that together blunt its predictive power. First, there is a persistent spatial and temporal misalignment between where and when threats occur and where and when biodiversity is actually observed; field surveys are sparse, episodic, and biased toward accessible and charismatic locations. Second, the disciplines that must be combined to understand decline—ecology, climatology, remote sensing, toxicology, social science—remain institutionally and methodologically fragmented, so that data collected for one purpose seldom informs another. Third, traditional statistical tools are poorly equipped to diagnose the cumulative, interacting stressors described above, because they were designed to isolate single effects rather than to represent the coupled dynamics of whole systems [7]. The result is a diagnostic gap: by the time a decline is confirmed through standard monitoring, the window for cost-effective intervention has often closed.</w:t>
      </w:r>
    </w:p>
    <w:p>
      <w:pPr>
        <w:pStyle w:val="Normal"/>
      </w:pPr>
      <w:r>
        <w:t xml:space="preserve">Artificial intelligence offers a route around each of these limitations, and it does so precisely because the character of environmental data has changed. The last decade has produced an explosion of continuous, high-resolution observation: constellations of Earth-observation satellites, networks of Internet-of-Things sensors in soil and water, acoustic recorders in forests and reefs, camera traps triggered millions of times a day, and hundreds of millions of georeferenced observations contributed by citizen scientists. Machine learning is uniquely suited to fuse these heterogeneous, massive, spatiotemporal streams, to detect the faint statistical signatures of population change, and to translate them into forward-looking risk estimates [2]. Rather than treating each data source as a separate silo, AI models can learn the joint structure that links a satellite-derived vegetation anomaly to an acoustic decline in bird activity to a citizen-science gap in a butterfly's expected range.</w:t>
      </w:r>
    </w:p>
    <w:p>
      <w:pPr>
        <w:pStyle w:val="Normal"/>
      </w:pPr>
      <w:r>
        <w:t xml:space="preserve">This chapter situates AI-driven biodiversity prediction within the broader theme of </w:t>
      </w:r>
      <w:r>
        <w:rPr>
          <w:i/>
        </w:rPr>
        <w:t xml:space="preserve">cognitive digital twins</w:t>
      </w:r>
      <w:r>
        <w:t xml:space="preserve"> for sustainable systems. A digital twin, in its original engineering sense, is a living virtual replica of a physical asset that is continuously updated with sensor data and used to simulate, predict, and optimise the behaviour of its real-world counterpart [16]. Applied to the natural world, the concept becomes a dynamic fusion of models and data in which ecological simulations are continuously assimilated with incoming observations, so that the virtual ecosystem tracks the real one and can be interrogated with "what-if" questions about management or climate [17]. A </w:t>
      </w:r>
      <w:r>
        <w:rPr>
          <w:i/>
        </w:rPr>
        <w:t xml:space="preserve">cognitive</w:t>
      </w:r>
      <w:r>
        <w:t xml:space="preserve"> digital twin extends this idea further by embedding learning, reasoning, and explanation into the loop, allowing the twin not merely to mirror the system but to infer causes, generate hypotheses, and communicate the rationale behind its forecasts. Figure 1 presents the conceptual architecture of such a twin for biodiversity forecasting, organised as a flow from multi-source sensing, through data fusion and AI-based modelling, to prediction, explanation, and decision support, with a feedback loop that continuously reconciles the virtual system against new field evidence.</w:t>
      </w:r>
    </w:p>
    <w:p>
      <w:pPr>
        <w:pStyle w:val="FigureImage"/>
      </w:pPr>
      <w:r>
        <w:drawing>
          <wp:inline xmlns:wp="http://schemas.openxmlformats.org/drawingml/2006/wordprocessingDrawing" distT="0" distB="0" distL="0" distR="0">
            <wp:extent cx="5486400" cy="3305907"/>
            <wp:effectExtent l="0" t="0" r="0" b="0"/>
            <wp:docPr id="1001" name="Figure_1_Cognitive_Digital_T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Cognitive_Digital_Twin.png"/>
                    <pic:cNvPicPr/>
                  </pic:nvPicPr>
                  <pic:blipFill>
                    <a:blip xmlns:r="http://schemas.openxmlformats.org/officeDocument/2006/relationships" r:embed="rIdImg1"/>
                    <a:stretch>
                      <a:fillRect/>
                    </a:stretch>
                  </pic:blipFill>
                  <pic:spPr>
                    <a:xfrm>
                      <a:off x="0" y="0"/>
                      <a:ext cx="5486400" cy="3305907"/>
                    </a:xfrm>
                    <a:prstGeom prst="rect">
                      <a:avLst/>
                    </a:prstGeom>
                  </pic:spPr>
                </pic:pic>
              </a:graphicData>
            </a:graphic>
          </wp:inline>
        </w:drawing>
      </w:r>
    </w:p>
    <w:p>
      <w:pPr>
        <w:pStyle w:val="FigureCaption"/>
      </w:pPr>
      <w:r>
        <w:t xml:space="preserve">Figure 1: Conceptual architecture of a cognitive digital twin for biodiversity forecasting, showing the flow from multi-source observation to fusion, modelling, prediction, explanation, and decision support, closed by a data-assimilation feedback loop.</w:t>
      </w:r>
    </w:p>
    <w:p>
      <w:pPr>
        <w:pStyle w:val="Normal"/>
      </w:pPr>
      <w:r>
        <w:t xml:space="preserve">The urgency of building such predictive capacity follows directly from the economics of the problem. Biodiversity is not merely an aesthetic or ethical concern but the foundation of the ecosystem services—pollination, water purification, soil fertility, carbon sequestration, and coastal protection—on which human economies ultimately depend, and the accelerating erosion of these services represents a systemic risk that has been chronically underpriced in conventional accounting [9]. Because many ecological systems respond to mounting pressure not gradually but through abrupt regime shifts, the cost of reacting after a threshold has been crossed is frequently far greater, and sometimes irreversible: a collapsed fishery, a desertified rangeland, or a bleached reef may take decades to recover or may never return to its prior state [1]. Anticipation therefore has a value all its own, distinct from mere measurement, because it widens the window in which comparatively cheap, preventive action remains possible. This is the deep rationale for AI-driven forecasting: not to replace the patient work of field ecology, but to extend its reach in space and time so that decision-makers are warned of danger while intervention is still affordable and effective. The sections that follow treat prediction not as an academic exercise but as an economic and moral imperative embedded in the wider project of environmental resilience.</w:t>
      </w:r>
    </w:p>
    <w:p>
      <w:pPr>
        <w:pStyle w:val="Normal"/>
      </w:pPr>
      <w:r>
        <w:t xml:space="preserve">The remainder of the chapter is organised into three further sections. Section 2 examines the data foundations and the family of AI methodologies—from species distribution models and deep neural networks to graph neural networks and explainable AI—that underpin modern forecasting, referring throughout to the drivers and indicators catalogued in Table 1. Section 3 surveys the operational cognitive digital twins and forecasting platforms now emerging in practice, including the BioDT initiative, graph-based global species mapping, and forensic conservation systems, and revisits this architecture in concrete form. Section 4 confronts the persistent challenges of data scarcity, model uncertainty, and standardisation, and argues that the ultimate value of biodiversity forecasting will be realised only when its outputs are embedded into economic planning, regulation, and corporate decision-making. Throughout, the aim is to show how predictive intelligence transforms biodiversity science from a discipline of retrospective accounting into one of proactive, anticipatory stewardship.</w:t>
      </w:r>
    </w:p>
    <w:p>
      <w:pPr>
        <w:pStyle w:val="Heading1"/>
      </w:pPr>
      <w:r>
        <w:t xml:space="preserve">2. Data Foundations and AI Methodologies for Biodiversity Forecasting</w:t>
      </w:r>
    </w:p>
    <w:p>
      <w:pPr>
        <w:pStyle w:val="Normal"/>
      </w:pPr>
      <w:r>
        <w:t xml:space="preserve">Any predictive system is only as capable as the observations that feed it, and biodiversity forecasting draws on a data landscape that is simultaneously richer and more fragmented than almost any other environmental domain. A useful organising principle is the notion of Essential Biodiversity Variables, a set of measurable dimensions—spanning genetic composition, species populations, species traits, community composition, ecosystem structure, and ecosystem function—proposed to harmonise observation across programmes much as essential climate variables did for meteorology [18]. Essential Biodiversity Variables provide the conceptual scaffolding that tells an AI system </w:t>
      </w:r>
      <w:r>
        <w:rPr>
          <w:i/>
        </w:rPr>
        <w:t xml:space="preserve">what</w:t>
      </w:r>
      <w:r>
        <w:t xml:space="preserve"> to predict and at what resolution, and they make it possible to integrate the otherwise incommensurable outputs of satellites, sensors, and surveys into a coherent picture. Complementary to this framework are large aggregation infrastructures that assemble hundreds of millions of species occurrence records toward a global "map of life", stitching together museum specimens, survey data, and citizen observations into distribution knowledge that can be queried and modelled at scale [19].</w:t>
      </w:r>
    </w:p>
    <w:p>
      <w:pPr>
        <w:pStyle w:val="Normal"/>
      </w:pPr>
      <w:r>
        <w:t xml:space="preserve">The modalities of data available to a forecasting system are diverse, and each carries a characteristic trade-off between resolution, coverage, cost, and bias. Remote sensing from satellite and airborne platforms delivers synoptic, repeatable coverage of habitat extent, structure, and change, but observes biodiversity only indirectly through its physical correlates. Ground-based Internet-of-Things sensor networks measure water quality, soil moisture, temperature, and chemical loading continuously and in situ, but only at the points where they are deployed. Passive acoustic monitoring captures the vocal activity of birds, bats, amphibians, and marine mammals around the clock, while camera-trap arrays generate vast image archives of terrestrial fauna. Environmental DNA, recovered from water, soil, or air, allows the presence of many species to be inferred from the genetic traces they shed, transforming the economics of community surveys and revealing organisms that are otherwise almost impossible to detect [20]. Finally, citizen-science platforms contribute an unrivalled volume of georeferenced observations, though with pronounced spatial and taxonomic bias toward populated regions and conspicuous species. Figure 2 depicts how these streams are acquired, harmonised, and fused into the analysis-ready data cubes on which forecasting models operate, and Table 2 compares their salient properties.</w:t>
      </w:r>
    </w:p>
    <w:p>
      <w:pPr>
        <w:pStyle w:val="FigureImage"/>
      </w:pPr>
      <w:r>
        <w:drawing>
          <wp:inline xmlns:wp="http://schemas.openxmlformats.org/drawingml/2006/wordprocessingDrawing" distT="0" distB="0" distL="0" distR="0">
            <wp:extent cx="5486400" cy="3305907"/>
            <wp:effectExtent l="0" t="0" r="0" b="0"/>
            <wp:docPr id="1002" name="Figure_2_Data_Fusion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Data_Fusion_Pipeline.png"/>
                    <pic:cNvPicPr/>
                  </pic:nvPicPr>
                  <pic:blipFill>
                    <a:blip xmlns:r="http://schemas.openxmlformats.org/officeDocument/2006/relationships" r:embed="rIdImg2"/>
                    <a:stretch>
                      <a:fillRect/>
                    </a:stretch>
                  </pic:blipFill>
                  <pic:spPr>
                    <a:xfrm>
                      <a:off x="0" y="0"/>
                      <a:ext cx="5486400" cy="3305907"/>
                    </a:xfrm>
                    <a:prstGeom prst="rect">
                      <a:avLst/>
                    </a:prstGeom>
                  </pic:spPr>
                </pic:pic>
              </a:graphicData>
            </a:graphic>
          </wp:inline>
        </w:drawing>
      </w:r>
    </w:p>
    <w:p>
      <w:pPr>
        <w:pStyle w:val="FigureCaption"/>
      </w:pPr>
      <w:r>
        <w:t xml:space="preserve">Figure 2: Multi-source data acquisition and fusion pipeline for AI-driven biodiversity forecasting, showing ingestion of remote sensing, IoT sensors, acoustic and camera-trap streams, environmental DNA, and citizen-science records into a harmonised spatiotemporal data cube.</w:t>
      </w:r>
    </w:p>
    <w:p>
      <w:pPr>
        <w:pStyle w:val="TableCaption"/>
      </w:pPr>
      <w:r>
        <w:t xml:space="preserve">Table 2: Data streams and modalities for AI-driven biodiversity forecasting.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Data stream</w:t>
            </w:r>
          </w:p>
        </w:tc>
        <w:tc>
          <w:tcPr>
            <w:shd w:val="clear" w:color="auto" w:fill="D9E2F3"/>
          </w:tcPr>
          <w:p>
            <w:pPr>
              <w:jc w:val="center"/>
            </w:pPr>
            <w:r>
              <w:rPr>
                <w:b/>
              </w:rPr>
              <w:t xml:space="preserve">Typical resolution</w:t>
            </w:r>
          </w:p>
        </w:tc>
        <w:tc>
          <w:tcPr>
            <w:shd w:val="clear" w:color="auto" w:fill="D9E2F3"/>
          </w:tcPr>
          <w:p>
            <w:pPr>
              <w:jc w:val="center"/>
            </w:pPr>
            <w:r>
              <w:rPr>
                <w:b/>
              </w:rPr>
              <w:t xml:space="preserve">Coverage</w:t>
            </w:r>
          </w:p>
        </w:tc>
        <w:tc>
          <w:tcPr>
            <w:shd w:val="clear" w:color="auto" w:fill="D9E2F3"/>
          </w:tcPr>
          <w:p>
            <w:pPr>
              <w:jc w:val="center"/>
            </w:pPr>
            <w:r>
              <w:rPr>
                <w:b/>
              </w:rPr>
              <w:t xml:space="preserve">Principal strengths</w:t>
            </w:r>
          </w:p>
        </w:tc>
        <w:tc>
          <w:tcPr>
            <w:shd w:val="clear" w:color="auto" w:fill="D9E2F3"/>
          </w:tcPr>
          <w:p>
            <w:pPr>
              <w:jc w:val="center"/>
            </w:pPr>
            <w:r>
              <w:rPr>
                <w:b/>
              </w:rPr>
              <w:t xml:space="preserve">Principal limitations</w:t>
            </w:r>
          </w:p>
        </w:tc>
      </w:tr>
      <w:tr>
        <w:tc>
          <w:p>
            <w:pPr>
              <w:spacing w:after="40"/>
            </w:pPr>
            <w:r>
              <w:t xml:space="preserve">Satellite remote sensing</w:t>
            </w:r>
          </w:p>
        </w:tc>
        <w:tc>
          <w:p>
            <w:pPr>
              <w:spacing w:after="40"/>
            </w:pPr>
            <w:r>
              <w:t xml:space="preserve">10 m–1 km, days–weeks</w:t>
            </w:r>
          </w:p>
        </w:tc>
        <w:tc>
          <w:p>
            <w:pPr>
              <w:spacing w:after="40"/>
            </w:pPr>
            <w:r>
              <w:t xml:space="preserve">Global</w:t>
            </w:r>
          </w:p>
        </w:tc>
        <w:tc>
          <w:p>
            <w:pPr>
              <w:spacing w:after="40"/>
            </w:pPr>
            <w:r>
              <w:t xml:space="preserve">Synoptic, repeatable, long archives</w:t>
            </w:r>
          </w:p>
        </w:tc>
        <w:tc>
          <w:p>
            <w:pPr>
              <w:spacing w:after="40"/>
            </w:pPr>
            <w:r>
              <w:t xml:space="preserve">Indirect proxy for biodiversity</w:t>
            </w:r>
          </w:p>
        </w:tc>
      </w:tr>
      <w:tr>
        <w:tc>
          <w:p>
            <w:pPr>
              <w:spacing w:after="40"/>
            </w:pPr>
            <w:r>
              <w:t xml:space="preserve">IoT ground sensors</w:t>
            </w:r>
          </w:p>
        </w:tc>
        <w:tc>
          <w:p>
            <w:pPr>
              <w:spacing w:after="40"/>
            </w:pPr>
            <w:r>
              <w:t xml:space="preserve">Point, continuous</w:t>
            </w:r>
          </w:p>
        </w:tc>
        <w:tc>
          <w:p>
            <w:pPr>
              <w:spacing w:after="40"/>
            </w:pPr>
            <w:r>
              <w:t xml:space="preserve">Local networks</w:t>
            </w:r>
          </w:p>
        </w:tc>
        <w:tc>
          <w:p>
            <w:pPr>
              <w:spacing w:after="40"/>
            </w:pPr>
            <w:r>
              <w:t xml:space="preserve">In-situ, high temporal frequency</w:t>
            </w:r>
          </w:p>
        </w:tc>
        <w:tc>
          <w:p>
            <w:pPr>
              <w:spacing w:after="40"/>
            </w:pPr>
            <w:r>
              <w:t xml:space="preserve">Sparse spatial coverage</w:t>
            </w:r>
          </w:p>
        </w:tc>
      </w:tr>
      <w:tr>
        <w:tc>
          <w:p>
            <w:pPr>
              <w:spacing w:after="40"/>
            </w:pPr>
            <w:r>
              <w:t xml:space="preserve">Passive acoustic monitoring</w:t>
            </w:r>
          </w:p>
        </w:tc>
        <w:tc>
          <w:p>
            <w:pPr>
              <w:spacing w:after="40"/>
            </w:pPr>
            <w:r>
              <w:t xml:space="preserve">Site, continuous</w:t>
            </w:r>
          </w:p>
        </w:tc>
        <w:tc>
          <w:p>
            <w:pPr>
              <w:spacing w:after="40"/>
            </w:pPr>
            <w:r>
              <w:t xml:space="preserve">Local–regional</w:t>
            </w:r>
          </w:p>
        </w:tc>
        <w:tc>
          <w:p>
            <w:pPr>
              <w:spacing w:after="40"/>
            </w:pPr>
            <w:r>
              <w:t xml:space="preserve">Detects cryptic vocal taxa</w:t>
            </w:r>
          </w:p>
        </w:tc>
        <w:tc>
          <w:p>
            <w:pPr>
              <w:spacing w:after="40"/>
            </w:pPr>
            <w:r>
              <w:t xml:space="preserve">Storage and classification burden</w:t>
            </w:r>
          </w:p>
        </w:tc>
      </w:tr>
      <w:tr>
        <w:tc>
          <w:p>
            <w:pPr>
              <w:spacing w:after="40"/>
            </w:pPr>
            <w:r>
              <w:t xml:space="preserve">Camera traps</w:t>
            </w:r>
          </w:p>
        </w:tc>
        <w:tc>
          <w:p>
            <w:pPr>
              <w:spacing w:after="40"/>
            </w:pPr>
            <w:r>
              <w:t xml:space="preserve">Site, event-triggered</w:t>
            </w:r>
          </w:p>
        </w:tc>
        <w:tc>
          <w:p>
            <w:pPr>
              <w:spacing w:after="40"/>
            </w:pPr>
            <w:r>
              <w:t xml:space="preserve">Local–regional</w:t>
            </w:r>
          </w:p>
        </w:tc>
        <w:tc>
          <w:p>
            <w:pPr>
              <w:spacing w:after="40"/>
            </w:pPr>
            <w:r>
              <w:t xml:space="preserve">Direct species imagery</w:t>
            </w:r>
          </w:p>
        </w:tc>
        <w:tc>
          <w:p>
            <w:pPr>
              <w:spacing w:after="40"/>
            </w:pPr>
            <w:r>
              <w:t xml:space="preserve">Detection bias, manual labelling</w:t>
            </w:r>
          </w:p>
        </w:tc>
      </w:tr>
      <w:tr>
        <w:tc>
          <w:p>
            <w:pPr>
              <w:spacing w:after="40"/>
            </w:pPr>
            <w:r>
              <w:t xml:space="preserve">Environmental DNA</w:t>
            </w:r>
          </w:p>
        </w:tc>
        <w:tc>
          <w:p>
            <w:pPr>
              <w:spacing w:after="40"/>
            </w:pPr>
            <w:r>
              <w:t xml:space="preserve">Sample-based</w:t>
            </w:r>
          </w:p>
        </w:tc>
        <w:tc>
          <w:p>
            <w:pPr>
              <w:spacing w:after="40"/>
            </w:pPr>
            <w:r>
              <w:t xml:space="preserve">Site-specific</w:t>
            </w:r>
          </w:p>
        </w:tc>
        <w:tc>
          <w:p>
            <w:pPr>
              <w:spacing w:after="40"/>
            </w:pPr>
            <w:r>
              <w:t xml:space="preserve">Detects hidden taxa cheaply</w:t>
            </w:r>
          </w:p>
        </w:tc>
        <w:tc>
          <w:p>
            <w:pPr>
              <w:spacing w:after="40"/>
            </w:pPr>
            <w:r>
              <w:t xml:space="preserve">Reference-database gaps</w:t>
            </w:r>
          </w:p>
        </w:tc>
      </w:tr>
      <w:tr>
        <w:tc>
          <w:p>
            <w:pPr>
              <w:spacing w:after="40"/>
            </w:pPr>
            <w:r>
              <w:t xml:space="preserve">Citizen science</w:t>
            </w:r>
          </w:p>
        </w:tc>
        <w:tc>
          <w:p>
            <w:pPr>
              <w:spacing w:after="40"/>
            </w:pPr>
            <w:r>
              <w:t xml:space="preserve">Point, opportunistic</w:t>
            </w:r>
          </w:p>
        </w:tc>
        <w:tc>
          <w:p>
            <w:pPr>
              <w:spacing w:after="40"/>
            </w:pPr>
            <w:r>
              <w:t xml:space="preserve">Broad but uneven</w:t>
            </w:r>
          </w:p>
        </w:tc>
        <w:tc>
          <w:p>
            <w:pPr>
              <w:spacing w:after="40"/>
            </w:pPr>
            <w:r>
              <w:t xml:space="preserve">Enormous volume, low cost</w:t>
            </w:r>
          </w:p>
        </w:tc>
        <w:tc>
          <w:p>
            <w:pPr>
              <w:spacing w:after="40"/>
            </w:pPr>
            <w:r>
              <w:t xml:space="preserve">Spatial and taxonomic bias</w:t>
            </w:r>
          </w:p>
        </w:tc>
      </w:tr>
    </w:tbl>
    <w:p>
      <w:pPr>
        <w:pStyle w:val="Normal"/>
      </w:pPr>
      <w:r>
        <w:t xml:space="preserve">Turning the heterogeneous inputs compared in Table 2 into a form that a model can consume is itself a substantial scientific undertaking, and it is the stage at which many forecasting efforts succeed or fail. Raw observations arrive in incompatible projections, resolutions, and units, sampled at irregular times and places and riddled with gaps; before any learning can occur they must be harmonised, gap-filled, and co-registered onto a common spatiotemporal grid. The fusion stage depicted in Figure 2 performs exactly this reconciliation, aligning a coarse weekly satellite composite with a continuous point-sensor stream and an opportunistic cloud of citizen records so that each contributes its distinctive information to a shared representation. The Essential Biodiversity Variable framework provides the semantic glue for this process, defining the target quantities—population abundance, community composition, ecosystem structure—into which the disparate streams are projected, so that data gathered for one purpose can inform another [18]. The product is an analysis-ready data cube: a multidimensional array indexed by space, time, and variable that can be sliced for a particular region and season or fed wholesale into a deep network. Interoperability at this layer is not a mere engineering convenience; it is what allows a forecasting system to diagnose interacting stressors, because only when climate, land-cover, pollution, and occurrence data share a common frame can their joint effects be learned rather than assumed.</w:t>
      </w:r>
    </w:p>
    <w:p>
      <w:pPr>
        <w:pStyle w:val="Normal"/>
      </w:pPr>
      <w:r>
        <w:t xml:space="preserve">The fusion of these streams into a coherent predictive picture is the province of machine learning, and the field has moved rapidly from shallow statistical models toward deep and structured architectures. The foundational tool of predictive biogeography is the species distribution model, which relates known occurrences to environmental covariates in order to estimate the geographic conditions a species can tolerate and to project its distribution across space and time [21]. Species distribution models remain the workhorse of the discipline because they are interpretable, data-efficient, and directly connected to ecological theory, and they map naturally onto the driver-indicator relationships summarised in Table 1. Their classical formulations, however, assume that environmental predictors act independently and struggle to capture the spatial texture of landscapes or the joint behaviour of many species at once.</w:t>
      </w:r>
    </w:p>
    <w:p>
      <w:pPr>
        <w:pStyle w:val="Normal"/>
      </w:pPr>
      <w:r>
        <w:t xml:space="preserve">Deep learning has substantially relaxed these constraints. Comprehensive reviews of deep learning in remote sensing document how neural networks can extract hierarchical spatiotemporal features directly from raw imagery and sensor streams, learning representations that shallow statistical models cannot, while remaining amenable to hybridisation with physically based models—a property of direct relevance to ecological forecasting [22]. Within ecology specifically, deep learning has been applied to a widening range of tasks—image classification, acoustic recognition, distribution modelling, and behavioural analysis—and surveys of the field document both its rapid uptake and the practical pitfalls of limited, imbalanced training data [23]. Convolutional neural networks, which process gridded environmental layers directly, have been shown to improve species distribution modelling by capturing the spatial structure of the environment around each observation rather than treating predictors as independent point values [24]. In the domain of camera-trap imagery, deep networks now automatically identify, count, and describe animals with accuracy approaching that of human experts, collapsing what was once a crippling manual-labelling bottleneck and enabling continental-scale monitoring programmes [25].</w:t>
      </w:r>
    </w:p>
    <w:p>
      <w:pPr>
        <w:pStyle w:val="Normal"/>
      </w:pPr>
      <w:r>
        <w:t xml:space="preserve">Complementing these spatial techniques is a parallel line of temporal modelling aimed at populations rather than ranges. Recurrent neural networks, state-space models, and Gaussian-process methods learn the dynamics of abundance time series, projecting trajectories forward and flagging the statistical fingerprints—rising variance, slowing recovery from perturbation, increasing autocorrelation—that often precede a critical transition. Such early-warning signals are of particular value for the abrupt, threshold-driven collapses that make biodiversity loss so dangerous, and they connect naturally to the iterative-forecasting philosophy in which predictions are issued at fixed horizons and continually scored against outcomes [8]. In practice these temporal models are increasingly coupled with the spatial models of Figure 3, so that a forecast is resolved simultaneously in space and time: a graph model estimates where a species can persist, while a dynamical model estimates how its abundance will move within that envelope. The synthesis is demanding, because errors compound across both dimensions and because long, clean population time series remain scarce for all but a few well-studied taxa. Nonetheless, the direction of travel is clear—toward integrated spatiotemporal forecasting systems that treat the distribution and the dynamics of biodiversity as two faces of a single predictive problem.</w:t>
      </w:r>
    </w:p>
    <w:p>
      <w:pPr>
        <w:pStyle w:val="Normal"/>
      </w:pPr>
      <w:r>
        <w:t xml:space="preserve">Perhaps the most consequential recent development for large-scale forecasting is the adoption of graph neural networks and implicit neural representations for global species mapping. By representing species, locations, and environmental context as nodes and edges in a graph—or by learning a continuous function that maps any coordinate to a species-presence probability—these models exploit the relational structure of ecological data, sharing statistical strength across co-occurring species and across space. Global-scale species mapping using spatial implicit neural representations can jointly estimate the ranges of tens of thousands of species from sparse, biased occurrence records, integrating field observations with satellite-derived embeddings and species trait information to produce range maps at a resolution and taxonomic breadth previously unattainable [3]. Figure 3 places these approaches within a taxonomy of AI methods for biodiversity prediction and illustrates the workflow of a graph-neural-network species-range model, from graph construction through message passing to range prediction and uncertainty estimation. Table 3 compares the principal method families along the dimensions that matter most for operational forecasting: their typical use cases, data requirements, strengths, and characteristic weaknesses.</w:t>
      </w:r>
    </w:p>
    <w:p>
      <w:pPr>
        <w:pStyle w:val="FigureImage"/>
      </w:pPr>
      <w:r>
        <w:drawing>
          <wp:inline xmlns:wp="http://schemas.openxmlformats.org/drawingml/2006/wordprocessingDrawing" distT="0" distB="0" distL="0" distR="0">
            <wp:extent cx="5486400" cy="3305907"/>
            <wp:effectExtent l="0" t="0" r="0" b="0"/>
            <wp:docPr id="1003" name="Figure_3_Methods_GNN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Methods_GNN_Workflow.png"/>
                    <pic:cNvPicPr/>
                  </pic:nvPicPr>
                  <pic:blipFill>
                    <a:blip xmlns:r="http://schemas.openxmlformats.org/officeDocument/2006/relationships" r:embed="rIdImg3"/>
                    <a:stretch>
                      <a:fillRect/>
                    </a:stretch>
                  </pic:blipFill>
                  <pic:spPr>
                    <a:xfrm>
                      <a:off x="0" y="0"/>
                      <a:ext cx="5486400" cy="3305907"/>
                    </a:xfrm>
                    <a:prstGeom prst="rect">
                      <a:avLst/>
                    </a:prstGeom>
                  </pic:spPr>
                </pic:pic>
              </a:graphicData>
            </a:graphic>
          </wp:inline>
        </w:drawing>
      </w:r>
    </w:p>
    <w:p>
      <w:pPr>
        <w:pStyle w:val="FigureCaption"/>
      </w:pPr>
      <w:r>
        <w:t xml:space="preserve">Figure 3: Taxonomy of AI/ML methods for biodiversity prediction (left) and the workflow of a graph-neural-network species-range model (right), from graph construction and message passing to range prediction, explanation, and uncertainty estimation.</w:t>
      </w:r>
    </w:p>
    <w:p>
      <w:pPr>
        <w:pStyle w:val="TableCaption"/>
      </w:pPr>
      <w:r>
        <w:t xml:space="preserve">Table 3: Comparison of AI/ML method families for biodiversity prediction.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Method family</w:t>
            </w:r>
          </w:p>
        </w:tc>
        <w:tc>
          <w:tcPr>
            <w:shd w:val="clear" w:color="auto" w:fill="D9E2F3"/>
          </w:tcPr>
          <w:p>
            <w:pPr>
              <w:jc w:val="center"/>
            </w:pPr>
            <w:r>
              <w:rPr>
                <w:b/>
              </w:rPr>
              <w:t xml:space="preserve">Typical use case</w:t>
            </w:r>
          </w:p>
        </w:tc>
        <w:tc>
          <w:tcPr>
            <w:shd w:val="clear" w:color="auto" w:fill="D9E2F3"/>
          </w:tcPr>
          <w:p>
            <w:pPr>
              <w:jc w:val="center"/>
            </w:pPr>
            <w:r>
              <w:rPr>
                <w:b/>
              </w:rPr>
              <w:t xml:space="preserve">Data requirement</w:t>
            </w:r>
          </w:p>
        </w:tc>
        <w:tc>
          <w:tcPr>
            <w:shd w:val="clear" w:color="auto" w:fill="D9E2F3"/>
          </w:tcPr>
          <w:p>
            <w:pPr>
              <w:jc w:val="center"/>
            </w:pPr>
            <w:r>
              <w:rPr>
                <w:b/>
              </w:rPr>
              <w:t xml:space="preserve">Strengths</w:t>
            </w:r>
          </w:p>
        </w:tc>
        <w:tc>
          <w:tcPr>
            <w:shd w:val="clear" w:color="auto" w:fill="D9E2F3"/>
          </w:tcPr>
          <w:p>
            <w:pPr>
              <w:jc w:val="center"/>
            </w:pPr>
            <w:r>
              <w:rPr>
                <w:b/>
              </w:rPr>
              <w:t xml:space="preserve">Limitations</w:t>
            </w:r>
          </w:p>
        </w:tc>
      </w:tr>
      <w:tr>
        <w:tc>
          <w:p>
            <w:pPr>
              <w:spacing w:after="40"/>
            </w:pPr>
            <w:r>
              <w:t xml:space="preserve">Species distribution models</w:t>
            </w:r>
          </w:p>
        </w:tc>
        <w:tc>
          <w:p>
            <w:pPr>
              <w:spacing w:after="40"/>
            </w:pPr>
            <w:r>
              <w:t xml:space="preserve">Range estimation</w:t>
            </w:r>
          </w:p>
        </w:tc>
        <w:tc>
          <w:p>
            <w:pPr>
              <w:spacing w:after="40"/>
            </w:pPr>
            <w:r>
              <w:t xml:space="preserve">Moderate</w:t>
            </w:r>
          </w:p>
        </w:tc>
        <w:tc>
          <w:p>
            <w:pPr>
              <w:spacing w:after="40"/>
            </w:pPr>
            <w:r>
              <w:t xml:space="preserve">Interpretable, theory-linked</w:t>
            </w:r>
          </w:p>
        </w:tc>
        <w:tc>
          <w:p>
            <w:pPr>
              <w:spacing w:after="40"/>
            </w:pPr>
            <w:r>
              <w:t xml:space="preserve">Weak on interactions, spatial texture</w:t>
            </w:r>
          </w:p>
        </w:tc>
      </w:tr>
      <w:tr>
        <w:tc>
          <w:p>
            <w:pPr>
              <w:spacing w:after="40"/>
            </w:pPr>
            <w:r>
              <w:t xml:space="preserve">Convolutional neural networks</w:t>
            </w:r>
          </w:p>
        </w:tc>
        <w:tc>
          <w:p>
            <w:pPr>
              <w:spacing w:after="40"/>
            </w:pPr>
            <w:r>
              <w:t xml:space="preserve">Image and grid analysis</w:t>
            </w:r>
          </w:p>
        </w:tc>
        <w:tc>
          <w:p>
            <w:pPr>
              <w:spacing w:after="40"/>
            </w:pPr>
            <w:r>
              <w:t xml:space="preserve">Large labelled</w:t>
            </w:r>
          </w:p>
        </w:tc>
        <w:tc>
          <w:p>
            <w:pPr>
              <w:spacing w:after="40"/>
            </w:pPr>
            <w:r>
              <w:t xml:space="preserve">Captures spatial structure</w:t>
            </w:r>
          </w:p>
        </w:tc>
        <w:tc>
          <w:p>
            <w:pPr>
              <w:spacing w:after="40"/>
            </w:pPr>
            <w:r>
              <w:t xml:space="preserve">Data-hungry, opaque</w:t>
            </w:r>
          </w:p>
        </w:tc>
      </w:tr>
      <w:tr>
        <w:tc>
          <w:p>
            <w:pPr>
              <w:spacing w:after="40"/>
            </w:pPr>
            <w:r>
              <w:t xml:space="preserve">Recurrent and temporal models</w:t>
            </w:r>
          </w:p>
        </w:tc>
        <w:tc>
          <w:p>
            <w:pPr>
              <w:spacing w:after="40"/>
            </w:pPr>
            <w:r>
              <w:t xml:space="preserve">Population time series</w:t>
            </w:r>
          </w:p>
        </w:tc>
        <w:tc>
          <w:p>
            <w:pPr>
              <w:spacing w:after="40"/>
            </w:pPr>
            <w:r>
              <w:t xml:space="preserve">Long series</w:t>
            </w:r>
          </w:p>
        </w:tc>
        <w:tc>
          <w:p>
            <w:pPr>
              <w:spacing w:after="40"/>
            </w:pPr>
            <w:r>
              <w:t xml:space="preserve">Captures temporal dynamics</w:t>
            </w:r>
          </w:p>
        </w:tc>
        <w:tc>
          <w:p>
            <w:pPr>
              <w:spacing w:after="40"/>
            </w:pPr>
            <w:r>
              <w:t xml:space="preserve">Sensitive to gaps</w:t>
            </w:r>
          </w:p>
        </w:tc>
      </w:tr>
      <w:tr>
        <w:tc>
          <w:p>
            <w:pPr>
              <w:spacing w:after="40"/>
            </w:pPr>
            <w:r>
              <w:t xml:space="preserve">Graph neural networks</w:t>
            </w:r>
          </w:p>
        </w:tc>
        <w:tc>
          <w:p>
            <w:pPr>
              <w:spacing w:after="40"/>
            </w:pPr>
            <w:r>
              <w:t xml:space="preserve">Multi-species mapping</w:t>
            </w:r>
          </w:p>
        </w:tc>
        <w:tc>
          <w:p>
            <w:pPr>
              <w:spacing w:after="40"/>
            </w:pPr>
            <w:r>
              <w:t xml:space="preserve">Large, relational</w:t>
            </w:r>
          </w:p>
        </w:tc>
        <w:tc>
          <w:p>
            <w:pPr>
              <w:spacing w:after="40"/>
            </w:pPr>
            <w:r>
              <w:t xml:space="preserve">Shares strength across taxa</w:t>
            </w:r>
          </w:p>
        </w:tc>
        <w:tc>
          <w:p>
            <w:pPr>
              <w:spacing w:after="40"/>
            </w:pPr>
            <w:r>
              <w:t xml:space="preserve">Complex, compute-intensive</w:t>
            </w:r>
          </w:p>
        </w:tc>
      </w:tr>
      <w:tr>
        <w:tc>
          <w:p>
            <w:pPr>
              <w:spacing w:after="40"/>
            </w:pPr>
            <w:r>
              <w:t xml:space="preserve">Bayesian and hybrid models</w:t>
            </w:r>
          </w:p>
        </w:tc>
        <w:tc>
          <w:p>
            <w:pPr>
              <w:spacing w:after="40"/>
            </w:pPr>
            <w:r>
              <w:t xml:space="preserve">Forecasting with uncertainty</w:t>
            </w:r>
          </w:p>
        </w:tc>
        <w:tc>
          <w:p>
            <w:pPr>
              <w:spacing w:after="40"/>
            </w:pPr>
            <w:r>
              <w:t xml:space="preserve">Moderate</w:t>
            </w:r>
          </w:p>
        </w:tc>
        <w:tc>
          <w:p>
            <w:pPr>
              <w:spacing w:after="40"/>
            </w:pPr>
            <w:r>
              <w:t xml:space="preserve">Principled uncertainty</w:t>
            </w:r>
          </w:p>
        </w:tc>
        <w:tc>
          <w:p>
            <w:pPr>
              <w:spacing w:after="40"/>
            </w:pPr>
            <w:r>
              <w:t xml:space="preserve">Computationally demanding</w:t>
            </w:r>
          </w:p>
        </w:tc>
      </w:tr>
      <w:tr>
        <w:tc>
          <w:p>
            <w:pPr>
              <w:spacing w:after="40"/>
            </w:pPr>
            <w:r>
              <w:t xml:space="preserve">Explainable AI overlays</w:t>
            </w:r>
          </w:p>
        </w:tc>
        <w:tc>
          <w:p>
            <w:pPr>
              <w:spacing w:after="40"/>
            </w:pPr>
            <w:r>
              <w:t xml:space="preserve">Diagnosis and trust</w:t>
            </w:r>
          </w:p>
        </w:tc>
        <w:tc>
          <w:p>
            <w:pPr>
              <w:spacing w:after="40"/>
            </w:pPr>
            <w:r>
              <w:t xml:space="preserve">Model-dependent</w:t>
            </w:r>
          </w:p>
        </w:tc>
        <w:tc>
          <w:p>
            <w:pPr>
              <w:spacing w:after="40"/>
            </w:pPr>
            <w:r>
              <w:t xml:space="preserve">Reveals drivers</w:t>
            </w:r>
          </w:p>
        </w:tc>
        <w:tc>
          <w:p>
            <w:pPr>
              <w:spacing w:after="40"/>
            </w:pPr>
            <w:r>
              <w:t xml:space="preserve">Approximate, can mislead</w:t>
            </w:r>
          </w:p>
        </w:tc>
      </w:tr>
    </w:tbl>
    <w:p>
      <w:pPr>
        <w:pStyle w:val="Normal"/>
      </w:pPr>
      <w:r>
        <w:t xml:space="preserve">The comparison in Table 3 makes clear that no single method dominates; operational systems increasingly combine them, using deep networks for perception, graph models for spatial generalisation, and Bayesian layers for uncertainty. Yet accuracy alone is insufficient for a domain in which forecasts inform costly and often irreversible management decisions. Ecological stakeholders must understand </w:t>
      </w:r>
      <w:r>
        <w:rPr>
          <w:i/>
        </w:rPr>
        <w:t xml:space="preserve">why</w:t>
      </w:r>
      <w:r>
        <w:t xml:space="preserve"> a model predicts decline before they will act on it, which places explainable AI at the centre of credible forecasting. Model-agnostic attribution methods that assign each input feature a contribution to a given prediction—most prominently the additive-feature-attribution framework that unifies several earlier techniques—allow analysts to ask whether a projected range contraction is driven chiefly by warming, by habitat loss, or by their interaction [26]. Local surrogate explanations, which approximate a complex model with a simple interpretable one in the neighbourhood of a specific prediction, provide a complementary lens by showing which factors tip an individual site from persistence to loss [27]. Applied to biodiversity, these techniques do more than build trust: by exposing the learned relationships between stressors and outcomes, they turn a predictive model into a diagnostic instrument capable of attributing decline to specific, actionable causes—precisely the cumulative-stressor diagnosis that conventional monitoring cannot deliver. The next section shows how these data foundations and methods are being assembled into integrated, operational systems that begin to realise the cognitive digital twin envisaged at the outset of this chapter.</w:t>
      </w:r>
    </w:p>
    <w:p>
      <w:pPr>
        <w:pStyle w:val="Heading1"/>
      </w:pPr>
      <w:r>
        <w:t xml:space="preserve">3. Cognitive Digital Twins and Operational Forecasting Systems</w:t>
      </w:r>
    </w:p>
    <w:p>
      <w:pPr>
        <w:pStyle w:val="Normal"/>
      </w:pPr>
      <w:r>
        <w:t xml:space="preserve">The methodological building blocks described in Section 2 are now being assembled into integrated platforms that approximate, to varying degrees, the cognitive digital twin sketched in Figure 1. The scientific ambition underlying these efforts is not new; more than a decade ago, ecologists argued that the discipline should aspire to model all life on Earth, building general, predictive simulations of ecosystems analogous to the general circulation models that transformed climate science [28]. What has changed is that the confluence of abundant data, scalable computing, and mature machine learning has finally made that ambition tractable. The shift is often framed as a move toward </w:t>
      </w:r>
      <w:r>
        <w:rPr>
          <w:i/>
        </w:rPr>
        <w:t xml:space="preserve">predictive ecology</w:t>
      </w:r>
      <w:r>
        <w:t xml:space="preserve">: a science that does not merely explain past patterns but issues testable, decision-relevant forecasts about the future state of populations and ecosystems in a changing world [29].</w:t>
      </w:r>
    </w:p>
    <w:p>
      <w:pPr>
        <w:pStyle w:val="Normal"/>
      </w:pPr>
      <w:r>
        <w:t xml:space="preserve">The most fully articulated expression of this vision is the Biodiversity Digital Twin, developed under the European BioDT initiative. The project couples high-performance computing with AI and mechanistic ecological models to construct dynamic virtual replicas of species and ecosystems that are continuously updated with observational data. Its purpose is explicitly anticipatory: to allow scientists to observe changes as they unfold, to relate those changes to their probable causes, and to predict how populations and communities will respond under alternative climate and management scenarios [4]. Architecturally, BioDT instantiates precisely this continuous feedback loop, assimilating field and remote-sensing data into simulations whose outputs are then compared against fresh observations, so that the twin's fidelity improves over time. This dynamic model-data fusion is precisely the property that distinguishes a digital twin from a conventional model run: the twin is never "finished" but rather tracks its living counterpart continuously [17]. The BioDT programme is publicly documented and its prototypes are openly described, and readers can follow its progress through the project portal at </w:t>
      </w:r>
      <w:hyperlink r:id="rIdLink1" w:history="1">
        <w:r>
          <w:rPr>
            <w:rStyle w:val="Hyperlink"/>
            <w:color w:val="0563C1"/>
            <w:u w:val="single"/>
          </w:rPr>
          <w:t xml:space="preserve">the BioDT project</w:t>
        </w:r>
      </w:hyperlink>
      <w:r>
        <w:t xml:space="preserve">.</w:t>
      </w:r>
    </w:p>
    <w:p>
      <w:pPr>
        <w:pStyle w:val="Normal"/>
      </w:pPr>
      <w:r>
        <w:t xml:space="preserve">A second, complementary model of operational forecasting is exemplified by the NATURE-FIRST project, which approaches conservation through the lens of environmental forensics. Rather than aiming for a comprehensive ecosystem simulation, NATURE-FIRST integrates remote sensing with field intelligence in a conservation-technology platform tuned for near-real-time detection and response. Its predictive intelligence targets the acute, human-driven threats—poaching, illegal habitat conversion, and human–wildlife conflict—that unfold on timescales of days rather than decades, and it seeks to give protected-area managers actionable early warning while there is still time to intervene [5]. Where BioDT emphasises scientific understanding and scenario projection, NATURE-FIRST emphasises operational responsiveness; together they illustrate the two poles of the forecasting spectrum, and both can be understood as partial digital twins that instantiate different subsets of the same cognitive architecture. Further details of the platform's forensic approach are available through </w:t>
      </w:r>
      <w:hyperlink r:id="rIdLink2" w:history="1">
        <w:r>
          <w:rPr>
            <w:rStyle w:val="Hyperlink"/>
            <w:color w:val="0563C1"/>
            <w:u w:val="single"/>
          </w:rPr>
          <w:t xml:space="preserve">the NATURE-FIRST project</w:t>
        </w:r>
      </w:hyperlink>
      <w:r>
        <w:t xml:space="preserve">.</w:t>
      </w:r>
    </w:p>
    <w:p>
      <w:pPr>
        <w:pStyle w:val="Normal"/>
      </w:pPr>
      <w:r>
        <w:t xml:space="preserve">The global species-mapping efforts introduced in Section 2 constitute a third mode of operational forecasting, distinguished by their planetary scale and their reliance on graph-based and implicit neural representations. By learning shared structure across tens of thousands of species, these systems can produce continuously updated range maps that serve as a baseline layer for many downstream analyses, from protected-area planning to extinction-risk assessment [3]. Because the same trained model can be re-evaluated under altered environmental inputs, it doubles as a scenario engine: feeding it projected future climate layers yields projected future ranges, closing the gap between mapping the present and forecasting the future. The methodological taxonomy of Figure 3 shows how such graph-based models relate to the wider family of techniques and why they have become the tool of choice for problems that demand generalisation across many species from sparse and biased data.</w:t>
      </w:r>
    </w:p>
    <w:p>
      <w:pPr>
        <w:pStyle w:val="Normal"/>
      </w:pPr>
      <w:r>
        <w:t xml:space="preserve">The abstraction of the digital twin becomes concrete in the specific use cases these platforms pursue. Under the BioDT programme, prototype twins have been scoped for pollinator communities whose decline threatens agricultural productivity, for migratory bird populations whose fate is distributed across continents, for economically important tree species facing shifting climate envelopes, and for freshwater and grassland systems under combined nutrient and land-use pressure [4]. Each use case pairs a mechanistic ecological model—of dispersal, demography, or competition—with machine-learning components that assimilate observation and correct for the model's blind spots, embodying the dynamic model-data fusion that defines the approach [17]. What makes these twins powerful is their capacity for counterfactual experimentation: a manager can ask how a pollinator network would respond to a hedgerow restoration scheme, or how a migratory flyway would shift under a warming scenario, and receive a quantified, uncertainty-bounded answer before committing resources on the ground. This is a qualitative change from traditional monitoring, which can describe what has happened but cannot rehearse alternative futures. As the underlying machine-learning perception improves—driven by the same advances in image, acoustic, and remote-sensing recognition that transformed wildlife observation [2]—the fidelity of these virtual experiments will continue to rise, and with it the confidence with which their outputs can inform real decisions.</w:t>
      </w:r>
    </w:p>
    <w:p>
      <w:pPr>
        <w:pStyle w:val="Normal"/>
      </w:pPr>
      <w:r>
        <w:t xml:space="preserve">Cutting across these platforms is the aspiration captured by the Hybrid Biodiversity Forecasting Engine framework, which argues that neither pure mechanism nor pure machine learning is sufficient on its own. Robust forecasting under complex, interacting pressures requires the marriage of ecological theory with explainable, data-driven inference, so that predictions remain physically and biologically plausible while still exploiting the full richness of observation [6]. This hybrid stance directly addresses the interacting-stressor problem introduced in Section 1: by embedding causal ecological structure into otherwise flexible models, and by exposing the learned relationships through the explainability techniques of Section 2, hybrid engines can link functional biodiversity metrics to ecosystem resilience in a way that is both accurate and interpretable. The imperative to keep high-stakes ecological forecasts interpretable, rather than deferring to opaque black boxes whose failure modes cannot be anticipated, has become a recurring theme in the responsible-AI literature and is especially acute where irreversible conservation decisions are at stake [30]. Figure 4 makes the interacting-stressor logic explicit, tracing how multiple pressures cascade through an ecosystem toward tipping points, and how a forecasting engine converts the resulting risk signals into conservation and policy action.</w:t>
      </w:r>
    </w:p>
    <w:p>
      <w:pPr>
        <w:pStyle w:val="FigureImage"/>
      </w:pPr>
      <w:r>
        <w:drawing>
          <wp:inline xmlns:wp="http://schemas.openxmlformats.org/drawingml/2006/wordprocessingDrawing" distT="0" distB="0" distL="0" distR="0">
            <wp:extent cx="5486400" cy="3305907"/>
            <wp:effectExtent l="0" t="0" r="0" b="0"/>
            <wp:docPr id="1004" name="Figure_4_Stressor_Cascade_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Stressor_Cascade_Decision.png"/>
                    <pic:cNvPicPr/>
                  </pic:nvPicPr>
                  <pic:blipFill>
                    <a:blip xmlns:r="http://schemas.openxmlformats.org/officeDocument/2006/relationships" r:embed="rIdImg4"/>
                    <a:stretch>
                      <a:fillRect/>
                    </a:stretch>
                  </pic:blipFill>
                  <pic:spPr>
                    <a:xfrm>
                      <a:off x="0" y="0"/>
                      <a:ext cx="5486400" cy="3305907"/>
                    </a:xfrm>
                    <a:prstGeom prst="rect">
                      <a:avLst/>
                    </a:prstGeom>
                  </pic:spPr>
                </pic:pic>
              </a:graphicData>
            </a:graphic>
          </wp:inline>
        </w:drawing>
      </w:r>
    </w:p>
    <w:p>
      <w:pPr>
        <w:pStyle w:val="FigureCaption"/>
      </w:pPr>
      <w:r>
        <w:t xml:space="preserve">Figure 4: The interacting-stressor cascade (left)—showing how climate, habitat, pollution, exploitation, and invasive-species pressures combine non-linearly toward ecological tipping points—and the pathway (right) by which AI-driven forecasts are translated into conservation, regulatory, and economic decisions.</w:t>
      </w:r>
    </w:p>
    <w:p>
      <w:pPr>
        <w:pStyle w:val="Normal"/>
      </w:pPr>
      <w:r>
        <w:t xml:space="preserve">These operational systems do not exist in a vacuum; they are increasingly enabled by the broader movement to apply machine learning to environmental grand challenges. Surveys of the field map dozens of high-impact application areas—from remote sensing of deforestation to the modelling of ecosystems and the optimisation of conservation resources—and stress that domain expertise must guide algorithmic choices if the results are to be scientifically sound and operationally useful [31]. Table 4 profiles a representative set of the initiatives discussed in this section, summarising their core approach, spatial scale, primary outputs, and the decision context they are designed to serve. Taken together, these entries reveal a maturing ecosystem of forecasting systems that differ in emphasis—scientific understanding, operational response, planetary mapping, or hybrid resilience analysis—but that share the common architecture of continuous sensing, AI-based inference, and decision-oriented prediction that defines the cognitive digital twin.</w:t>
      </w:r>
    </w:p>
    <w:p>
      <w:pPr>
        <w:pStyle w:val="TableCaption"/>
      </w:pPr>
      <w:r>
        <w:t xml:space="preserve">Table 4: Representative operational AI-driven biodiversity forecasting initiatives.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Initiative</w:t>
            </w:r>
          </w:p>
        </w:tc>
        <w:tc>
          <w:tcPr>
            <w:shd w:val="clear" w:color="auto" w:fill="D9E2F3"/>
          </w:tcPr>
          <w:p>
            <w:pPr>
              <w:jc w:val="center"/>
            </w:pPr>
            <w:r>
              <w:rPr>
                <w:b/>
              </w:rPr>
              <w:t xml:space="preserve">Core approach</w:t>
            </w:r>
          </w:p>
        </w:tc>
        <w:tc>
          <w:tcPr>
            <w:shd w:val="clear" w:color="auto" w:fill="D9E2F3"/>
          </w:tcPr>
          <w:p>
            <w:pPr>
              <w:jc w:val="center"/>
            </w:pPr>
            <w:r>
              <w:rPr>
                <w:b/>
              </w:rPr>
              <w:t xml:space="preserve">Spatial scale</w:t>
            </w:r>
          </w:p>
        </w:tc>
        <w:tc>
          <w:tcPr>
            <w:shd w:val="clear" w:color="auto" w:fill="D9E2F3"/>
          </w:tcPr>
          <w:p>
            <w:pPr>
              <w:jc w:val="center"/>
            </w:pPr>
            <w:r>
              <w:rPr>
                <w:b/>
              </w:rPr>
              <w:t xml:space="preserve">Primary outputs</w:t>
            </w:r>
          </w:p>
        </w:tc>
        <w:tc>
          <w:tcPr>
            <w:shd w:val="clear" w:color="auto" w:fill="D9E2F3"/>
          </w:tcPr>
          <w:p>
            <w:pPr>
              <w:jc w:val="center"/>
            </w:pPr>
            <w:r>
              <w:rPr>
                <w:b/>
              </w:rPr>
              <w:t xml:space="preserve">Decision context</w:t>
            </w:r>
          </w:p>
        </w:tc>
      </w:tr>
      <w:tr>
        <w:tc>
          <w:p>
            <w:pPr>
              <w:spacing w:after="40"/>
            </w:pPr>
            <w:r>
              <w:t xml:space="preserve">BioDT (Biodiversity Digital Twin)</w:t>
            </w:r>
          </w:p>
        </w:tc>
        <w:tc>
          <w:p>
            <w:pPr>
              <w:spacing w:after="40"/>
            </w:pPr>
            <w:r>
              <w:t xml:space="preserve">HPC + AI + mechanistic model-data fusion</w:t>
            </w:r>
          </w:p>
        </w:tc>
        <w:tc>
          <w:p>
            <w:pPr>
              <w:spacing w:after="40"/>
            </w:pPr>
            <w:r>
              <w:t xml:space="preserve">Regional–continental</w:t>
            </w:r>
          </w:p>
        </w:tc>
        <w:tc>
          <w:p>
            <w:pPr>
              <w:spacing w:after="40"/>
            </w:pPr>
            <w:r>
              <w:t xml:space="preserve">Scenario projections, species dynamics</w:t>
            </w:r>
          </w:p>
        </w:tc>
        <w:tc>
          <w:p>
            <w:pPr>
              <w:spacing w:after="40"/>
            </w:pPr>
            <w:r>
              <w:t xml:space="preserve">Science, policy, conservation planning</w:t>
            </w:r>
          </w:p>
        </w:tc>
      </w:tr>
      <w:tr>
        <w:tc>
          <w:p>
            <w:pPr>
              <w:spacing w:after="40"/>
            </w:pPr>
            <w:r>
              <w:t xml:space="preserve">NATURE-FIRST</w:t>
            </w:r>
          </w:p>
        </w:tc>
        <w:tc>
          <w:p>
            <w:pPr>
              <w:spacing w:after="40"/>
            </w:pPr>
            <w:r>
              <w:t xml:space="preserve">Remote sensing + environmental forensics</w:t>
            </w:r>
          </w:p>
        </w:tc>
        <w:tc>
          <w:p>
            <w:pPr>
              <w:spacing w:after="40"/>
            </w:pPr>
            <w:r>
              <w:t xml:space="preserve">Protected areas</w:t>
            </w:r>
          </w:p>
        </w:tc>
        <w:tc>
          <w:p>
            <w:pPr>
              <w:spacing w:after="40"/>
            </w:pPr>
            <w:r>
              <w:t xml:space="preserve">Near-real-time threat alerts</w:t>
            </w:r>
          </w:p>
        </w:tc>
        <w:tc>
          <w:p>
            <w:pPr>
              <w:spacing w:after="40"/>
            </w:pPr>
            <w:r>
              <w:t xml:space="preserve">Ranger operations, enforcement</w:t>
            </w:r>
          </w:p>
        </w:tc>
      </w:tr>
      <w:tr>
        <w:tc>
          <w:p>
            <w:pPr>
              <w:spacing w:after="40"/>
            </w:pPr>
            <w:r>
              <w:t xml:space="preserve">Global species mapping (graph/implicit models)</w:t>
            </w:r>
          </w:p>
        </w:tc>
        <w:tc>
          <w:p>
            <w:pPr>
              <w:spacing w:after="40"/>
            </w:pPr>
            <w:r>
              <w:t xml:space="preserve">Graph neural and implicit representations</w:t>
            </w:r>
          </w:p>
        </w:tc>
        <w:tc>
          <w:p>
            <w:pPr>
              <w:spacing w:after="40"/>
            </w:pPr>
            <w:r>
              <w:t xml:space="preserve">Global</w:t>
            </w:r>
          </w:p>
        </w:tc>
        <w:tc>
          <w:p>
            <w:pPr>
              <w:spacing w:after="40"/>
            </w:pPr>
            <w:r>
              <w:t xml:space="preserve">High-resolution range maps</w:t>
            </w:r>
          </w:p>
        </w:tc>
        <w:tc>
          <w:p>
            <w:pPr>
              <w:spacing w:after="40"/>
            </w:pPr>
            <w:r>
              <w:t xml:space="preserve">Assessment, spatial planning</w:t>
            </w:r>
          </w:p>
        </w:tc>
      </w:tr>
      <w:tr>
        <w:tc>
          <w:p>
            <w:pPr>
              <w:spacing w:after="40"/>
            </w:pPr>
            <w:r>
              <w:t xml:space="preserve">Hybrid Biodiversity Forecasting Engine</w:t>
            </w:r>
          </w:p>
        </w:tc>
        <w:tc>
          <w:p>
            <w:pPr>
              <w:spacing w:after="40"/>
            </w:pPr>
            <w:r>
              <w:t xml:space="preserve">Ecological theory + explainable AI</w:t>
            </w:r>
          </w:p>
        </w:tc>
        <w:tc>
          <w:p>
            <w:pPr>
              <w:spacing w:after="40"/>
            </w:pPr>
            <w:r>
              <w:t xml:space="preserve">Flexible</w:t>
            </w:r>
          </w:p>
        </w:tc>
        <w:tc>
          <w:p>
            <w:pPr>
              <w:spacing w:after="40"/>
            </w:pPr>
            <w:r>
              <w:t xml:space="preserve">Resilience metrics, driver attribution</w:t>
            </w:r>
          </w:p>
        </w:tc>
        <w:tc>
          <w:p>
            <w:pPr>
              <w:spacing w:after="40"/>
            </w:pPr>
            <w:r>
              <w:t xml:space="preserve">Adaptive management</w:t>
            </w:r>
          </w:p>
        </w:tc>
      </w:tr>
    </w:tbl>
    <w:p>
      <w:pPr>
        <w:pStyle w:val="Normal"/>
      </w:pPr>
      <w:r>
        <w:t xml:space="preserve">It is important to read Table 4 as a snapshot of a fast-moving field rather than a fixed catalogue. The boundaries between the categories are dissolving as projects borrow one another's techniques: forensic platforms are adopting scenario modelling, global mapping efforts are incorporating mechanistic constraints, and scientific twins are adding real-time alerting. What unites them, and what distinguishes this generation of systems from earlier statistical monitoring, is the closed feedback loop of Figure 1—the continuous reconciliation of a virtual ecosystem against streaming observation—together with the explanatory layer that renders their forecasts intelligible and therefore actionable. The remaining obstacles to realising this vision at scale, and the frameworks needed to translate forecasts into real-world outcomes, are the subject of the final section.</w:t>
      </w:r>
    </w:p>
    <w:p>
      <w:pPr>
        <w:pStyle w:val="Heading1"/>
      </w:pPr>
      <w:r>
        <w:t xml:space="preserve">4. Challenges, Decision Integration, and Future Directions</w:t>
      </w:r>
    </w:p>
    <w:p>
      <w:pPr>
        <w:pStyle w:val="Normal"/>
      </w:pPr>
      <w:r>
        <w:t xml:space="preserve">For all their promise, AI-driven biodiversity forecasting systems confront a set of obstacles that are as much about data and institutions as about algorithms. The most fundamental is data scarcity and bias. Global analyses of occurrence records reveal that biodiversity information is profoundly uneven, concentrated in wealthy, accessible, temperate regions and thin precisely in the megadiverse tropics where the stakes are highest; closing these gaps has been identified as a global priority for building an effective information basis for biodiversity distributions [32]. The problem is not merely one of volume but of structure: the large citizen-science and museum datasets on which many models depend carry strong spatial and taxonomic biases, and modelling species' distributions from such data without correcting for that bias can produce confidently wrong forecasts that misdirect conservation resources [33]. Because machine-learning models faithfully reproduce and can even amplify the biases in their training data, an uncritical scaling-up of AI risks entrenching a distorted picture of where biodiversity lives and where it is most at risk—an especially dangerous failure mode given the uneven data landscape catalogued in Table 2.</w:t>
      </w:r>
    </w:p>
    <w:p>
      <w:pPr>
        <w:pStyle w:val="Normal"/>
      </w:pPr>
      <w:r>
        <w:t xml:space="preserve">A second cluster of challenges concerns model uncertainty and the standardisation of forecasts. Ecological systems are stochastic, partially observed, and governed by processes that operate across many scales, so every forecast carries irreducible uncertainty that must be quantified and communicated rather than hidden. The discipline of iterative near-term ecological forecasting has argued that predictions should be issued repeatedly, at defined horizons, with explicit uncertainty, and then rigorously scored against what actually happens, so that models improve through a cycle of prediction and validation analogous to numerical weather forecasting [8]. This demands agreed standards—for forecast horizons, for skill metrics, for the representation of uncertainty—that the field has only begun to establish. Without such standards, forecasts from different platforms cannot be compared, aggregated, or trusted, and the very abundance of competing predictions can become a source of confusion rather than clarity. The Bayesian and hybrid methods highlighted in Table 3 offer principled machinery for uncertainty quantification, but their adoption remains uneven, and computational cost still limits how comprehensively uncertainty can be propagated through large forecasting pipelines.</w:t>
      </w:r>
    </w:p>
    <w:p>
      <w:pPr>
        <w:pStyle w:val="Normal"/>
      </w:pPr>
      <w:r>
        <w:t xml:space="preserve">A third challenge is interpretability and trust in high-stakes settings. As argued in Section 3, conservation and regulatory decisions are frequently irreversible and resource-constrained, which raises the bar for the transparency of the models that inform them. The case for preferring interpretable models, or at minimum for rigorously explaining complex ones, is strongest exactly where the consequences of error are gravest [30]. The explainability techniques surveyed in Section 2—feature attribution and local surrogate explanation among them—are necessary but not sufficient; they are approximate by construction and can themselves mislead if applied naively. Building genuine trust therefore requires not only technical explanation but also the co-design of forecasting systems with the ecologists, managers, and communities who will use them, so that the models answer the questions that actually matter on the ground.</w:t>
      </w:r>
    </w:p>
    <w:p>
      <w:pPr>
        <w:pStyle w:val="Normal"/>
      </w:pPr>
      <w:r>
        <w:t xml:space="preserve">A fourth challenge, easily overlooked in technically framed discussions, is equity. The regions richest in biodiversity are frequently those poorest in monitoring infrastructure, computational capacity, and the specialised expertise that AI forecasting demands, which means that the communities most affected by ecological decline may have the least influence over the systems built to predict it. The same data gaps that bias global models [32] reflect a deeper asymmetry in whose ecosystems are observed and whose priorities are encoded, and forecasting platforms developed entirely in the Global North risk importing assumptions that fit poorly elsewhere. Sustainable adoption therefore depends as much on capacity building, open tooling, and genuine partnership as on algorithmic sophistication; forensic conservation platforms deployed in protected areas, for instance, are effective only when local rangers and managers are equipped and trusted to act on their alerts [5]. Correcting sampling bias is thus not only a statistical procedure but a governance commitment, requiring investment in observation networks where they are thinnest and the meaningful participation of local and Indigenous knowledge holders in defining what a model should predict and value. Without such commitments, the risk is a two-tier system in which predictive intelligence sharpens conservation in data-rich regions while leaving the most vulnerable ecosystems as blind spots—an outcome that would compound rather than correct the inequities already visible in the occurrence records [33].</w:t>
      </w:r>
    </w:p>
    <w:p>
      <w:pPr>
        <w:pStyle w:val="Normal"/>
      </w:pPr>
      <w:r>
        <w:t xml:space="preserve">These technical challenges, however, are ultimately subordinate to a larger question: whether biodiversity forecasts change decisions at all. A forecast that is scientifically excellent but institutionally ignored delivers no conservation value. The decisive frontier, therefore, is the integration of prediction into the economic, regulatory, and corporate frameworks that actually allocate resources and set incentives. The landmark review of the economics of biodiversity reframed nature as an asset whose depreciation must be accounted for in measures of wealth and economic performance, arguing that the systematic exclusion of natural capital from economic reasoning is a root cause of its decline [9]. AI-driven forecasts are exactly the instrument needed to make that accounting operational, because they can translate ecological change into forward-looking, spatially explicit risk estimates that a treasury, an insurer, or a regulator can price. This connection—from forecast to decision—is the final link in the pathway drawn on the right-hand side of Figure 4, and it is where the value chain of the cognitive digital twin is ultimately closed.</w:t>
      </w:r>
    </w:p>
    <w:p>
      <w:pPr>
        <w:pStyle w:val="Normal"/>
      </w:pPr>
      <w:r>
        <w:t xml:space="preserve">The corporate and financial dimension of this integration is advancing quickly. Frameworks for nature-related financial disclosure now ask firms to identify, assess, and report their dependencies and impacts on nature, creating a direct demand for the kind of forward-looking, location-specific biodiversity risk information that AI forecasting is uniquely able to supply [34]. As these disclosure regimes mature, biodiversity forecasts cease to be the concern of conservation agencies alone and become inputs to mainstream capital allocation, supply-chain management, and insurance underwriting. The initiatives profiled in Table 4 are therefore not merely scientific instruments but the seeds of a decision infrastructure that spans science, policy, and finance. When a scenario projection from a system like BioDT can inform a protected-area investment, or when a threat alert from a forensic platform can trigger an enforcement response, the forecast has completed its journey from data to action along the pathway of Figure 4.</w:t>
      </w:r>
    </w:p>
    <w:p>
      <w:pPr>
        <w:pStyle w:val="Normal"/>
      </w:pPr>
      <w:r>
        <w:t xml:space="preserve">Realising this decision infrastructure at scale will require forecasting to move from the research cluster to the field, and here the broader machine-learning-for-sustainability agenda offers both tools and cautions. The catalogue of high-impact applications assembled by that community stresses that models must be matched to the operational realities of deployment—intermittent connectivity, constrained power, and non-expert users—if they are to deliver value beyond the laboratory [31]. Edge computing, model compression, and on-device inference increasingly allow acoustic recognisers and camera-trap classifiers to run on inexpensive hardware in remote locations, streaming compact detections rather than raw data and thereby extending observation into places that no network could otherwise reach [2]. At the same time, the computational and energy cost of training the largest models is itself an environmental consideration, a reminder that a technology deployed in the service of sustainability must account for its own footprint. The practical art of biodiversity forecasting, then, is not only to build accurate models but to embed them responsibly and durably within the human and institutional systems that will operate them—closing the loop between prediction and action not once, in a demonstration, but continuously, as a routine part of how ecosystems are managed.</w:t>
      </w:r>
    </w:p>
    <w:p>
      <w:pPr>
        <w:pStyle w:val="Normal"/>
      </w:pPr>
      <w:r>
        <w:t xml:space="preserve">Looking ahead, several directions are likely to define the next generation of biodiversity forecasting. The consolidation of the natural environment digital twin as an organising paradigm promises to unify the fragmented systems described in Section 3 into interoperable, continuously updated virtual replicas of ecosystems that can be queried by scientists, managers, and citizens alike [35]. Progress along this path will depend on advances on several fronts at once: richer and less biased observation, especially in under-sampled regions; foundation models pre-trained on massive multimodal environmental data that can be adapted to specific forecasting tasks with limited local data; tighter coupling of mechanistic ecological theory with flexible learning, as urged by the hybrid-engine philosophy of Section 3; and standardised, uncertainty-aware forecasting protocols that make predictions comparable and verifiable. Equally important will be advances in governance—open data, shared benchmarks, equitable access, and the meaningful participation of the communities and nations that steward the world's biodiversity—so that the benefits of predictive intelligence are distributed as widely as the crisis it seeks to address.</w:t>
      </w:r>
    </w:p>
    <w:p>
      <w:pPr>
        <w:pStyle w:val="Normal"/>
      </w:pPr>
      <w:r>
        <w:t xml:space="preserve">The overarching message of this chapter is that artificial intelligence is shifting biodiversity science from a posture of retrospective accounting to one of anticipatory stewardship. By fusing the multi-source observation summarised in Table 2, applying the family of methods compared in Table 3 to the drivers and indicators catalogued in Table 1, and assembling the whole into the cognitive digital twins whose architecture is drawn in Figure 1 and whose operational exemplars are profiled in Table 4, the field is acquiring the capacity to see ecological decline before it becomes irreversible. Realising that capacity fully will require honest engagement with the data, uncertainty, and trust challenges catalogued above, and, above all, the integration of forecasts into the economic and regulatory machinery that governs humanity's relationship with the rest of life on Earth. The cascade from stressor to tipping point depicted in Figure 4 is not inevitable; with predictive intelligence embedded in decisions, it becomes a trajectory that can be foreseen, and therefore changed.</w:t>
      </w:r>
    </w:p>
    <w:p>
      <w:pPr>
        <w:pStyle w:val="Heading1"/>
      </w:pPr>
      <w:r>
        <w:t xml:space="preserve">References</w:t>
      </w:r>
    </w:p>
    <w:p>
      <w:pPr>
        <w:pStyle w:val="References"/>
      </w:pPr>
      <w:r>
        <w:t xml:space="preserve">[1] IPBES (2019). Global Assessment Report on Biodiversity and Ecosystem Services of the Intergovernmental Science-Policy Platform on Biodiversity and Ecosystem Services. IPBES Secretariat, Bonn, Germany.</w:t>
      </w:r>
    </w:p>
    <w:p>
      <w:pPr>
        <w:pStyle w:val="References"/>
      </w:pPr>
      <w:r>
        <w:t xml:space="preserve">[2] Tuia, D., Kellenberger, B., Beery, S., et al. (2022). Perspectives in machine learning for wildlife conservation. Nature Communications, 13, 792.</w:t>
      </w:r>
    </w:p>
    <w:p>
      <w:pPr>
        <w:pStyle w:val="References"/>
      </w:pPr>
      <w:r>
        <w:t xml:space="preserve">[3] Cole, E., Van Horn, G., Lange, C., et al. (2023). Spatial Implicit Neural Representations for Global-Scale Species Mapping. Proceedings of the 40th International Conference on Machine Learning (ICML), PMLR 202.</w:t>
      </w:r>
    </w:p>
    <w:p>
      <w:pPr>
        <w:pStyle w:val="References"/>
      </w:pPr>
      <w:r>
        <w:t xml:space="preserve">[4] Martin, C. S., Poursanidis, D., de Koning, K., et al. (2023). The Biodiversity Digital Twin (BioDT): advancing biodiversity modelling and prediction with high-performance computing. Research Ideas and Outcomes, 9, e103675.</w:t>
      </w:r>
    </w:p>
    <w:p>
      <w:pPr>
        <w:pStyle w:val="References"/>
      </w:pPr>
      <w:r>
        <w:t xml:space="preserve">[5] NATURE-FIRST Consortium (2022). Nature-based, data-driven forensic conservation: near-real-time monitoring and predictive intelligence for protected areas. Horizon 2020 Project No. 101003757, Deliverable Report.</w:t>
      </w:r>
    </w:p>
    <w:p>
      <w:pPr>
        <w:pStyle w:val="References"/>
      </w:pPr>
      <w:r>
        <w:t xml:space="preserve">[6] Urban, M. C., Bocedi, G., Hendry, A. P., et al. (2016). Improving the forecast for biodiversity under climate change. Science, 353(6304), aad8466.</w:t>
      </w:r>
    </w:p>
    <w:p>
      <w:pPr>
        <w:pStyle w:val="References"/>
      </w:pPr>
      <w:r>
        <w:t xml:space="preserve">[7] Brook, B. W., Sodhi, N. S., &amp; Bradshaw, C. J. A. (2008). Synergies among extinction drivers under global change. Trends in Ecology &amp; Evolution, 23(8), 453–460.</w:t>
      </w:r>
    </w:p>
    <w:p>
      <w:pPr>
        <w:pStyle w:val="References"/>
      </w:pPr>
      <w:r>
        <w:t xml:space="preserve">[8] Dietze, M. C., Fox, A., Beck-Johnson, L. M., et al. (2018). Iterative near-term ecological forecasting: Needs, opportunities, and challenges. Proceedings of the National Academy of Sciences, 115(7), 1424–1432.</w:t>
      </w:r>
    </w:p>
    <w:p>
      <w:pPr>
        <w:pStyle w:val="References"/>
      </w:pPr>
      <w:r>
        <w:t xml:space="preserve">[9] Dasgupta, P. (2021). The Economics of Biodiversity: The Dasgupta Review. HM Treasury, London.</w:t>
      </w:r>
    </w:p>
    <w:p>
      <w:pPr>
        <w:pStyle w:val="References"/>
      </w:pPr>
      <w:r>
        <w:t xml:space="preserve">[10] Díaz, S., Settele, J., Brondízio, E. S., et al. (2019). Pervasive human-driven decline of life on Earth points to the need for transformative change. Science, 366(6471), eaax3100.</w:t>
      </w:r>
    </w:p>
    <w:p>
      <w:pPr>
        <w:pStyle w:val="References"/>
      </w:pPr>
      <w:r>
        <w:t xml:space="preserve">[11] Ceballos, G., Ehrlich, P. R., &amp; Dirzo, R. (2017). Biological annihilation via the ongoing sixth mass extinction signaled by vertebrate population losses and declines. Proceedings of the National Academy of Sciences, 114(30), E6089–E6096.</w:t>
      </w:r>
    </w:p>
    <w:p>
      <w:pPr>
        <w:pStyle w:val="References"/>
      </w:pPr>
      <w:r>
        <w:t xml:space="preserve">[12] Pimm, S. L., Jenkins, C. N., Abell, R., et al. (2014). The biodiversity of species and their rates of extinction, distribution, and protection. Science, 344(6187), 1246752.</w:t>
      </w:r>
    </w:p>
    <w:p>
      <w:pPr>
        <w:pStyle w:val="References"/>
      </w:pPr>
      <w:r>
        <w:t xml:space="preserve">[13] WWF (2022). Living Planet Report 2022 – Building a Nature-Positive Society. WWF, Gland, Switzerland.</w:t>
      </w:r>
    </w:p>
    <w:p>
      <w:pPr>
        <w:pStyle w:val="References"/>
      </w:pPr>
      <w:r>
        <w:t xml:space="preserve">[14] Bellard, C., Bertelsmeier, C., Leadley, P., Thuiller, W., &amp; Courchamp, F. (2012). Impacts of climate change on the future of biodiversity. Ecology Letters, 15(4), 365–377.</w:t>
      </w:r>
    </w:p>
    <w:p>
      <w:pPr>
        <w:pStyle w:val="References"/>
      </w:pPr>
      <w:r>
        <w:t xml:space="preserve">[15] Sala, O. E., Chapin, F. S., Armesto, J. J., et al. (2000). Global biodiversity scenarios for the year 2100. Science, 287(5459), 1770–1774.</w:t>
      </w:r>
    </w:p>
    <w:p>
      <w:pPr>
        <w:pStyle w:val="References"/>
      </w:pPr>
      <w:r>
        <w:t xml:space="preserve">[16] Grieves, M., &amp; Vickers, J. (2017). Digital twin: mitigating unpredictable, undesirable emergent behavior in complex systems. In Transdisciplinary Perspectives on Complex Systems (pp. 85–113). Springer.</w:t>
      </w:r>
    </w:p>
    <w:p>
      <w:pPr>
        <w:pStyle w:val="References"/>
      </w:pPr>
      <w:r>
        <w:t xml:space="preserve">[17] de Koning, K., Broekhuijsen, J., Kühn, I., et al. (2023). Digital twins: dynamic model-data fusion for ecology. Trends in Ecology &amp; Evolution, 38(10), 916–926.</w:t>
      </w:r>
    </w:p>
    <w:p>
      <w:pPr>
        <w:pStyle w:val="References"/>
      </w:pPr>
      <w:r>
        <w:t xml:space="preserve">[18] Pereira, H. M., Ferrier, S., Walters, M., et al. (2013). Essential biodiversity variables. Science, 339(6117), 277–278.</w:t>
      </w:r>
    </w:p>
    <w:p>
      <w:pPr>
        <w:pStyle w:val="References"/>
      </w:pPr>
      <w:r>
        <w:t xml:space="preserve">[19] Jetz, W., McPherson, J. M., &amp; Guralnick, R. P. (2012). Integrating biodiversity distribution knowledge: toward a global map of life. Trends in Ecology &amp; Evolution, 27(3), 151–159.</w:t>
      </w:r>
    </w:p>
    <w:p>
      <w:pPr>
        <w:pStyle w:val="References"/>
      </w:pPr>
      <w:r>
        <w:t xml:space="preserve">[20] Deiner, K., Bik, H. M., Mächler, E., et al. (2017). Environmental DNA metabarcoding: Transforming how we survey animal and plant communities. Molecular Ecology, 26(21), 5872–5895.</w:t>
      </w:r>
    </w:p>
    <w:p>
      <w:pPr>
        <w:pStyle w:val="References"/>
      </w:pPr>
      <w:r>
        <w:t xml:space="preserve">[21] Elith, J., &amp; Leathwick, J. R. (2009). Species distribution models: ecological explanation and prediction across space and time. Annual Review of Ecology, Evolution, and Systematics, 40, 677–697.</w:t>
      </w:r>
    </w:p>
    <w:p>
      <w:pPr>
        <w:pStyle w:val="References"/>
      </w:pPr>
      <w:r>
        <w:t xml:space="preserve">[22] Zhu, X. X., Tuia, D., Mou, L., et al. (2017). Deep learning in remote sensing: A comprehensive review and list of resources. IEEE Geoscience and Remote Sensing Magazine, 5(4), 8–36.</w:t>
      </w:r>
    </w:p>
    <w:p>
      <w:pPr>
        <w:pStyle w:val="References"/>
      </w:pPr>
      <w:r>
        <w:t xml:space="preserve">[23] Christin, S., Hervet, É., &amp; Lecomte, N. (2019). Applications for deep learning in ecology. Methods in Ecology and Evolution, 10(10), 1632–1644.</w:t>
      </w:r>
    </w:p>
    <w:p>
      <w:pPr>
        <w:pStyle w:val="References"/>
      </w:pPr>
      <w:r>
        <w:t xml:space="preserve">[24] Deneu, B., Servajean, M., Bonnet, P., et al. (2021). Convolutional neural networks improve species distribution modelling by capturing the spatial structure of the environment. PLoS Computational Biology, 17(4), e1008856.</w:t>
      </w:r>
    </w:p>
    <w:p>
      <w:pPr>
        <w:pStyle w:val="References"/>
      </w:pPr>
      <w:r>
        <w:t xml:space="preserve">[25] Norouzzadeh, M. S., Nguyen, A., Kosmala, M., et al. (2018). Automatically identifying, counting, and describing wild animals in camera-trap images with deep learning. Proceedings of the National Academy of Sciences, 115(25), E5716–E5725.</w:t>
      </w:r>
    </w:p>
    <w:p>
      <w:pPr>
        <w:pStyle w:val="References"/>
      </w:pPr>
      <w:r>
        <w:t xml:space="preserve">[26] Lundberg, S. M., &amp; Lee, S. I. (2017). A unified approach to interpreting model predictions. Advances in Neural Information Processing Systems (NeurIPS), 30, 4765–4774.</w:t>
      </w:r>
    </w:p>
    <w:p>
      <w:pPr>
        <w:pStyle w:val="References"/>
      </w:pPr>
      <w:r>
        <w:t xml:space="preserve">[27] Ribeiro, M. T., Singh, S., &amp; Guestrin, C. (2016). "Why should I trust you?": Explaining the predictions of any classifier. Proceedings of the 22nd ACM SIGKDD International Conference on Knowledge Discovery and Data Mining, 1135–1144.</w:t>
      </w:r>
    </w:p>
    <w:p>
      <w:pPr>
        <w:pStyle w:val="References"/>
      </w:pPr>
      <w:r>
        <w:t xml:space="preserve">[28] Purves, D., Scharlemann, J. P. W., Harfoot, M., et al. (2013). Time to model all life on Earth. Nature, 493(7432), 295–297.</w:t>
      </w:r>
    </w:p>
    <w:p>
      <w:pPr>
        <w:pStyle w:val="References"/>
      </w:pPr>
      <w:r>
        <w:t xml:space="preserve">[29] Mouquet, N., Lagadeuc, Y., Devictor, V., et al. (2015). Predictive ecology in a changing world. Journal of Applied Ecology, 52(5), 1293–1310.</w:t>
      </w:r>
    </w:p>
    <w:p>
      <w:pPr>
        <w:pStyle w:val="References"/>
      </w:pPr>
      <w:r>
        <w:t xml:space="preserve">[30] Rudin, C. (2019). Stop explaining black box machine learning models for high stakes decisions and use interpretable models instead. Nature Machine Intelligence, 1(5), 206–215.</w:t>
      </w:r>
    </w:p>
    <w:p>
      <w:pPr>
        <w:pStyle w:val="References"/>
      </w:pPr>
      <w:r>
        <w:t xml:space="preserve">[31] Rolnick, D., Donti, P. L., Kaack, L. H., et al. (2022). Tackling climate change with machine learning. ACM Computing Surveys, 55(2), 1–96.</w:t>
      </w:r>
    </w:p>
    <w:p>
      <w:pPr>
        <w:pStyle w:val="References"/>
      </w:pPr>
      <w:r>
        <w:t xml:space="preserve">[32] Meyer, C., Kreft, H., Guralnick, R., &amp; Jetz, W. (2015). Global priorities for an effective information basis of biodiversity distributions. Nature Communications, 6, 8221.</w:t>
      </w:r>
    </w:p>
    <w:p>
      <w:pPr>
        <w:pStyle w:val="References"/>
      </w:pPr>
      <w:r>
        <w:t xml:space="preserve">[33] Beck, J., Böller, M., Erhardt, A., &amp; Schwanghart, W. (2014). Spatial bias in the GBIF database and its effect on modeling species' geographic distributions. Ecological Informatics, 19, 10–15.</w:t>
      </w:r>
    </w:p>
    <w:p>
      <w:pPr>
        <w:pStyle w:val="References"/>
      </w:pPr>
      <w:r>
        <w:t xml:space="preserve">[34] TNFD (2023). Recommendations of the Taskforce on Nature-related Financial Disclosures. Taskforce on Nature-related Financial Disclosures.</w:t>
      </w:r>
    </w:p>
    <w:p>
      <w:pPr>
        <w:pStyle w:val="References"/>
      </w:pPr>
      <w:r>
        <w:t xml:space="preserve">[35] Blair, G. S. (2021). Digital twins of the natural environment. Patterns, 2(10), 100359.</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character" w:styleId="Hyperlink">
    <w:name w:val="Hyperlink"/>
    <w:rPr>
      <w:color w:val="0563C1"/>
      <w:u w:val="single"/>
    </w:r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Cognitive_Digital_Twin.png"/>
  <Relationship Id="rIdImg2" Type="http://schemas.openxmlformats.org/officeDocument/2006/relationships/image" Target="media/Figure_2_Data_Fusion_Pipeline.png"/>
  <Relationship Id="rIdImg3" Type="http://schemas.openxmlformats.org/officeDocument/2006/relationships/image" Target="media/Figure_3_Methods_GNN_Workflow.png"/>
  <Relationship Id="rIdImg4" Type="http://schemas.openxmlformats.org/officeDocument/2006/relationships/image" Target="media/Figure_4_Stressor_Cascade_Decision.png"/>
  <Relationship Id="rIdLink1" Type="http://schemas.openxmlformats.org/officeDocument/2006/relationships/hyperlink" Target="https://biodt.eu" TargetMode="External"/>
  <Relationship Id="rIdLink2" Type="http://schemas.openxmlformats.org/officeDocument/2006/relationships/hyperlink" Target="https://www.nature-first.eu" TargetMode="External"/>
</Relationships>
</file>