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Structured Table of Contents</w:t>
      </w:r>
    </w:p>
    <w:p>
      <w:pPr>
        <w:pStyle w:val="AuthorLine"/>
      </w:pPr>
      <w:r>
        <w:t xml:space="preserve">Book: AI for Space Traffic Management and Mission Operations</w:t>
      </w:r>
    </w:p>
    <w:p>
      <w:pPr>
        <w:pStyle w:val="AuthorLine"/>
      </w:pPr>
      <w:r>
        <w:t xml:space="preserve">Chapter 5: Human-in-the-Loop and Explainable AI in Mission Control Systems</w:t>
      </w:r>
    </w:p>
    <w:p>
      <w:pPr>
        <w:pStyle w:val="AuthorLine"/>
      </w:pPr>
      <w:r>
        <w:t xml:space="preserve">Amman Jakhar and Sachin Kalsi — Department of Mechanical Engineering, Chandigarh University, Mohali, Punjab-140301, India</w:t>
      </w:r>
    </w:p>
    <w:p>
      <w:pPr>
        <w:spacing w:after="120"/>
      </w:pPr>
    </w:p>
    <w:p>
      <w:pPr>
        <w:pStyle w:val="Heading1"/>
      </w:pPr>
      <w:r>
        <w:t xml:space="preserve">Abstract</w:t>
      </w:r>
    </w:p>
    <w:p>
      <w:pPr>
        <w:pStyle w:val="Heading1"/>
      </w:pPr>
      <w:r>
        <w:t xml:space="preserve">Keywords</w:t>
      </w:r>
    </w:p>
    <w:p>
      <w:pPr>
        <w:pStyle w:val="Heading1"/>
      </w:pPr>
      <w:r>
        <w:t xml:space="preserve">5.1. Introduction</w:t>
      </w:r>
    </w:p>
    <w:p>
      <w:pPr>
        <w:pStyle w:val="Heading2"/>
      </w:pPr>
      <w:r>
        <w:t xml:space="preserve">5.1.1. The shifting locus of control in space operations</w:t>
      </w:r>
    </w:p>
    <w:p>
      <w:pPr>
        <w:pStyle w:val="Heading2"/>
      </w:pPr>
      <w:r>
        <w:t xml:space="preserve">5.1.2. Scope and contributions of this chapter</w:t>
      </w:r>
    </w:p>
    <w:p>
      <w:pPr>
        <w:pStyle w:val="Heading1"/>
      </w:pPr>
      <w:r>
        <w:t xml:space="preserve">5.2. Foundations of Human-in-the-Loop Mission Control</w:t>
      </w:r>
    </w:p>
    <w:p>
      <w:pPr>
        <w:pStyle w:val="Heading2"/>
      </w:pPr>
      <w:r>
        <w:t xml:space="preserve">5.2.1. The autonomy spectrum</w:t>
      </w:r>
    </w:p>
    <w:p>
      <w:pPr>
        <w:pStyle w:val="Heading2"/>
      </w:pPr>
      <w:r>
        <w:t xml:space="preserve">5.2.2. Communication latency and the case for onboard autonomy</w:t>
      </w:r>
    </w:p>
    <w:p>
      <w:pPr>
        <w:pStyle w:val="Heading2"/>
      </w:pPr>
      <w:r>
        <w:t xml:space="preserve">5.2.3. Allocating authority as a function of latency and urgency</w:t>
      </w:r>
    </w:p>
    <w:p>
      <w:pPr>
        <w:pStyle w:val="Heading1"/>
      </w:pPr>
      <w:r>
        <w:t xml:space="preserve">5.3. Explainable AI for Human-AI Teaming in Space</w:t>
      </w:r>
    </w:p>
    <w:p>
      <w:pPr>
        <w:pStyle w:val="Heading2"/>
      </w:pPr>
      <w:r>
        <w:t xml:space="preserve">5.3.1. Why explainability matters in safety-critical operations</w:t>
      </w:r>
    </w:p>
    <w:p>
      <w:pPr>
        <w:pStyle w:val="Heading2"/>
      </w:pPr>
      <w:r>
        <w:t xml:space="preserve">5.3.2. A taxonomy of explanation types</w:t>
      </w:r>
    </w:p>
    <w:p>
      <w:pPr>
        <w:pStyle w:val="Heading2"/>
      </w:pPr>
      <w:r>
        <w:t xml:space="preserve">5.3.3. Empirical effects on trust, situation awareness, and workload</w:t>
      </w:r>
    </w:p>
    <w:p>
      <w:pPr>
        <w:pStyle w:val="Heading2"/>
      </w:pPr>
      <w:r>
        <w:t xml:space="preserve">5.3.4. Explanation depth under uncertainty</w:t>
      </w:r>
    </w:p>
    <w:p>
      <w:pPr>
        <w:pStyle w:val="Heading1"/>
      </w:pPr>
      <w:r>
        <w:t xml:space="preserve">5.4. Architecting HITL-XAI Mission Control Systems</w:t>
      </w:r>
    </w:p>
    <w:p>
      <w:pPr>
        <w:pStyle w:val="Heading2"/>
      </w:pPr>
      <w:r>
        <w:t xml:space="preserve">5.4.1. A layered reference architecture</w:t>
      </w:r>
    </w:p>
    <w:p>
      <w:pPr>
        <w:pStyle w:val="Heading2"/>
      </w:pPr>
      <w:r>
        <w:t xml:space="preserve">5.4.2. Hierarchical planning, truth maintenance, and case-based reasoning</w:t>
      </w:r>
    </w:p>
    <w:p>
      <w:pPr>
        <w:pStyle w:val="Heading2"/>
      </w:pPr>
      <w:r>
        <w:t xml:space="preserve">5.4.3. Explanation generation and interface design</w:t>
      </w:r>
    </w:p>
    <w:p>
      <w:pPr>
        <w:pStyle w:val="Heading2"/>
      </w:pPr>
      <w:r>
        <w:t xml:space="preserve">5.4.4. Trust calibration and cognitive-load management</w:t>
      </w:r>
    </w:p>
    <w:p>
      <w:pPr>
        <w:pStyle w:val="Heading1"/>
      </w:pPr>
      <w:r>
        <w:t xml:space="preserve">5.5. Emerging Deployments and Case Studies</w:t>
      </w:r>
    </w:p>
    <w:p>
      <w:pPr>
        <w:pStyle w:val="Heading2"/>
      </w:pPr>
      <w:r>
        <w:t xml:space="preserve">5.5.1. Onboard language models and the virtual flight controller</w:t>
      </w:r>
    </w:p>
    <w:p>
      <w:pPr>
        <w:pStyle w:val="Heading2"/>
      </w:pPr>
      <w:r>
        <w:t xml:space="preserve">5.5.2. Autonomous collision avoidance and space traffic management</w:t>
      </w:r>
    </w:p>
    <w:p>
      <w:pPr>
        <w:pStyle w:val="Heading2"/>
      </w:pPr>
      <w:r>
        <w:t xml:space="preserve">5.5.3. Comparative synthesis</w:t>
      </w:r>
    </w:p>
    <w:p>
      <w:pPr>
        <w:pStyle w:val="Heading1"/>
      </w:pPr>
      <w:r>
        <w:t xml:space="preserve">5.6. Challenges, Open Problems, and Research Directions</w:t>
      </w:r>
    </w:p>
    <w:p>
      <w:pPr>
        <w:pStyle w:val="Heading2"/>
      </w:pPr>
      <w:r>
        <w:t xml:space="preserve">5.6.1. Verification, validation, and certification</w:t>
      </w:r>
    </w:p>
    <w:p>
      <w:pPr>
        <w:pStyle w:val="Heading2"/>
      </w:pPr>
      <w:r>
        <w:t xml:space="preserve">5.6.2. Human factors: workload, skill retention, and vigilance</w:t>
      </w:r>
    </w:p>
    <w:p>
      <w:pPr>
        <w:pStyle w:val="Heading2"/>
      </w:pPr>
      <w:r>
        <w:t xml:space="preserve">5.6.3. Ethics, accountability, and the locus of authority</w:t>
      </w:r>
    </w:p>
    <w:p>
      <w:pPr>
        <w:pStyle w:val="Heading1"/>
      </w:pPr>
      <w:r>
        <w:t xml:space="preserve">5.7. Conclusion</w:t>
      </w:r>
    </w:p>
    <w:p>
      <w:pPr>
        <w:pStyle w:val="Heading1"/>
      </w:pPr>
      <w:r>
        <w:t xml:space="preserve">References</w:t>
      </w:r>
    </w:p>
    <w:p>
      <w:pPr>
        <w:pStyle w:val="Heading1"/>
      </w:pPr>
      <w:r>
        <w:t xml:space="preserve">List of Figures</w:t>
      </w:r>
    </w:p>
    <w:p>
      <w:pPr>
        <w:pStyle w:val="Normal"/>
      </w:pPr>
      <w:r>
        <w:t xml:space="preserve">Figure 5.1. The autonomy spectrum in mission control, aligned with one-way communication latency.</w:t>
      </w:r>
    </w:p>
    <w:p>
      <w:pPr>
        <w:pStyle w:val="Normal"/>
      </w:pPr>
      <w:r>
        <w:t xml:space="preserve">Figure 5.2. Reference architecture of a human-in-the-loop, explainable-AI mission control system.</w:t>
      </w:r>
    </w:p>
    <w:p>
      <w:pPr>
        <w:pStyle w:val="Normal"/>
      </w:pPr>
      <w:r>
        <w:t xml:space="preserve">Figure 5.3. Taxonomy of explanation types for mission-control XAI (scope, form, timing).</w:t>
      </w:r>
    </w:p>
    <w:p>
      <w:pPr>
        <w:pStyle w:val="Normal"/>
      </w:pPr>
      <w:r>
        <w:t xml:space="preserve">Figure 5.4. Explanation depth versus operator performance and cognitive load.</w:t>
      </w:r>
    </w:p>
    <w:p>
      <w:pPr>
        <w:pStyle w:val="Heading1"/>
      </w:pPr>
      <w:r>
        <w:t xml:space="preserve">List of Tables</w:t>
      </w:r>
    </w:p>
    <w:p>
      <w:pPr>
        <w:pStyle w:val="Normal"/>
      </w:pPr>
      <w:r>
        <w:t xml:space="preserve">Table 5.1. Loop configurations across the autonomy spectrum.</w:t>
      </w:r>
    </w:p>
    <w:p>
      <w:pPr>
        <w:pStyle w:val="Normal"/>
      </w:pPr>
      <w:r>
        <w:t xml:space="preserve">Table 5.2. Explanation types with mission-control examples, benefits, and costs.</w:t>
      </w:r>
    </w:p>
    <w:p>
      <w:pPr>
        <w:pStyle w:val="Normal"/>
      </w:pPr>
      <w:r>
        <w:t xml:space="preserve">Table 5.3. Comparative synthesis of emerging HITL-XAI deployments.</w:t>
      </w:r>
    </w:p>
    <w:p>
      <w:pPr>
        <w:pStyle w:val="Normal"/>
      </w:pPr>
      <w:r>
        <w:t xml:space="preserve">Table 5.4. Open challenges and recommended research directions.</w:t>
      </w:r>
    </w:p>
    <w:p>
      <w:pPr>
        <w:pStyle w:val="Heading1"/>
      </w:pPr>
      <w:r>
        <w:t xml:space="preserve">List of Equations</w:t>
      </w:r>
    </w:p>
    <w:p>
      <w:pPr>
        <w:pStyle w:val="Normal"/>
      </w:pPr>
      <w:r>
        <w:t xml:space="preserve">Equation (5.1). Onboard authority allocation rule based on decision deadline and consultation time.</w:t>
      </w:r>
    </w:p>
    <w:p>
      <w:pPr>
        <w:pStyle w:val="Normal"/>
      </w:pPr>
      <w:r>
        <w:t xml:space="preserve">Equation (5.2). Trust-miscalibration measure between operator reliance and system reliability.</w:t>
      </w:r>
    </w:p>
    <w:p>
      <w:pPr>
        <w:pStyle w:val="Normal"/>
      </w:pPr>
      <w:r>
        <w:t xml:space="preserve">Equation (5.3). Net utility of explanation depth (benefit minus weighted cognitive cost).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  <w:pPr>
      <w:jc w:val="both"/>
    </w:pPr>
  </w:style>
  <w:style w:type="paragraph" w:styleId="ChapterNum">
    <w:name w:val="ChapterNum"/>
    <w:basedOn w:val="Normal"/>
    <w:pPr>
      <w:jc w:val="center"/>
      <w:spacing w:after="60"/>
    </w:pPr>
    <w:rPr>
      <w:b/>
      <w:sz w:val="28"/>
      <w:szCs w:val="28"/>
      <w:color w:val="404040"/>
    </w:rPr>
  </w:style>
  <w:style w:type="paragraph" w:styleId="Title">
    <w:name w:val="Title"/>
    <w:basedOn w:val="Normal"/>
    <w:pPr>
      <w:jc w:val="center"/>
      <w:spacing w:before="60" w:after="240"/>
    </w:pPr>
    <w:rPr>
      <w:b/>
      <w:sz w:val="34"/>
      <w:szCs w:val="34"/>
    </w:rPr>
  </w:style>
  <w:style w:type="paragraph" w:styleId="AuthorLine">
    <w:name w:val="AuthorLine"/>
    <w:basedOn w:val="Normal"/>
    <w:pPr>
      <w:jc w:val="center"/>
      <w:spacing w:after="40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/>
      <w:jc w:val="left"/>
    </w:pPr>
    <w:rPr>
      <w:b/>
      <w:sz w:val="28"/>
      <w:szCs w:val="28"/>
    </w:rPr>
  </w:style>
  <w:style w:type="paragraph" w:styleId="Heading2">
    <w:name w:val="heading 2"/>
    <w:basedOn w:val="Normal"/>
    <w:pPr>
      <w:keepNext/>
      <w:spacing w:before="240" w:after="100"/>
      <w:jc w:val="left"/>
    </w:pPr>
    <w:rPr>
      <w:b/>
      <w:i/>
      <w:sz w:val="26"/>
      <w:szCs w:val="26"/>
    </w:rPr>
  </w:style>
  <w:style w:type="paragraph" w:styleId="AbstractBody">
    <w:name w:val="AbstractBody"/>
    <w:basedOn w:val="Normal"/>
    <w:pPr>
      <w:ind w:left="360" w:right="360"/>
    </w:pPr>
    <w:rPr>
      <w:sz w:val="22"/>
      <w:szCs w:val="22"/>
    </w:rPr>
  </w:style>
  <w:style w:type="paragraph" w:styleId="Equation">
    <w:name w:val="Equation"/>
    <w:basedOn w:val="Normal"/>
    <w:pPr>
      <w:jc w:val="center"/>
      <w:spacing w:before="80" w:after="80"/>
    </w:pPr>
  </w:style>
  <w:style w:type="paragraph" w:styleId="References">
    <w:name w:val="References"/>
    <w:basedOn w:val="Normal"/>
    <w:pPr>
      <w:ind w:left="480" w:hanging="480"/>
      <w:spacing w:after="80"/>
      <w:jc w:val="left"/>
    </w:pPr>
    <w:rPr>
      <w:sz w:val="22"/>
      <w:szCs w:val="22"/>
    </w:rPr>
  </w:style>
  <w:style w:type="paragraph" w:styleId="FigureImage">
    <w:name w:val="FigureImage"/>
    <w:basedOn w:val="Normal"/>
    <w:pPr>
      <w:jc w:val="center"/>
      <w:spacing w:before="160" w:after="40"/>
    </w:pPr>
  </w:style>
  <w:style w:type="paragraph" w:styleId="Caption">
    <w:name w:val="Caption"/>
    <w:basedOn w:val="Normal"/>
    <w:pPr>
      <w:jc w:val="center"/>
      <w:spacing w:before="0" w:after="200"/>
      <w:ind w:left="360" w:right="360"/>
    </w:pPr>
    <w:rPr>
      <w:i/>
      <w:sz w:val="20"/>
      <w:szCs w:val="20"/>
    </w:rPr>
  </w:style>
  <w:style w:type="paragraph" w:styleId="TableCaption">
    <w:name w:val="TableCaption"/>
    <w:basedOn w:val="Normal"/>
    <w:pPr>
      <w:keepNext/>
      <w:spacing w:before="200" w:after="80"/>
      <w:jc w:val="left"/>
    </w:pPr>
    <w:rPr>
      <w:b/>
      <w:sz w:val="20"/>
      <w:szCs w:val="20"/>
    </w:rPr>
  </w:style>
  <w:style w:type="paragraph" w:styleId="TableCell">
    <w:name w:val="TableCell"/>
    <w:basedOn w:val="Normal"/>
    <w:pPr>
      <w:spacing w:after="20" w:line="276" w:lineRule="auto"/>
      <w:jc w:val="left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