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Pr>
        <w:t xml:space="preserve">Differential Equations and Dynamical Systems in Biology</w:t>
      </w:r>
    </w:p>
    <w:p>
      <w:pPr>
        <w:jc w:val="center"/>
      </w:pPr>
      <w:r>
        <w:rPr>
          <w:i/>
        </w:rPr>
        <w:t xml:space="preserve">Book: Biomathematics: A New Horizon of Science and Engineering</w:t>
      </w:r>
    </w:p>
    <w:p>
      <w:r>
        <w:t xml:space="preserve"/>
      </w:r>
    </w:p>
    <w:p>
      <w:pPr>
        <w:pStyle w:val="Heading1"/>
      </w:pPr>
      <w:r>
        <w:rPr>
          <w:b/>
        </w:rPr>
        <w:t xml:space="preserve">Abstract</w:t>
      </w:r>
    </w:p>
    <w:p>
      <w:r>
        <w:t xml:space="preserve">One of the most fruitful areas of collaboration between mathematics and the life sciences is that between differential equations and dynamical systems theory and biology. This chapter gives a detailed account of the recent developments in mathematical methods developed under the foundation of ordinary and partial differential equations, stability and bifurcation analysis, and computational simulation, that have revolutionized the study of biological phenomena. Basic theory and current applications fundamental to understanding modern biomathematics are explored including population dynamics, epidemiological modeling, pattern formation and cell signaling. The chapter also ends with a discussion on new computational tools, multiscale modeling problems, and prospects for the future of mathematical biology in a new era of data intensive science and personalized medicine.</w:t>
      </w:r>
    </w:p>
    <w:p>
      <w:r>
        <w:t xml:space="preserve"/>
      </w:r>
    </w:p>
    <w:p>
      <w:pPr>
        <w:pStyle w:val="Heading1"/>
      </w:pPr>
      <w:r>
        <w:rPr>
          <w:b/>
        </w:rPr>
        <w:t xml:space="preserve">Section 1: Foundations of Mathematical Biology</w:t>
      </w:r>
    </w:p>
    <w:p>
      <w:pPr>
        <w:pStyle w:val="Heading2"/>
      </w:pPr>
      <w:r>
        <w:rPr>
          <w:b/>
        </w:rPr>
        <w:t xml:space="preserve">1.1 Introduction to Biomathematics and Its Scope</w:t>
      </w:r>
    </w:p>
    <w:p>
      <w:pPr>
        <w:pStyle w:val="Heading3"/>
      </w:pPr>
      <w:r>
        <w:rPr>
          <w:b/>
        </w:rPr>
        <w:t xml:space="preserve">Role of Mathematics in Understanding Biological Systems</w:t>
      </w:r>
    </w:p>
    <w:p>
      <w:r>
        <w:t xml:space="preserve">Nature, as Biology is, is complex and complicated [1]! Despite this vast range of scale, all living systems exhibit an ability to function continually at multiple scales that spans from molecular interactions over nanoseconds to evolutionary changes over millions of years [8]. These phenomena can be precisely described, analyzed and predicted using Mathematical terms [2, 3] as a language that is universal in its nature. Mathematical modeling of biological systems can be used to state the hypotheses in a mathematical way, to discover principles which are dominant, and to predict quantitatively in a way that will inform experiments [9]. Mathematics and biology are not only contentedly applied to one another, but they enrich each other too [10]. Differential equations feature in particular as the key mathematical tools for describing the continuous temporal and spatial dynamics of biological quantities [11]. In all sorts of phenomena, ranging from growth of a bacterial population, the spread of a contagious disease, to propagation of electrical signals along nerve fibers, there is a formal connection between mechanism and observation presented by a differential equation [12].</w:t>
      </w:r>
    </w:p>
    <w:p>
      <w:pPr>
        <w:pStyle w:val="Heading3"/>
      </w:pPr>
      <w:r>
        <w:rPr>
          <w:b/>
        </w:rPr>
        <w:t xml:space="preserve">Historical Development and Interdisciplinary Significance</w:t>
      </w:r>
    </w:p>
    <w:p>
      <w:r>
        <w:t xml:space="preserve">The earliest roots of mathematical biology can be traced back to the eighteenth century, when Daniel Bernoulli used mathematics to investigate the study of inoculation strategies for smallpox disease in 1760 [13]. The field started to develop significantly however in the early 1900's with the work of two mathematicians, Alfred Lotka and Vito Volterra, who developed independently population models of predator prey interactions [14, 15]. Alan Turing's paper on 'morphogenesis' from 1952 [17] and Alan Hodgkin and Andrew Huxley's mathematical model of nerve impulse propagation [18], both of whom won the Nobel Prize, were other important contributions in the mid-20th century. These results proved that mathematical modelling was not simply a description game, but a truly predictive modelling technique that could explain mechanisms, which were not directly accessible by experimental means [19]. Biomathematics is now a well-established interdisciplinary field, which covers mathematical ecology, epidemiology, systems biology, bioinformatics and computational medicine [5, 20].</w:t>
      </w:r>
    </w:p>
    <w:p>
      <w:pPr>
        <w:pStyle w:val="Heading3"/>
      </w:pPr>
      <w:r>
        <w:rPr>
          <w:b/>
        </w:rPr>
        <w:t xml:space="preserve">Examples of Biological Phenomena Modeled Mathematically</w:t>
      </w:r>
    </w:p>
    <w:p>
      <w:r>
        <w:t xml:space="preserve">The variety of phenomena of biological origin that can be described mathematically is remarkable [1, 2]. Logistic growth equations and Lotka-Volterra systems are used in population ecology to better understand the interactions between species and predict the dynamics of the ecosystems [22, 23]. The dynamics of these population models are illustrated in Figure 1, which shows both logistic growth curves approaching the carrying capacity and the characteristic oscillatory behavior of predator-prey systems. Compartmental models have been used for forecasting disease outbreaks and assessment of intervention strategies [24, 25]. In cell biology, Michaelis-Menten model and coupled systems of ODEs are used to model metabolic and signalling networks [26, 27]. Reaction-diffusion equations are used by developmental biologists to find the mechanisms by which cells in an embryo first differentiate to form organized tissues and organs [17, 28]. All these applications are built mostly on differential equations and the theory of dynamical systems [4].</w:t>
      </w:r>
    </w:p>
    <w:p>
      <w:pPr>
        <w:pStyle w:val="Heading2"/>
      </w:pPr>
      <w:r>
        <w:rPr>
          <w:b/>
        </w:rPr>
        <w:t xml:space="preserve">1.2 Basics of Differential Equations in Biology</w:t>
      </w:r>
    </w:p>
    <w:p>
      <w:pPr>
        <w:pStyle w:val="Heading3"/>
      </w:pPr>
      <w:r>
        <w:rPr>
          <w:b/>
        </w:rPr>
        <w:t xml:space="preserve">Ordinary and Partial Differential Equations (ODEs &amp; PDEs)</w:t>
      </w:r>
    </w:p>
    <w:p>
      <w:r>
        <w:t xml:space="preserve">One of the mathematical pillars of biological modelling of dynamics is the set of equations known as differential equations [11, 30]. A general first order ordinary differential equation (ODE) is given by:</w:t>
      </w:r>
    </w:p>
    <w:p>
      <w:pPr>
        <w:jc w:val="center"/>
      </w:pPr>
      <w:r>
        <w:rPr>
          <w:b/>
        </w:rPr>
        <w:t xml:space="preserve">    Equation (1):  dx/dt = f(x, t)</w:t>
      </w:r>
    </w:p>
    <w:p>
      <w:r>
        <w:t xml:space="preserve">where x is the state variable (population size, chemical concentration, membrane voltage) and the biological mechanism governing the change is encoded by the function f(x, t) [4]. Systems of coupled ODEs take the form:</w:t>
      </w:r>
    </w:p>
    <w:p>
      <w:pPr>
        <w:jc w:val="center"/>
      </w:pPr>
      <w:r>
        <w:rPr>
          <w:b/>
        </w:rPr>
        <w:t xml:space="preserve">    Equation (2):  dxi/dt = fi(x1, x2, ..., xn, t),  i = 1, 2, ..., n</w:t>
      </w:r>
    </w:p>
    <w:p>
      <w:r>
        <w:t xml:space="preserve">These occur naturally in metabolic networks or multi-species ecological communities [32]. When considering diffusive transport, as well as local reaction kinetics, the general reaction-diffusion equation is:</w:t>
      </w:r>
    </w:p>
    <w:p>
      <w:pPr>
        <w:jc w:val="center"/>
      </w:pPr>
      <w:r>
        <w:rPr>
          <w:b/>
        </w:rPr>
        <w:t xml:space="preserve">    Equation (3):  ∂u/∂t = D ∇²u + R(u)</w:t>
      </w:r>
    </w:p>
    <w:p>
      <w:r>
        <w:t xml:space="preserve">where the diffusion coefficient D indicates the diffusive transport properties and R(u) represents local reaction kinetics [34].</w:t>
      </w:r>
    </w:p>
    <w:p>
      <w:pPr>
        <w:pStyle w:val="Heading3"/>
      </w:pPr>
      <w:r>
        <w:rPr>
          <w:b/>
        </w:rPr>
        <w:t xml:space="preserve">Analytical vs Numerical Solution Approaches</w:t>
      </w:r>
    </w:p>
    <w:p>
      <w:r>
        <w:t xml:space="preserve">The general solution of the exponential growth equation is:</w:t>
      </w:r>
    </w:p>
    <w:p>
      <w:pPr>
        <w:jc w:val="center"/>
      </w:pPr>
      <w:r>
        <w:rPr>
          <w:b/>
        </w:rPr>
        <w:t xml:space="preserve">    Equation (4):  N(t) = N₀ e^(rt)</w:t>
      </w:r>
    </w:p>
    <w:p>
      <w:r>
        <w:t xml:space="preserve">The logistic equation has a solution in closed form:</w:t>
      </w:r>
    </w:p>
    <w:p>
      <w:pPr>
        <w:jc w:val="center"/>
      </w:pPr>
      <w:r>
        <w:rPr>
          <w:b/>
        </w:rPr>
        <w:t xml:space="preserve">    Equation (5):  N(t) = K·N₀ / [N₀ + (K - N₀)e^(-rt)]</w:t>
      </w:r>
    </w:p>
    <w:p>
      <w:r>
        <w:t xml:space="preserve">which is formulated with the carrying capacity K and intrinsic growth rate r [37]. However, most biologically realistic models are too complicated to be treated analytically [38]. Methods available include Euler's method, Runge-Kutta schemes, adaptive step-size algorithms for ODEs, and finite difference, finite element, and spectral methods for PDEs [39, 40].</w:t>
      </w:r>
    </w:p>
    <w:p>
      <w:pPr>
        <w:pStyle w:val="Heading2"/>
      </w:pPr>
      <w:r>
        <w:rPr>
          <w:b/>
        </w:rPr>
        <w:t xml:space="preserve">1.3 Modeling Biological Systems: Principles and Assumptions</w:t>
      </w:r>
    </w:p>
    <w:p>
      <w:pPr>
        <w:pStyle w:val="Heading3"/>
      </w:pPr>
      <w:r>
        <w:rPr>
          <w:b/>
        </w:rPr>
        <w:t xml:space="preserve">Deterministic vs Stochastic Models</w:t>
      </w:r>
    </w:p>
    <w:p>
      <w:r>
        <w:t xml:space="preserve">Deterministic models assume that the state of a system is fully determined by its current state and the equations that govern the system [42]. But there are many systems in which stochasticity is important in the biological world [44]. The chemical master equation for the probability P(x, t) is:</w:t>
      </w:r>
    </w:p>
    <w:p>
      <w:pPr>
        <w:jc w:val="center"/>
      </w:pPr>
      <w:r>
        <w:rPr>
          <w:b/>
        </w:rPr>
        <w:t xml:space="preserve">    Equation (6):  dP(x,t)/dt = Σ[aj(x-νj)P(x-νj,t) - aj(x)P(x,t)]</w:t>
      </w:r>
    </w:p>
    <w:p>
      <w:r>
        <w:t xml:space="preserve">The Langevin equation approximation is:</w:t>
      </w:r>
    </w:p>
    <w:p>
      <w:pPr>
        <w:jc w:val="center"/>
      </w:pPr>
      <w:r>
        <w:rPr>
          <w:b/>
        </w:rPr>
        <w:t xml:space="preserve">    Equation (7):  dx = f(x)dt + g(x)dW(t)</w:t>
      </w:r>
    </w:p>
    <w:p>
      <w:r>
        <w:t xml:space="preserve">where dW(t) represents a Wiener process capturing stochastic fluctuations [46]. The Gillespie algorithm can simulate chemical reaction networks exactly at a stochastic level [47].</w:t>
      </w:r>
    </w:p>
    <w:p>
      <w:pPr>
        <w:pStyle w:val="Heading3"/>
      </w:pPr>
      <w:r>
        <w:rPr>
          <w:b/>
        </w:rPr>
        <w:t xml:space="preserve">Parameter Estimation and Model Validation</w:t>
      </w:r>
    </w:p>
    <w:p>
      <w:r>
        <w:t xml:space="preserve">One of the most significant challenges in biological modelling is parameter estimation [50]. Systematic parameter identification is possible through techniques such as least-squares fitting, maximum-likelihood estimation, Bayesian inference, and Markov chain Monte Carlo methods [52, 53]. Model validation constitutes a systematic comparison of model prediction and independent experimental data which were not used in model parameter estimation [55].</w:t>
      </w:r>
    </w:p>
    <w:p>
      <w:pPr>
        <w:jc w:val="center"/>
      </w:pPr>
      <w:r>
        <w:drawing>
          <wp:inline xmlns:wp="http://schemas.openxmlformats.org/drawingml/2006/wordprocessingDrawing" distT="0" distB="0" distL="0" distR="0">
            <wp:extent cx="5400000" cy="3375000"/>
            <wp:docPr id="1" name="Figure 1"/>
            <a:graphic xmlns:a="http://schemas.openxmlformats.org/drawingml/2006/main">
              <a:graphicData uri="http://schemas.openxmlformats.org/drawingml/2006/picture">
                <pic:pic xmlns:pic="http://schemas.openxmlformats.org/drawingml/2006/picture">
                  <pic:nvPicPr>
                    <pic:cNvPr id="0" name="Figure 1"/>
                    <pic:cNvPicPr/>
                  </pic:nvPicPr>
                  <pic:blipFill>
                    <a:blip xmlns:r="http://schemas.openxmlformats.org/officeDocument/2006/relationships" r:embed="rId10"/>
                    <a:stretch>
                      <a:fillRect/>
                    </a:stretch>
                  </pic:blipFill>
                  <pic:spPr>
                    <a:xfrm>
                      <a:off x="0" y="0"/>
                      <a:ext cx="5400000" cy="3375000"/>
                    </a:xfrm>
                    <a:prstGeom prst="rect">
                      <a:avLst/>
                    </a:prstGeom>
                  </pic:spPr>
                </pic:pic>
              </a:graphicData>
            </a:graphic>
          </wp:inline>
        </w:drawing>
      </w:r>
    </w:p>
    <w:p>
      <w:pPr>
        <w:jc w:val="center"/>
      </w:pPr>
      <w:r>
        <w:rPr>
          <w:i/>
        </w:rPr>
        <w:t xml:space="preserve">Figure 1: Population dynamics models. Left: Logistic growth curves converging to carrying capacity K. Right: Lotka-Volterra predator-prey oscillations showing out-of-phase cycling [14, 15, 22, 37].</w:t>
      </w:r>
    </w:p>
    <w:p>
      <w:r>
        <w:t xml:space="preserve"/>
      </w:r>
    </w:p>
    <w:p>
      <w:pPr>
        <w:pStyle w:val="Heading1"/>
      </w:pPr>
      <w:r>
        <w:rPr>
          <w:b/>
        </w:rPr>
        <w:t xml:space="preserve">Section 2: Dynamical Systems Theory in Biological Modeling</w:t>
      </w:r>
    </w:p>
    <w:p>
      <w:pPr>
        <w:pStyle w:val="Heading2"/>
      </w:pPr>
      <w:r>
        <w:rPr>
          <w:b/>
        </w:rPr>
        <w:t xml:space="preserve">2.1 Introduction to Dynamical Systems</w:t>
      </w:r>
    </w:p>
    <w:p>
      <w:pPr>
        <w:pStyle w:val="Heading3"/>
      </w:pPr>
      <w:r>
        <w:rPr>
          <w:b/>
        </w:rPr>
        <w:t xml:space="preserve">Definition of Dynamical Systems in Biology</w:t>
      </w:r>
    </w:p>
    <w:p>
      <w:r>
        <w:t xml:space="preserve">Dynamical systems are mathematical models that describe the evolution of a system over time [4, 58]. Formally, a continuous time dynamical system is defined by:</w:t>
      </w:r>
    </w:p>
    <w:p>
      <w:pPr>
        <w:jc w:val="center"/>
      </w:pPr>
      <w:r>
        <w:rPr>
          <w:b/>
        </w:rPr>
        <w:t xml:space="preserve">    Equation (8):  dχ/dt = F(χ), where χ ∈ ℝⁿ</w:t>
      </w:r>
    </w:p>
    <w:p>
      <w:r>
        <w:t xml:space="preserve">In a biological sense, dynamical systems theory gives the concepts and tools needed for understanding the way the living system changes, maintains homeostasis, reacts to disturbances and switches between qualitatively different behaviors [60].</w:t>
      </w:r>
    </w:p>
    <w:p>
      <w:pPr>
        <w:pStyle w:val="Heading3"/>
      </w:pPr>
      <w:r>
        <w:rPr>
          <w:b/>
        </w:rPr>
        <w:t xml:space="preserve">State Variables, Phase Space, and Trajectories</w:t>
      </w:r>
    </w:p>
    <w:p>
      <w:r>
        <w:t xml:space="preserve">State variables characterize a biological system at a given time. All states together comprise the phase space. A representative phase portrait illustrating these concepts for the predator-prey system is shown in Figure 2, where closed orbits surround the equilibrium point. Biologically, attractors can represent different cell fates, stable ecosystem states, or endemic/disease-free states [63, 64].</w:t>
      </w:r>
    </w:p>
    <w:p>
      <w:pPr>
        <w:pStyle w:val="Heading3"/>
      </w:pPr>
      <w:r>
        <w:rPr>
          <w:b/>
        </w:rPr>
        <w:t xml:space="preserve">Continuous vs Discrete Dynamical Systems</w:t>
      </w:r>
    </w:p>
    <w:p>
      <w:r>
        <w:t xml:space="preserve">When biological events arrive at separate time steps, they are modelled as discrete dynamical systems:</w:t>
      </w:r>
    </w:p>
    <w:p>
      <w:pPr>
        <w:jc w:val="center"/>
      </w:pPr>
      <w:r>
        <w:rPr>
          <w:b/>
        </w:rPr>
        <w:t xml:space="preserve">    Equation (9):  xₙ₊₁ = G(xₙ)</w:t>
      </w:r>
    </w:p>
    <w:p>
      <w:r>
        <w:t xml:space="preserve">May's discrete logistic equation [66]:</w:t>
      </w:r>
    </w:p>
    <w:p>
      <w:pPr>
        <w:jc w:val="center"/>
      </w:pPr>
      <w:r>
        <w:rPr>
          <w:b/>
        </w:rPr>
        <w:t xml:space="preserve">    Equation (10):  xₙ₊₁ = r·xₙ(1 - xₙ)</w:t>
      </w:r>
    </w:p>
    <w:p>
      <w:r>
        <w:t xml:space="preserve">illustrates period-doubling cascades and chaos even in one-dimensional maps [66].</w:t>
      </w:r>
    </w:p>
    <w:p>
      <w:pPr>
        <w:pStyle w:val="Heading2"/>
      </w:pPr>
      <w:r>
        <w:rPr>
          <w:b/>
        </w:rPr>
        <w:t xml:space="preserve">2.2 Stability Analysis and Equilibrium Points</w:t>
      </w:r>
    </w:p>
    <w:p>
      <w:pPr>
        <w:pStyle w:val="Heading3"/>
      </w:pPr>
      <w:r>
        <w:rPr>
          <w:b/>
        </w:rPr>
        <w:t xml:space="preserve">Fixed Points and Steady States</w:t>
      </w:r>
    </w:p>
    <w:p>
      <w:r>
        <w:t xml:space="preserve">An equilibrium point x* of dx/dt = F(x) satisfies:</w:t>
      </w:r>
    </w:p>
    <w:p>
      <w:pPr>
        <w:jc w:val="center"/>
      </w:pPr>
      <w:r>
        <w:rPr>
          <w:b/>
        </w:rPr>
        <w:t xml:space="preserve">    Equation (11):  F(x*) = 0</w:t>
      </w:r>
    </w:p>
    <w:p>
      <w:r>
        <w:t xml:space="preserve">Steady states occur in biological systems, such as the resting membrane potential of a neuron, the carrying capacity of a population, or the disease-free equilibrium of an epidemic model [60, 67].</w:t>
      </w:r>
    </w:p>
    <w:p>
      <w:pPr>
        <w:pStyle w:val="Heading3"/>
      </w:pPr>
      <w:r>
        <w:rPr>
          <w:b/>
        </w:rPr>
        <w:t xml:space="preserve">Linearization and Jacobian Matrices</w:t>
      </w:r>
    </w:p>
    <w:p>
      <w:r>
        <w:t xml:space="preserve">The linearized equation near equilibrium is:</w:t>
      </w:r>
    </w:p>
    <w:p>
      <w:pPr>
        <w:jc w:val="center"/>
      </w:pPr>
      <w:r>
        <w:rPr>
          <w:b/>
        </w:rPr>
        <w:t xml:space="preserve">    Equation (12):  dy/dt = J y</w:t>
      </w:r>
    </w:p>
    <w:p>
      <w:r>
        <w:t xml:space="preserve">with Jacobian elements:</w:t>
      </w:r>
    </w:p>
    <w:p>
      <w:pPr>
        <w:jc w:val="center"/>
      </w:pPr>
      <w:r>
        <w:rPr>
          <w:b/>
        </w:rPr>
        <w:t xml:space="preserve">    Equation (13):  Jᵢⱼ = ∂Fᵢ/∂xⱼ |x=x*</w:t>
      </w:r>
    </w:p>
    <w:p>
      <w:pPr>
        <w:pStyle w:val="Heading3"/>
      </w:pPr>
      <w:r>
        <w:rPr>
          <w:b/>
        </w:rPr>
        <w:t xml:space="preserve">Stability Criteria and Biological Interpretation</w:t>
      </w:r>
    </w:p>
    <w:p>
      <w:r>
        <w:t xml:space="preserve">The characteristic equation for eigenvalues is:</w:t>
      </w:r>
    </w:p>
    <w:p>
      <w:pPr>
        <w:jc w:val="center"/>
      </w:pPr>
      <w:r>
        <w:rPr>
          <w:b/>
        </w:rPr>
        <w:t xml:space="preserve">    Equation (14):  det(J - λI) = 0</w:t>
      </w:r>
    </w:p>
    <w:p>
      <w:r>
        <w:t xml:space="preserve">When Re(λi) &lt; 0 for all i, the equilibrium is asymptotically stable. The phase portrait in Figure 2 illustrates how multiple trajectories from different initial conditions orbit around the equilibrium point, demonstrating the stability structure. For 2D systems, the Routh-Hurwitz conditions are:</w:t>
      </w:r>
    </w:p>
    <w:p>
      <w:pPr>
        <w:jc w:val="center"/>
      </w:pPr>
      <w:r>
        <w:rPr>
          <w:b/>
        </w:rPr>
        <w:t xml:space="preserve">    Equation (15):  tr(J) &lt; 0  and  det(J) &gt; 0</w:t>
      </w:r>
    </w:p>
    <w:p>
      <w:pPr>
        <w:jc w:val="center"/>
      </w:pPr>
      <w:r>
        <w:drawing>
          <wp:inline xmlns:wp="http://schemas.openxmlformats.org/drawingml/2006/wordprocessingDrawing" distT="0" distB="0" distL="0" distR="0">
            <wp:extent cx="5400000" cy="3712500"/>
            <wp:docPr id="1" name="Figure 2"/>
            <a:graphic xmlns:a="http://schemas.openxmlformats.org/drawingml/2006/main">
              <a:graphicData uri="http://schemas.openxmlformats.org/drawingml/2006/picture">
                <pic:pic xmlns:pic="http://schemas.openxmlformats.org/drawingml/2006/picture">
                  <pic:nvPicPr>
                    <pic:cNvPr id="0" name="Figure 2"/>
                    <pic:cNvPicPr/>
                  </pic:nvPicPr>
                  <pic:blipFill>
                    <a:blip xmlns:r="http://schemas.openxmlformats.org/officeDocument/2006/relationships" r:embed="rId11"/>
                    <a:stretch>
                      <a:fillRect/>
                    </a:stretch>
                  </pic:blipFill>
                  <pic:spPr>
                    <a:xfrm>
                      <a:off x="0" y="0"/>
                      <a:ext cx="5400000" cy="3712500"/>
                    </a:xfrm>
                    <a:prstGeom prst="rect">
                      <a:avLst/>
                    </a:prstGeom>
                  </pic:spPr>
                </pic:pic>
              </a:graphicData>
            </a:graphic>
          </wp:inline>
        </w:drawing>
      </w:r>
    </w:p>
    <w:p>
      <w:pPr>
        <w:jc w:val="center"/>
      </w:pPr>
      <w:r>
        <w:rPr>
          <w:i/>
        </w:rPr>
        <w:t xml:space="preserve">Figure 2: Phase portrait of the Lotka-Volterra predator-prey system showing closed orbits, nullclines (dH/dt=0, dP/dt=0), and the central equilibrium point [4, 58, 59].</w:t>
      </w:r>
    </w:p>
    <w:p>
      <w:r>
        <w:t xml:space="preserve"/>
      </w:r>
    </w:p>
    <w:p>
      <w:pPr>
        <w:pStyle w:val="Heading2"/>
      </w:pPr>
      <w:r>
        <w:rPr>
          <w:b/>
        </w:rPr>
        <w:t xml:space="preserve">2.3 Nonlinear Dynamics and Bifurcation Analysis</w:t>
      </w:r>
    </w:p>
    <w:p>
      <w:pPr>
        <w:pStyle w:val="Heading3"/>
      </w:pPr>
      <w:r>
        <w:rPr>
          <w:b/>
        </w:rPr>
        <w:t xml:space="preserve">Limit Cycles, Oscillations, and Chaos</w:t>
      </w:r>
    </w:p>
    <w:p>
      <w:r>
        <w:t xml:space="preserve">Sustained oscillations are represented by limit cycles: isolated, closed orbits in phase space [4, 58]. The condition for Hopf bifurcation at parameter μ = μ_c is:</w:t>
      </w:r>
    </w:p>
    <w:p>
      <w:pPr>
        <w:jc w:val="center"/>
      </w:pPr>
      <w:r>
        <w:rPr>
          <w:b/>
        </w:rPr>
        <w:t xml:space="preserve">    Equation (16):  Re(λ(μ_c)) = 0,  d/dμ Re(λ(μ))|_{μ=μ_c} ≠ 0</w:t>
      </w:r>
    </w:p>
    <w:p>
      <w:r>
        <w:t xml:space="preserve">Chaos shows sensitive dependence on initial conditions and has been found in cardiac arrhythmias, irregular neural firing patterns, and insect populations [66, 78, 79].</w:t>
      </w:r>
    </w:p>
    <w:p>
      <w:pPr>
        <w:pStyle w:val="Heading3"/>
      </w:pPr>
      <w:r>
        <w:rPr>
          <w:b/>
        </w:rPr>
        <w:t xml:space="preserve">Bifurcation Theory and Transitions</w:t>
      </w:r>
    </w:p>
    <w:p>
      <w:r>
        <w:t xml:space="preserve">A bifurcation occurs when the qualitative behavior of a dynamical system changes with parameters [69]. Saddle-node bifurcations drive critical transitions in ecosystems. Transcritical bifurcations correspond to the epidemic invasion threshold (R0 = 1) [72]. Pitchfork bifurcations model symmetry-breaking phenomena including cell polarization and pattern formation [69, 76].</w:t>
      </w:r>
    </w:p>
    <w:p>
      <w:pPr>
        <w:pStyle w:val="Heading1"/>
      </w:pPr>
      <w:r>
        <w:rPr>
          <w:b/>
        </w:rPr>
        <w:t xml:space="preserve">Section 3: Applications in Biological Systems</w:t>
      </w:r>
    </w:p>
    <w:p>
      <w:pPr>
        <w:pStyle w:val="Heading2"/>
      </w:pPr>
      <w:r>
        <w:rPr>
          <w:b/>
        </w:rPr>
        <w:t xml:space="preserve">3.1 Population Dynamics and Ecology Models</w:t>
      </w:r>
    </w:p>
    <w:p>
      <w:pPr>
        <w:pStyle w:val="Heading3"/>
      </w:pPr>
      <w:r>
        <w:rPr>
          <w:b/>
        </w:rPr>
        <w:t xml:space="preserve">Exponential and Logistic Growth Models</w:t>
      </w:r>
    </w:p>
    <w:p>
      <w:r>
        <w:t xml:space="preserve">The most basic model of population growth is:</w:t>
      </w:r>
    </w:p>
    <w:p>
      <w:pPr>
        <w:jc w:val="center"/>
      </w:pPr>
      <w:r>
        <w:rPr>
          <w:b/>
        </w:rPr>
        <w:t xml:space="preserve">    Equation (17):  dN/dt = rN</w:t>
      </w:r>
    </w:p>
    <w:p>
      <w:r>
        <w:t xml:space="preserve">The logistic equation introduces carrying capacity K:</w:t>
      </w:r>
    </w:p>
    <w:p>
      <w:pPr>
        <w:jc w:val="center"/>
      </w:pPr>
      <w:r>
        <w:rPr>
          <w:b/>
        </w:rPr>
        <w:t xml:space="preserve">    Equation (18):  dN/dt = rN(1 - N/K)</w:t>
      </w:r>
    </w:p>
    <w:p>
      <w:r>
        <w:t xml:space="preserve">The per-capita growth rate decreases linearly to zero as the population gets close to K. The logistic model has one stable equilibrium at N = K [22, 23].</w:t>
      </w:r>
    </w:p>
    <w:p>
      <w:pPr>
        <w:pStyle w:val="Heading3"/>
      </w:pPr>
      <w:r>
        <w:rPr>
          <w:b/>
        </w:rPr>
        <w:t xml:space="preserve">Predator-Prey Models (Lotka-Volterra Systems)</w:t>
      </w:r>
    </w:p>
    <w:p>
      <w:r>
        <w:t xml:space="preserve">The classical predator-prey model [14, 15]:</w:t>
      </w:r>
    </w:p>
    <w:p>
      <w:pPr>
        <w:jc w:val="center"/>
      </w:pPr>
      <w:r>
        <w:rPr>
          <w:b/>
        </w:rPr>
        <w:t xml:space="preserve">    Equation (19):  dH/dt = aH - bHP</w:t>
      </w:r>
    </w:p>
    <w:p>
      <w:pPr>
        <w:jc w:val="center"/>
      </w:pPr>
      <w:r>
        <w:rPr>
          <w:b/>
        </w:rPr>
        <w:t xml:space="preserve">    Equation (20):  dP/dt = cbHP - dP</w:t>
      </w:r>
    </w:p>
    <w:p>
      <w:r>
        <w:t xml:space="preserve">The system has neutrally stable periodic orbits oscillating out-of-phase, as demonstrated in Figure 1 (right panel), which has been qualitatively observed for lynx-hare populations [16, 23]. The Rosenzweig-MacArthur model with saturating functional response:</w:t>
      </w:r>
    </w:p>
    <w:p>
      <w:pPr>
        <w:jc w:val="center"/>
      </w:pPr>
      <w:r>
        <w:rPr>
          <w:b/>
        </w:rPr>
        <w:t xml:space="preserve">    Equation (21):  dH/dt = rH(1 - H/K) - aHP/(1 + ahH)</w:t>
      </w:r>
    </w:p>
    <w:p>
      <w:r>
        <w:t xml:space="preserve">predicted the paradox of enrichment [84, 85].</w:t>
      </w:r>
    </w:p>
    <w:p>
      <w:pPr>
        <w:pStyle w:val="Heading3"/>
      </w:pPr>
      <w:r>
        <w:rPr>
          <w:b/>
        </w:rPr>
        <w:t xml:space="preserve">Competition and Coexistence Models</w:t>
      </w:r>
    </w:p>
    <w:p>
      <w:r>
        <w:t xml:space="preserve">Coupled logistic equations with interaction terms:</w:t>
      </w:r>
    </w:p>
    <w:p>
      <w:pPr>
        <w:jc w:val="center"/>
      </w:pPr>
      <w:r>
        <w:rPr>
          <w:b/>
        </w:rPr>
        <w:t xml:space="preserve">    Equation (22):  dN₁/dt = r₁N₁(1 - (N₁ + α₁₂N₂)/K₁)</w:t>
      </w:r>
    </w:p>
    <w:p>
      <w:pPr>
        <w:jc w:val="center"/>
      </w:pPr>
      <w:r>
        <w:rPr>
          <w:b/>
        </w:rPr>
        <w:t xml:space="preserve">    Equation (23):  dN₂/dt = r₂N₂(1 - (N₂ + α₂₁N₁)/K₂)</w:t>
      </w:r>
    </w:p>
    <w:p>
      <w:r>
        <w:t xml:space="preserve">For stable coexistence: α₁₂ &lt; K₁/K₂ and α₂₁ &lt; K₂/K₁ [23, 86].</w:t>
      </w:r>
    </w:p>
    <w:p>
      <w:pPr>
        <w:pStyle w:val="Heading2"/>
      </w:pPr>
      <w:r>
        <w:rPr>
          <w:b/>
        </w:rPr>
        <w:t xml:space="preserve">3.2 Epidemiological Modeling</w:t>
      </w:r>
    </w:p>
    <w:p>
      <w:pPr>
        <w:pStyle w:val="Heading3"/>
      </w:pPr>
      <w:r>
        <w:rPr>
          <w:b/>
        </w:rPr>
        <w:t xml:space="preserve">SIR, SEIR, and Compartmental Models</w:t>
      </w:r>
    </w:p>
    <w:p>
      <w:r>
        <w:t xml:space="preserve">The foundational SIR model [72]:</w:t>
      </w:r>
    </w:p>
    <w:p>
      <w:pPr>
        <w:jc w:val="center"/>
      </w:pPr>
      <w:r>
        <w:rPr>
          <w:b/>
        </w:rPr>
        <w:t xml:space="preserve">    Equation (24):  dS/dt = -βSI/N,  dI/dt = βSI/N - γI,  dR/dt = γI</w:t>
      </w:r>
    </w:p>
    <w:p>
      <w:r>
        <w:t xml:space="preserve">These dynamics are illustrated in Figure 3, which shows the characteristic time evolution of the three compartments during an epidemic. The basic reproduction number is:</w:t>
      </w:r>
    </w:p>
    <w:p>
      <w:pPr>
        <w:jc w:val="center"/>
      </w:pPr>
      <w:r>
        <w:rPr>
          <w:b/>
        </w:rPr>
        <w:t xml:space="preserve">    Equation (25):  R₀ = β/γ</w:t>
      </w:r>
    </w:p>
    <w:p>
      <w:r>
        <w:t xml:space="preserve">The herd immunity threshold:</w:t>
      </w:r>
    </w:p>
    <w:p>
      <w:pPr>
        <w:jc w:val="center"/>
      </w:pPr>
      <w:r>
        <w:rPr>
          <w:b/>
        </w:rPr>
        <w:t xml:space="preserve">    Equation (26):  p_c = 1 - 1/R₀</w:t>
      </w:r>
    </w:p>
    <w:p>
      <w:r>
        <w:t xml:space="preserve">As shown in Figure 3, the herd immunity threshold (dashed line) marks the point at which the susceptible fraction has declined sufficiently to halt epidemic growth [72, 92]. For measles (R0 ~ 12-18), vaccine coverage needs to be above 92-95% [24].</w:t>
      </w:r>
    </w:p>
    <w:p>
      <w:pPr>
        <w:pStyle w:val="Heading2"/>
      </w:pPr>
      <w:r>
        <w:rPr>
          <w:b/>
        </w:rPr>
        <w:t xml:space="preserve">3.3 Cellular and Physiological Systems Modeling</w:t>
      </w:r>
    </w:p>
    <w:p>
      <w:pPr>
        <w:pStyle w:val="Heading3"/>
      </w:pPr>
      <w:r>
        <w:rPr>
          <w:b/>
        </w:rPr>
        <w:t xml:space="preserve">Enzyme Kinetics</w:t>
      </w:r>
    </w:p>
    <w:p>
      <w:r>
        <w:t xml:space="preserve">The Michaelis-Menten equation:</w:t>
      </w:r>
    </w:p>
    <w:p>
      <w:pPr>
        <w:jc w:val="center"/>
      </w:pPr>
      <w:r>
        <w:rPr>
          <w:b/>
        </w:rPr>
        <w:t xml:space="preserve">    Equation (27):  v = V_max[S] / (K_m + [S])</w:t>
      </w:r>
    </w:p>
    <w:p>
      <w:r>
        <w:t xml:space="preserve">The Hill equation for cooperative binding:</w:t>
      </w:r>
    </w:p>
    <w:p>
      <w:pPr>
        <w:jc w:val="center"/>
      </w:pPr>
      <w:r>
        <w:rPr>
          <w:b/>
        </w:rPr>
        <w:t xml:space="preserve">    Equation (28):  v = V_max[S]ⁿ / (Kⁿ + [S]ⁿ)</w:t>
      </w:r>
    </w:p>
    <w:p>
      <w:pPr>
        <w:pStyle w:val="Heading3"/>
      </w:pPr>
      <w:r>
        <w:rPr>
          <w:b/>
        </w:rPr>
        <w:t xml:space="preserve">Neural Dynamics (Hodgkin-Huxley Model)</w:t>
      </w:r>
    </w:p>
    <w:p>
      <w:pPr>
        <w:jc w:val="center"/>
      </w:pPr>
      <w:r>
        <w:rPr>
          <w:b/>
        </w:rPr>
        <w:t xml:space="preserve">    Equation (29):  C_m dV/dt = -g_Na m³h(V-E_Na) - g_K n⁴(V-E_K) - g_L(V-E_L) + I_ext</w:t>
      </w:r>
    </w:p>
    <w:p>
      <w:pPr>
        <w:pStyle w:val="Heading3"/>
      </w:pPr>
      <w:r>
        <w:rPr>
          <w:b/>
        </w:rPr>
        <w:t xml:space="preserve">Cardiac Rhythm Modeling (Monodomain equation):</w:t>
      </w:r>
    </w:p>
    <w:p>
      <w:pPr>
        <w:jc w:val="center"/>
      </w:pPr>
      <w:r>
        <w:rPr>
          <w:b/>
        </w:rPr>
        <w:t xml:space="preserve">    Equation (30):  ∂V/∂t = (1/C_m)[D∇²V - I_ion(V,w)]</w:t>
      </w:r>
    </w:p>
    <w:p>
      <w:pPr>
        <w:jc w:val="center"/>
      </w:pPr>
      <w:r>
        <w:drawing>
          <wp:inline xmlns:wp="http://schemas.openxmlformats.org/drawingml/2006/wordprocessingDrawing" distT="0" distB="0" distL="0" distR="0">
            <wp:extent cx="5400000" cy="3375000"/>
            <wp:docPr id="1" name="Figure 3"/>
            <a:graphic xmlns:a="http://schemas.openxmlformats.org/drawingml/2006/main">
              <a:graphicData uri="http://schemas.openxmlformats.org/drawingml/2006/picture">
                <pic:pic xmlns:pic="http://schemas.openxmlformats.org/drawingml/2006/picture">
                  <pic:nvPicPr>
                    <pic:cNvPr id="0" name="Figure 3"/>
                    <pic:cNvPicPr/>
                  </pic:nvPicPr>
                  <pic:blipFill>
                    <a:blip xmlns:r="http://schemas.openxmlformats.org/officeDocument/2006/relationships" r:embed="rId12"/>
                    <a:stretch>
                      <a:fillRect/>
                    </a:stretch>
                  </pic:blipFill>
                  <pic:spPr>
                    <a:xfrm>
                      <a:off x="0" y="0"/>
                      <a:ext cx="5400000" cy="3375000"/>
                    </a:xfrm>
                    <a:prstGeom prst="rect">
                      <a:avLst/>
                    </a:prstGeom>
                  </pic:spPr>
                </pic:pic>
              </a:graphicData>
            </a:graphic>
          </wp:inline>
        </w:drawing>
      </w:r>
    </w:p>
    <w:p>
      <w:pPr>
        <w:jc w:val="center"/>
      </w:pPr>
      <w:r>
        <w:rPr>
          <w:i/>
        </w:rPr>
        <w:t xml:space="preserve">Figure 3: SIR epidemic model dynamics with R0=3.0. Shows susceptible (blue), infected (red), recovered (green) fractions over time. Dashed line = herd immunity threshold [24, 25, 72].</w:t>
      </w:r>
    </w:p>
    <w:p>
      <w:r>
        <w:t xml:space="preserve"/>
      </w:r>
    </w:p>
    <w:p>
      <w:pPr>
        <w:pStyle w:val="Heading1"/>
      </w:pPr>
      <w:r>
        <w:rPr>
          <w:b/>
        </w:rPr>
        <w:t xml:space="preserve">Section 4: Advanced Topics and Future Perspectives</w:t>
      </w:r>
    </w:p>
    <w:p>
      <w:pPr>
        <w:pStyle w:val="Heading2"/>
      </w:pPr>
      <w:r>
        <w:rPr>
          <w:b/>
        </w:rPr>
        <w:t xml:space="preserve">4.1 Spatial Models and Reaction-Diffusion Systems</w:t>
      </w:r>
    </w:p>
    <w:p>
      <w:pPr>
        <w:pStyle w:val="Heading3"/>
      </w:pPr>
      <w:r>
        <w:rPr>
          <w:b/>
        </w:rPr>
        <w:t xml:space="preserve">Pattern Formation in Biology</w:t>
      </w:r>
    </w:p>
    <w:p>
      <w:r>
        <w:t xml:space="preserve">A remarkable use of differential equations in biology is the formation of space-time patterns from initially uniform states [17, 28]. The emergence of spatial structure through Turing-type instabilities is demonstrated in Figure 4, which shows both the time evolution of the pattern and the resulting two-dimensional morphogen distribution.</w:t>
      </w:r>
    </w:p>
    <w:p>
      <w:pPr>
        <w:pStyle w:val="Heading3"/>
      </w:pPr>
      <w:r>
        <w:rPr>
          <w:b/>
        </w:rPr>
        <w:t xml:space="preserve">Morphogenesis and Turing Patterns</w:t>
      </w:r>
    </w:p>
    <w:p>
      <w:r>
        <w:t xml:space="preserve">The two-component reaction-diffusion system:</w:t>
      </w:r>
    </w:p>
    <w:p>
      <w:pPr>
        <w:jc w:val="center"/>
      </w:pPr>
      <w:r>
        <w:rPr>
          <w:b/>
        </w:rPr>
        <w:t xml:space="preserve">    Equation (31):  ∂u/∂t = D_u ∇²u + f(u, v)</w:t>
      </w:r>
    </w:p>
    <w:p>
      <w:pPr>
        <w:jc w:val="center"/>
      </w:pPr>
      <w:r>
        <w:rPr>
          <w:b/>
        </w:rPr>
        <w:t xml:space="preserve">    Equation (32):  ∂v/∂t = D_v ∇²v + g(u, v)</w:t>
      </w:r>
    </w:p>
    <w:p>
      <w:r>
        <w:t xml:space="preserve">The conditions for Turing instability require that the homogeneous steady state is stable without diffusion but becomes unstable when diffusion is included, necessitating D_v/D_u &gt;&gt; 1 [17, 28, 34].</w:t>
      </w:r>
    </w:p>
    <w:p>
      <w:pPr>
        <w:pStyle w:val="Heading3"/>
      </w:pPr>
      <w:r>
        <w:rPr>
          <w:b/>
        </w:rPr>
        <w:t xml:space="preserve">Applications in Developmental Biology</w:t>
      </w:r>
    </w:p>
    <w:p>
      <w:r>
        <w:t xml:space="preserve">Morphogen gradient (steady state):</w:t>
      </w:r>
    </w:p>
    <w:p>
      <w:pPr>
        <w:jc w:val="center"/>
      </w:pPr>
      <w:r>
        <w:rPr>
          <w:b/>
        </w:rPr>
        <w:t xml:space="preserve">    Equation (33):  C(x) = C₀ exp(-x/λ),  where λ = √(D/k)</w:t>
      </w:r>
    </w:p>
    <w:p>
      <w:r>
        <w:t xml:space="preserve">Keller-Segel chemotaxis equation:</w:t>
      </w:r>
    </w:p>
    <w:p>
      <w:pPr>
        <w:jc w:val="center"/>
      </w:pPr>
      <w:r>
        <w:rPr>
          <w:b/>
        </w:rPr>
        <w:t xml:space="preserve">    Equation (34):  ∂ρ/∂t = D_ρ ∇²ρ - χ ∇·(ρ∇c)</w:t>
      </w:r>
    </w:p>
    <w:p>
      <w:pPr>
        <w:jc w:val="center"/>
      </w:pPr>
      <w:r>
        <w:drawing>
          <wp:inline xmlns:wp="http://schemas.openxmlformats.org/drawingml/2006/wordprocessingDrawing" distT="0" distB="0" distL="0" distR="0">
            <wp:extent cx="5400000" cy="3375000"/>
            <wp:docPr id="1" name="Figure 4"/>
            <a:graphic xmlns:a="http://schemas.openxmlformats.org/drawingml/2006/main">
              <a:graphicData uri="http://schemas.openxmlformats.org/drawingml/2006/picture">
                <pic:pic xmlns:pic="http://schemas.openxmlformats.org/drawingml/2006/picture">
                  <pic:nvPicPr>
                    <pic:cNvPr id="0" name="Figure 4"/>
                    <pic:cNvPicPr/>
                  </pic:nvPicPr>
                  <pic:blipFill>
                    <a:blip xmlns:r="http://schemas.openxmlformats.org/officeDocument/2006/relationships" r:embed="rId13"/>
                    <a:stretch>
                      <a:fillRect/>
                    </a:stretch>
                  </pic:blipFill>
                  <pic:spPr>
                    <a:xfrm>
                      <a:off x="0" y="0"/>
                      <a:ext cx="5400000" cy="3375000"/>
                    </a:xfrm>
                    <a:prstGeom prst="rect">
                      <a:avLst/>
                    </a:prstGeom>
                  </pic:spPr>
                </pic:pic>
              </a:graphicData>
            </a:graphic>
          </wp:inline>
        </w:drawing>
      </w:r>
    </w:p>
    <w:p>
      <w:pPr>
        <w:jc w:val="center"/>
      </w:pPr>
      <w:r>
        <w:rPr>
          <w:i/>
        </w:rPr>
        <w:t xml:space="preserve">Figure 4: Turing pattern formation via reaction-diffusion. Top: 2D activator concentration. Bottom: 1D temporal evolution from homogeneous to patterned state [17, 28, 34].</w:t>
      </w:r>
    </w:p>
    <w:p>
      <w:r>
        <w:t xml:space="preserve"/>
      </w:r>
    </w:p>
    <w:p>
      <w:pPr>
        <w:pStyle w:val="Heading2"/>
      </w:pPr>
      <w:r>
        <w:rPr>
          <w:b/>
        </w:rPr>
        <w:t xml:space="preserve">4.2 Computational Tools and Simulation Techniques</w:t>
      </w:r>
    </w:p>
    <w:p>
      <w:pPr>
        <w:pStyle w:val="Heading3"/>
      </w:pPr>
      <w:r>
        <w:rPr>
          <w:b/>
        </w:rPr>
        <w:t xml:space="preserve">Data-Driven Modeling and Machine Learning Integration</w:t>
      </w:r>
    </w:p>
    <w:p>
      <w:r>
        <w:t xml:space="preserve">Physics-informed neural networks (PINNs):</w:t>
      </w:r>
    </w:p>
    <w:p>
      <w:pPr>
        <w:jc w:val="center"/>
      </w:pPr>
      <w:r>
        <w:rPr>
          <w:b/>
        </w:rPr>
        <w:t xml:space="preserve">    Equation (35):  L_PINN = L_data + λ_PDE L_PDE + λ_BC L_BC</w:t>
      </w:r>
    </w:p>
    <w:p>
      <w:r>
        <w:t xml:space="preserve">Neural ODEs:</w:t>
      </w:r>
    </w:p>
    <w:p>
      <w:pPr>
        <w:jc w:val="center"/>
      </w:pPr>
      <w:r>
        <w:rPr>
          <w:b/>
        </w:rPr>
        <w:t xml:space="preserve">    Equation (36):  dx/dt = f_θ(x, t)</w:t>
      </w:r>
    </w:p>
    <w:p>
      <w:r>
        <w:t xml:space="preserve">The simulation of Turing patterns shown in Figure 4 exemplifies the type of spatiotemporal data that modern data-driven methods can analyze to discover underlying reaction-diffusion mechanisms [80].</w:t>
      </w:r>
    </w:p>
    <w:p>
      <w:pPr>
        <w:pStyle w:val="Heading2"/>
      </w:pPr>
      <w:r>
        <w:rPr>
          <w:b/>
        </w:rPr>
        <w:t xml:space="preserve">4.3 Challenges, Limitations, and Future Directions</w:t>
      </w:r>
    </w:p>
    <w:p>
      <w:r>
        <w:t xml:space="preserve">Biological systems are multiply-scaled in nature. Multiscale modeling aims at bridging molecular events to cellular behaviour, cells to tissue phenomena, and tissue to organism [6]. The future of mathematical biology is in the synergy of mechanistic modelling, data science and experimental biology [6, 7]. Combining machine learning with mechanistic models will lead to interpretable, predictive models of biological mechanism at the complexity of real systems [56, 80].</w:t>
      </w:r>
    </w:p>
    <w:p>
      <w:pPr>
        <w:pStyle w:val="Heading1"/>
      </w:pPr>
      <w:r>
        <w:rPr>
          <w:b/>
        </w:rPr>
        <w:t xml:space="preserve">Conclusion</w:t>
      </w:r>
    </w:p>
    <w:p>
      <w:r>
        <w:t xml:space="preserve">The application of differential equations and dynamical systems theory to biology has evolved from isolated mathematical exercises into a comprehensive framework that permeates virtually every subdiscipline of the life sciences. From the elegant simplicity of exponential growth to the computational complexity of patient-specific digital twins, mathematical models provide the quantitative backbone for understanding biological dynamics across all scales of organization. As mathematical biology matures from a specialized niche into an essential component of biological research and medical practice, the differential equations and dynamical systems at its core will continue to illuminate the deep mathematical structures that underlie the complexity of living systems.</w:t>
      </w:r>
    </w:p>
    <w:p>
      <w:r>
        <w:t xml:space="preserve"/>
      </w:r>
    </w:p>
    <w:p>
      <w:pPr>
        <w:pStyle w:val="Heading1"/>
      </w:pPr>
      <w:r>
        <w:rPr>
          <w:b/>
        </w:rPr>
        <w:t xml:space="preserve">References</w:t>
      </w:r>
    </w:p>
    <w:p>
      <w:r>
        <w:t xml:space="preserve">[1] Murray, J.D. (2002). Mathematical Biology I: An Introduction. 3rd ed. Springer.</w:t>
      </w:r>
    </w:p>
    <w:p>
      <w:r>
        <w:t xml:space="preserve">[2] Murray, J.D. (2003). Mathematical Biology II: Spatial Models. 3rd ed. Springer.</w:t>
      </w:r>
    </w:p>
    <w:p>
      <w:r>
        <w:t xml:space="preserve">[3] Edelstein-Keshet, L. (2005). Mathematical Models in Biology. SIAM.</w:t>
      </w:r>
    </w:p>
    <w:p>
      <w:r>
        <w:t xml:space="preserve">[4] Strogatz, S.H. (2015). Nonlinear Dynamics and Chaos. 2nd ed. Westview Press.</w:t>
      </w:r>
    </w:p>
    <w:p>
      <w:r>
        <w:t xml:space="preserve">[5] Keener, J. and Sneyd, J. (2009). Mathematical Physiology I. 2nd ed. Springer.</w:t>
      </w:r>
    </w:p>
    <w:p>
      <w:r>
        <w:t xml:space="preserve">[6] Kitano, H. (2002). Systems biology: A brief overview. Science, 295, 1662-1664.</w:t>
      </w:r>
    </w:p>
    <w:p>
      <w:r>
        <w:t xml:space="preserve">[7] Niederer, S.A. et al. (2019). Computational models in cardiology. Nat Rev Cardiol, 16, 100-111.</w:t>
      </w:r>
    </w:p>
    <w:p>
      <w:r>
        <w:t xml:space="preserve">[8] Southern, J. et al. (2008). Multi-scale computational modelling. Prog Biophys Mol Biol, 96, 60-89.</w:t>
      </w:r>
    </w:p>
    <w:p>
      <w:r>
        <w:t xml:space="preserve">[9] Anderson, R.M. and May, R.M. (1991). Infectious Diseases of Humans. Oxford UP.</w:t>
      </w:r>
    </w:p>
    <w:p>
      <w:r>
        <w:t xml:space="preserve">[10] Kondo, S. and Miura, T. (2010). Reaction-diffusion model. Science, 329, 1616-1620.</w:t>
      </w:r>
    </w:p>
    <w:p>
      <w:r>
        <w:t xml:space="preserve">[11] Boyce, W.E. and DiPrima, R.C. (2012). Elementary Differential Equations. Wiley.</w:t>
      </w:r>
    </w:p>
    <w:p>
      <w:r>
        <w:t xml:space="preserve">[12] Fall, C.P. et al. (2002). Computational Cell Biology. Springer.</w:t>
      </w:r>
    </w:p>
    <w:p>
      <w:r>
        <w:t xml:space="preserve">[13] Bernoulli, D. (1760). Essai d'une nouvelle analyse de la mortalite.</w:t>
      </w:r>
    </w:p>
    <w:p>
      <w:r>
        <w:t xml:space="preserve">[14] Lotka, A.J. (1925). Elements of Physical Biology. Williams and Wilkins.</w:t>
      </w:r>
    </w:p>
    <w:p>
      <w:r>
        <w:t xml:space="preserve">[15] Volterra, V. (1926). Fluctuations in species abundance. Nature, 118, 558-560.</w:t>
      </w:r>
    </w:p>
    <w:p>
      <w:r>
        <w:t xml:space="preserve">[16] Kot, M. (2001). Elements of Mathematical Ecology. Cambridge UP.</w:t>
      </w:r>
    </w:p>
    <w:p>
      <w:r>
        <w:t xml:space="preserve">[17] Turing, A.M. (1952). The chemical basis of morphogenesis. Phil Trans R Soc B, 237, 37-72.</w:t>
      </w:r>
    </w:p>
    <w:p>
      <w:r>
        <w:t xml:space="preserve">[18] Hodgkin, A.L. and Huxley, A.F. (1952). Membrane current. J Physiol, 117, 500-544.</w:t>
      </w:r>
    </w:p>
    <w:p>
      <w:r>
        <w:t xml:space="preserve">[19] Koch, C. (1999). Biophysics of Computation. Oxford UP.</w:t>
      </w:r>
    </w:p>
    <w:p>
      <w:r>
        <w:t xml:space="preserve">[20] Ideker, T. et al. (2001). Systems biology. Annu Rev Genomics Hum Genet, 2, 343-372.</w:t>
      </w:r>
    </w:p>
    <w:p>
      <w:r>
        <w:t xml:space="preserve">[21] Topol, E.J. (2019). High-performance medicine. Nature Medicine, 25, 44-56.</w:t>
      </w:r>
    </w:p>
    <w:p>
      <w:r>
        <w:t xml:space="preserve">[22] Gotelli, N.J. (2008). A Primer of Ecology. 4th ed. Sinauer.</w:t>
      </w:r>
    </w:p>
    <w:p>
      <w:r>
        <w:t xml:space="preserve">[23] Hastings, A. (1997). Population Biology. Springer.</w:t>
      </w:r>
    </w:p>
    <w:p>
      <w:r>
        <w:t xml:space="preserve">[24] Hethcote, H.W. (2000). Mathematics of infectious diseases. SIAM Review, 42, 599-653.</w:t>
      </w:r>
    </w:p>
    <w:p>
      <w:r>
        <w:t xml:space="preserve">[25] Diekmann, O. and Heesterbeek, J. (2000). Mathematical Epidemiology. Wiley.</w:t>
      </w:r>
    </w:p>
    <w:p>
      <w:r>
        <w:t xml:space="preserve">[26] Cornish-Bowden, A. (2012). Fundamentals of Enzyme Kinetics. 4th ed. Wiley.</w:t>
      </w:r>
    </w:p>
    <w:p>
      <w:r>
        <w:t xml:space="preserve">[27] Alon, U. (2019). An Introduction to Systems Biology. 2nd ed. CRC Press.</w:t>
      </w:r>
    </w:p>
    <w:p>
      <w:r>
        <w:t xml:space="preserve">[28] Maini, P.K. et al. (2006). The Turing model comes of molecular age. Science, 314, 1397.</w:t>
      </w:r>
    </w:p>
    <w:p>
      <w:r>
        <w:t xml:space="preserve">[29] Izhikevich, E.M. (2007). Dynamical Systems in Neuroscience. MIT Press.</w:t>
      </w:r>
    </w:p>
    <w:p>
      <w:r>
        <w:t xml:space="preserve">[30] Hirsch, M.W. et al. (2013). Differential Equations and Dynamical Systems. Academic Press.</w:t>
      </w:r>
    </w:p>
    <w:p>
      <w:r>
        <w:t xml:space="preserve">[31-93] See full reference list in accompanying HTML document.</w:t>
      </w:r>
    </w:p>
    <w:sectPr>
      <w:pgSz w:w="12240" w:h="15840"/>
      <w:pgMar w:top="1440" w:right="1440" w:bottom="1440" w:left="1440"/>
    </w:sectPr>
  </w:body>
</w:document>
</file>

<file path=word/numbering.xml><?xml version="1.0" encoding="utf-8"?>
<w:numbering xmlns:w="http://schemas.openxmlformats.org/wordprocessingml/2006/main">
</w:numbering>
</file>

<file path=word/styles.xml><?xml version="1.0" encoding="utf-8"?>
<w:styles xmlns:w="http://schemas.openxmlformats.org/wordprocessingml/2006/main">
  <w:style w:type="paragraph" w:styleId="Title">
    <w:name w:val="Title"/>
    <w:pPr>
      <w:jc w:val="center"/>
    </w:pPr>
    <w:rPr>
      <w:b/>
      <w:sz w:val="48"/>
      <w:color w:val="1a3a5c"/>
    </w:rPr>
  </w:style>
  <w:style w:type="paragraph" w:styleId="Heading1">
    <w:name w:val="heading 1"/>
    <w:pPr>
      <w:spacing w:before="360" w:after="120"/>
    </w:pPr>
    <w:rPr>
      <w:b/>
      <w:sz w:val="36"/>
      <w:color w:val="1a3a5c"/>
    </w:rPr>
  </w:style>
  <w:style w:type="paragraph" w:styleId="Heading2">
    <w:name w:val="heading 2"/>
    <w:pPr>
      <w:spacing w:before="240" w:after="80"/>
    </w:pPr>
    <w:rPr>
      <w:b/>
      <w:sz w:val="30"/>
      <w:color w:val="2c5282"/>
    </w:rPr>
  </w:style>
  <w:style w:type="paragraph" w:styleId="Heading3">
    <w:name w:val="heading 3"/>
    <w:pPr>
      <w:spacing w:before="200" w:after="60"/>
    </w:pPr>
    <w:rPr>
      <w:b/>
      <w:i/>
      <w:sz w:val="26"/>
      <w:color w:val="3a6ea5"/>
    </w:rPr>
  </w:style>
  <w:style w:type="paragraph" w:styleId="Normal">
    <w:name w:val="Normal"/>
    <w:pPr>
      <w:spacing w:after="120" w:line="360" w:lineRule="auto"/>
    </w:pPr>
    <w:rPr>
      <w:sz w:val="24"/>
      <w:rFonts w:ascii="Times New Roman" w:hAnsi="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0" Type="http://schemas.openxmlformats.org/officeDocument/2006/relationships/image" Target="media/figure1_population_dynamics.png"/>
  <Relationship Id="rId11" Type="http://schemas.openxmlformats.org/officeDocument/2006/relationships/image" Target="media/figure2_phase_portrait.png"/>
  <Relationship Id="rId12" Type="http://schemas.openxmlformats.org/officeDocument/2006/relationships/image" Target="media/figure3_sir_model.png"/>
  <Relationship Id="rId13" Type="http://schemas.openxmlformats.org/officeDocument/2006/relationships/image" Target="media/figure4_turing_patterns.png"/>
</Relationships>
</file>