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NEXT-GENERATION NANOBIOCHAR: EMERGING TRENDS, SMART TECHNOLOGIES AND FUTURE INNOVATIONS</w:t>
      </w:r>
    </w:p>
    <w:p>
      <w:pPr>
        <w:pStyle w:val="Normal"/>
      </w:pPr>
      <w:r>
        <w:rPr>
          <w:b/>
        </w:rPr>
        <w:t xml:space="preserve">Book:</w:t>
      </w:r>
      <w:r>
        <w:t xml:space="preserve"> Next-Generation Nanobiochar — Nanobiochar Technologies for Sustainable Agriculture and Environment</w:t>
      </w:r>
    </w:p>
    <w:p>
      <w:pPr>
        <w:pStyle w:val="Normal"/>
      </w:pPr>
      <w:r>
        <w:rPr>
          <w:b/>
        </w:rPr>
        <w:t xml:space="preserve">Chapter 1</w:t>
      </w:r>
    </w:p>
    <w:p>
      <w:pPr>
        <w:pStyle w:val="Normal"/>
      </w:pPr>
      <w:r>
        <w:t xml:space="preserve">Amman Jakhar¹,* and Sachin Kalsi¹</w:t>
      </w:r>
    </w:p>
    <w:p>
      <w:pPr>
        <w:pStyle w:val="Normal"/>
      </w:pPr>
      <w:r>
        <w:t xml:space="preserve">¹Department of Mechanical Engineering, Chandigarh University, Mohali, Punjab-140301</w:t>
      </w:r>
    </w:p>
    <w:p>
      <w:pPr>
        <w:pStyle w:val="Normal"/>
      </w:pPr>
      <w:r>
        <w:t xml:space="preserve">*Corresponding Email: ammanjakhar5000734@gmail.com</w:t>
      </w:r>
    </w:p>
    <w:p>
      <w:pPr>
        <w:pStyle w:val="Heading1"/>
      </w:pPr>
      <w:r>
        <w:t xml:space="preserve">Abstract</w:t>
      </w:r>
    </w:p>
    <w:p>
      <w:pPr>
        <w:pStyle w:val="Normal"/>
      </w:pPr>
      <w:r>
        <w:t xml:space="preserve">The next-generation nanobiochar is now considered an advanced, multifunctional nanomaterial with great potential to address critical challenges in sustainable agriculture, environmental remediation, and the development of a circular bioeconomy. Nanobiochar is a product of the nanoscale engineering of biochar derived from renewable biomass and agricultural residues; it possesses high specific surface area, tunable surface chemistry, high adsorption capacity, and pronounced catalytic properties, and it can be applied across diverse fields of environmental and agricultural science. This chapter presents a detailed overview of recent developments, smart technologies, and future innovations in the field of nanobiochar research and development. It discusses advanced synthesis and functionalization methods—including chemical modification, nanobiocomposite preparation, surface activation, and green nanotechnology routes—that enhance the physicochemical and biological performance of nanobiochar. Rather than exhaustively covering every possible application, the chapter focuses on precision agriculture, smart nutrient delivery, controlled-release fertilizers, restoration of soil health, carbon sequestration, water purification, heavy-metal immobilization, pesticide remediation, greenhouse-gas mitigation, and enhancement of the microbial ecosystem. Emphasis is placed on the integration of nanobiochar with artificial intelligence, Internet of Things (IoT)-enabled smart farming, precision sensing, remote monitoring, and digital-agricultural platforms for efficient resource use and maximized crop productivity. Further innovations—such as nanobiochar-based biosensors, bioelectrochemical systems, engineered microbial consortia, and multifunctional nanocomposites—are highlighted for their capacity to improve environmental sustainability and climate resilience. The chapter also examines the major challenges of mass production, material uniformity, environmental safety, ecotoxicity, life-cycle assessment, regulation, and economic feasibility that affect the industrialization of nanobiochar technologies. Next-generation nanobiochar combines the advantages of nanotechnology, materials science, biotechnology, and digital agriculture to provide innovative solutions for sustainable resource management and ecosystem restoration. The chapter concludes by summarizing research priorities for intelligent, scalable, and eco-friendly nanobiochar applications directed toward climate-smart agriculture, pollution control, the valorization of renewable biomass, and the transition toward resilient and circular agri-economies.</w:t>
      </w:r>
    </w:p>
    <w:p>
      <w:pPr>
        <w:pStyle w:val="Normal"/>
      </w:pPr>
      <w:r>
        <w:rPr>
          <w:b/>
        </w:rPr>
        <w:t xml:space="preserve">Keywords:</w:t>
      </w:r>
      <w:r>
        <w:t xml:space="preserve"> Nanobiochar; Sustainable agriculture; Environmental remediation; Precision agriculture; Circular bioeconomy</w:t>
      </w:r>
    </w:p>
    <w:p>
      <w:pPr>
        <w:pStyle w:val="Heading1"/>
      </w:pPr>
      <w:r>
        <w:t xml:space="preserve">1. Introduction: From Biochar to Next-Generation Nanobiochar</w:t>
      </w:r>
    </w:p>
    <w:p>
      <w:pPr>
        <w:pStyle w:val="Heading2"/>
      </w:pPr>
      <w:r>
        <w:t xml:space="preserve">1.1 Concept, Definition, and Significance</w:t>
      </w:r>
    </w:p>
    <w:p>
      <w:pPr>
        <w:pStyle w:val="Normal"/>
      </w:pPr>
      <w:r>
        <w:t xml:space="preserve">Biochar is a carbon-rich, porous solid produced by the thermochemical conversion of biomass under oxygen-limited conditions, and over the past two decades it has emerged as a cornerstone material for soil amendment, carbon sequestration, and environmental remediation [1]. When biochar is engineered, milled, or synthesized to possess at least one dimension in the nanometre range—typically below 100 nm—or is decorated with nanoscale functional phases, it is termed nanobiochar, a material class whose behaviour departs markedly from that of its bulk precursor [2]. The reduction of particle size to the nanoscale dramatically increases the specific surface area, exposes a greater density of reactive functional groups, enhances colloidal mobility, and introduces quantum- and interface-dominated phenomena that collectively amplify adsorption, catalysis, and biological interactions [3]. Consequently, nanobiochar is increasingly regarded not merely as a smaller version of biochar but as a distinct, tunable, and multifunctional nanomaterial.</w:t>
      </w:r>
    </w:p>
    <w:p>
      <w:pPr>
        <w:pStyle w:val="Normal"/>
      </w:pPr>
      <w:r>
        <w:t xml:space="preserve">The historical roots of carbon amendments reach back to the anthropogenic dark earths, or Terra Preta, of the Amazon basin, where deliberate additions of charred biomass produced fertile soils that have retained their productivity for centuries [1]. This enduring legacy inspired the modern scientific study of biochar and, more recently, the deliberate engineering of its nanoscale analogue. Whereas early biochar research emphasized bulk soil amendment and coarse particle behaviour, the recognition that a substantial and highly reactive nanoscale fraction naturally forms during pyrolysis and weathering reframed the material as a colloidal, mobile, and biologically active agent [2]. Understanding and controlling this nanoscale fraction—rather than treating it as an incidental by-product—is central to the next-generation paradigm that this chapter develops.</w:t>
      </w:r>
    </w:p>
    <w:p>
      <w:pPr>
        <w:pStyle w:val="Normal"/>
      </w:pPr>
      <w:r>
        <w:t xml:space="preserve">The significance of nanobiochar arises from the convergence of three global imperatives: the need to sustainably intensify food production, the urgency of remediating polluted soils and waters, and the requirement to sequester carbon while valorizing abundant agricultural residues [1]. Because the feedstocks for nanobiochar—crop straw, husks, shells, manures, forestry residues, and organic wastes—are renewable and often problematic to dispose of, the material embodies the principles of the circular bioeconomy, transforming low-value waste streams into high-value functional products [4]. This dual role, simultaneously addressing waste valorization and delivering agronomic and environmental benefits, distinguishes nanobiochar from many synthetic engineered nanomaterials whose production depends on finite mineral or fossil resources.</w:t>
      </w:r>
    </w:p>
    <w:p>
      <w:pPr>
        <w:pStyle w:val="Heading2"/>
      </w:pPr>
      <w:r>
        <w:t xml:space="preserve">1.2 Distinctive Physicochemical Attributes at the Nanoscale</w:t>
      </w:r>
    </w:p>
    <w:p>
      <w:pPr>
        <w:pStyle w:val="Normal"/>
      </w:pPr>
      <w:r>
        <w:t xml:space="preserve">The defining attributes of nanobiochar are its exceptionally high specific surface area, hierarchical porosity, abundant oxygen-containing surface functional groups, and pronounced surface charge, all of which scale favourably as particle dimensions decrease [3]. Nanoscale fragmentation exposes internal pore surfaces and edge sites that are inaccessible in bulk biochar, thereby increasing the density of carboxyl, hydroxyl, phenolic, and lactonic groups available for ion exchange, complexation, and hydrogen bonding [5]. These surface functionalities govern the material's cation and anion exchange capacity, its affinity for nutrients and contaminants, and its interactions with soil minerals, microorganisms, and plant roots.</w:t>
      </w:r>
    </w:p>
    <w:p>
      <w:pPr>
        <w:pStyle w:val="Normal"/>
      </w:pPr>
      <w:r>
        <w:t xml:space="preserve">In addition to enhanced surface chemistry, nanobiochar exhibits improved electron transfer capacity, colloidal stability, and dispersibility in aqueous media, which enable applications that are impractical with coarse biochar [2]. Its nanoscale dimensions permit penetration into soil micropores and plant tissues, facilitating targeted delivery of nutrients and agrochemicals, while its electrical conductivity supports roles in bioelectrochemical systems and sensing. However, the same properties that confer functional advantages—high mobility, reactivity, and bioavailability—also raise questions about environmental fate and potential ecotoxicity that must be addressed before large-scale deployment [6]. Figure 1 summarizes the conceptual progression from renewable biomass feedstocks through thermochemical conversion and nanoscale engineering to the multifunctional next-generation nanobiochar that underpins the applications discussed throughout this chapter.</w:t>
      </w:r>
    </w:p>
    <w:p>
      <w:pPr>
        <w:pStyle w:val="FigureImage"/>
      </w:pPr>
      <w:r>
        <w:drawing>
          <wp:inline xmlns:wp="http://schemas.openxmlformats.org/drawingml/2006/wordprocessingDrawing" distT="0" distB="0" distL="0" distR="0">
            <wp:extent cx="5486400" cy="3392905"/>
            <wp:effectExtent l="0" t="0" r="0" b="0"/>
            <wp:docPr id="1001" name="Figure_1_Biomass_to_Nanobioch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Biomass_to_Nanobiochar.png"/>
                    <pic:cNvPicPr/>
                  </pic:nvPicPr>
                  <pic:blipFill>
                    <a:blip xmlns:r="http://schemas.openxmlformats.org/officeDocument/2006/relationships" r:embed="rIdImg1"/>
                    <a:stretch>
                      <a:fillRect/>
                    </a:stretch>
                  </pic:blipFill>
                  <pic:spPr>
                    <a:xfrm>
                      <a:off x="0" y="0"/>
                      <a:ext cx="5486400" cy="3392905"/>
                    </a:xfrm>
                    <a:prstGeom prst="rect">
                      <a:avLst/>
                    </a:prstGeom>
                  </pic:spPr>
                </pic:pic>
              </a:graphicData>
            </a:graphic>
          </wp:inline>
        </w:drawing>
      </w:r>
    </w:p>
    <w:p>
      <w:pPr>
        <w:pStyle w:val="FigureCaption"/>
      </w:pPr>
      <w:r>
        <w:t xml:space="preserve">Figure 1. From Renewable Biomass to Next-Generation Nanobiochar: Feedstocks, Conversion Routes, Nanoscale Engineering, and Multifunctional Applications</w:t>
      </w:r>
    </w:p>
    <w:p>
      <w:pPr>
        <w:pStyle w:val="Heading2"/>
      </w:pPr>
      <w:r>
        <w:t xml:space="preserve">1.3 Scope and Organization of the Chapter</w:t>
      </w:r>
    </w:p>
    <w:p>
      <w:pPr>
        <w:pStyle w:val="Normal"/>
      </w:pPr>
      <w:r>
        <w:t xml:space="preserve">This chapter is organized to guide the reader from fundamentals to frontier innovations. It first examines advanced synthesis and functionalization strategies that determine the structure and performance of nanobiochar. It then surveys applications in sustainable agriculture, including precision nutrient management, controlled-release fertilization, soil-health restoration, and carbon sequestration, before turning to environmental remediation across water, soil, and atmosphere. The chapter subsequently explores the integration of nanobiochar with digital and smart technologies—artificial intelligence, IoT, and precision sensing—and highlights emerging innovations such as biosensors, bioelectrochemical systems, and engineered microbial consortia. It closes with a critical appraisal of the challenges to industrialization and a synthesis of research priorities for intelligent, scalable, and eco-friendly nanobiochar technologies.</w:t>
      </w:r>
    </w:p>
    <w:p>
      <w:pPr>
        <w:pStyle w:val="Heading1"/>
      </w:pPr>
      <w:r>
        <w:t xml:space="preserve">2. Advanced Synthesis and Functionalization of Nanobiochar</w:t>
      </w:r>
    </w:p>
    <w:p>
      <w:pPr>
        <w:pStyle w:val="Heading2"/>
      </w:pPr>
      <w:r>
        <w:t xml:space="preserve">2.1 Feedstock Selection and Thermochemical Conversion</w:t>
      </w:r>
    </w:p>
    <w:p>
      <w:pPr>
        <w:pStyle w:val="Normal"/>
      </w:pPr>
      <w:r>
        <w:t xml:space="preserve">The properties of nanobiochar are inherited, in large part, from the choice of feedstock and the conditions of thermochemical conversion, making these upstream decisions decisive for downstream performance [1]. Lignocellulosic residues rich in lignin tend to yield carbons with well-developed aromatic frameworks and high thermal stability, whereas manures and sludges contribute mineral phases and heteroatoms that impart catalytic and nutrient-supply functions [4]. Pyrolysis remains the dominant conversion route, with slow pyrolysis favouring higher biochar yields and hydrothermal carbonization enabling the processing of wet biomass into hydrochar with distinct surface chemistry [7]. The pyrolysis temperature exerts a particularly strong influence: lower temperatures preserve oxygen-containing functional groups and cation exchange capacity, while higher temperatures increase surface area, aromaticity, and stability at the expense of surface functionality.</w:t>
      </w:r>
    </w:p>
    <w:p>
      <w:pPr>
        <w:pStyle w:val="Normal"/>
      </w:pPr>
      <w:r>
        <w:t xml:space="preserve">The rigorous characterization of nanobiochar is indispensable for relating synthesis conditions to functional performance and for ensuring reproducibility across batches [2]. Electron microscopy, dynamic light scattering, and atomic force microscopy reveal particle size, morphology, and aggregation state, while gas-sorption analysis quantifies surface area and pore-size distribution. Spectroscopic techniques—including Fourier-transform infrared, Raman, X-ray photoelectron, and nuclear magnetic resonance spectroscopy—probe surface functional groups, aromaticity, and heteroatom speciation, and zeta-potential measurements describe colloidal stability and surface charge [3]. Because nanoscale properties can differ markedly from bulk averages, characterization must resolve the reactive fraction rather than report only ensemble means, a requirement that continues to drive methodological refinement in the field.</w:t>
      </w:r>
    </w:p>
    <w:p>
      <w:pPr>
        <w:pStyle w:val="Normal"/>
      </w:pPr>
      <w:r>
        <w:t xml:space="preserve">Producing material at the nanoscale requires additional processing beyond conventional carbonization. Top-down approaches, including high-energy ball milling, ultrasonication, and controlled chemical exfoliation, fragment bulk biochar into nanoparticles and nanosheets while generating fresh reactive surfaces [2]. Bottom-up approaches, by contrast, template or self-assemble carbon precursors into nanostructured architectures with controlled morphology and porosity [8]. The selection between these routes involves trade-offs among energy consumption, scalability, particle-size uniformity, and the preservation of desirable surface chemistry, and these considerations are summarized in Table 1.</w:t>
      </w:r>
    </w:p>
    <w:p>
      <w:pPr>
        <w:pStyle w:val="TableCaption"/>
      </w:pPr>
      <w:r>
        <w:t xml:space="preserve">[Insert Table 1 here]</w:t>
      </w:r>
    </w:p>
    <w:p>
      <w:pPr>
        <w:pStyle w:val="TableCaption"/>
      </w:pPr>
      <w:r>
        <w:t xml:space="preserve">Table 1. Comparison of Nanobiochar Synthesis and Functionalization Strategies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shd w:val="clear" w:color="auto" w:fill="D9E2F3"/>
          </w:tcPr>
          <w:p>
            <w:pPr>
              <w:jc w:val="center"/>
            </w:pPr>
            <w:r>
              <w:rPr>
                <w:b/>
              </w:rPr>
              <w:t xml:space="preserve">Strategy</w:t>
            </w:r>
          </w:p>
        </w:tc>
        <w:tc>
          <w:tcPr>
            <w:shd w:val="clear" w:color="auto" w:fill="D9E2F3"/>
          </w:tcPr>
          <w:p>
            <w:pPr>
              <w:jc w:val="center"/>
            </w:pPr>
            <w:r>
              <w:rPr>
                <w:b/>
              </w:rPr>
              <w:t xml:space="preserve">Principle</w:t>
            </w:r>
          </w:p>
        </w:tc>
        <w:tc>
          <w:tcPr>
            <w:shd w:val="clear" w:color="auto" w:fill="D9E2F3"/>
          </w:tcPr>
          <w:p>
            <w:pPr>
              <w:jc w:val="center"/>
            </w:pPr>
            <w:r>
              <w:rPr>
                <w:b/>
              </w:rPr>
              <w:t xml:space="preserve">Key Advantages</w:t>
            </w:r>
          </w:p>
        </w:tc>
        <w:tc>
          <w:tcPr>
            <w:shd w:val="clear" w:color="auto" w:fill="D9E2F3"/>
          </w:tcPr>
          <w:p>
            <w:pPr>
              <w:jc w:val="center"/>
            </w:pPr>
            <w:r>
              <w:rPr>
                <w:b/>
              </w:rPr>
              <w:t xml:space="preserve">Principal Limitations</w:t>
            </w:r>
          </w:p>
        </w:tc>
        <w:tc>
          <w:tcPr>
            <w:shd w:val="clear" w:color="auto" w:fill="D9E2F3"/>
          </w:tcPr>
          <w:p>
            <w:pPr>
              <w:jc w:val="center"/>
            </w:pPr>
            <w:r>
              <w:rPr>
                <w:b/>
              </w:rPr>
              <w:t xml:space="preserve">Typical Output</w:t>
            </w:r>
          </w:p>
        </w:tc>
      </w:tr>
      <w:tr>
        <w:tc>
          <w:p>
            <w:pPr>
              <w:spacing w:after="40"/>
            </w:pPr>
            <w:r>
              <w:t xml:space="preserve">Slow pyrolysis + ball milling</w:t>
            </w:r>
          </w:p>
        </w:tc>
        <w:tc>
          <w:p>
            <w:pPr>
              <w:spacing w:after="40"/>
            </w:pPr>
            <w:r>
              <w:t xml:space="preserve">Carbonization then mechanical fragmentation</w:t>
            </w:r>
          </w:p>
        </w:tc>
        <w:tc>
          <w:p>
            <w:pPr>
              <w:spacing w:after="40"/>
            </w:pPr>
            <w:r>
              <w:t xml:space="preserve">High yield, simple, scalable</w:t>
            </w:r>
          </w:p>
        </w:tc>
        <w:tc>
          <w:p>
            <w:pPr>
              <w:spacing w:after="40"/>
            </w:pPr>
            <w:r>
              <w:t xml:space="preserve">Broad size distribution, energy-intensive milling</w:t>
            </w:r>
          </w:p>
        </w:tc>
        <w:tc>
          <w:p>
            <w:pPr>
              <w:spacing w:after="40"/>
            </w:pPr>
            <w:r>
              <w:t xml:space="preserve">Nanoparticles, nanosheets</w:t>
            </w:r>
          </w:p>
        </w:tc>
      </w:tr>
      <w:tr>
        <w:tc>
          <w:p>
            <w:pPr>
              <w:spacing w:after="40"/>
            </w:pPr>
            <w:r>
              <w:t xml:space="preserve">Hydrothermal carbonization</w:t>
            </w:r>
          </w:p>
        </w:tc>
        <w:tc>
          <w:p>
            <w:pPr>
              <w:spacing w:after="40"/>
            </w:pPr>
            <w:r>
              <w:t xml:space="preserve">Wet conversion under pressure</w:t>
            </w:r>
          </w:p>
        </w:tc>
        <w:tc>
          <w:p>
            <w:pPr>
              <w:spacing w:after="40"/>
            </w:pPr>
            <w:r>
              <w:t xml:space="preserve">Handles wet biomass, rich surface groups</w:t>
            </w:r>
          </w:p>
        </w:tc>
        <w:tc>
          <w:p>
            <w:pPr>
              <w:spacing w:after="40"/>
            </w:pPr>
            <w:r>
              <w:t xml:space="preserve">Lower stability, post-treatment needed</w:t>
            </w:r>
          </w:p>
        </w:tc>
        <w:tc>
          <w:p>
            <w:pPr>
              <w:spacing w:after="40"/>
            </w:pPr>
            <w:r>
              <w:t xml:space="preserve">Hydrochar nanospheres</w:t>
            </w:r>
          </w:p>
        </w:tc>
      </w:tr>
      <w:tr>
        <w:tc>
          <w:p>
            <w:pPr>
              <w:spacing w:after="40"/>
            </w:pPr>
            <w:r>
              <w:t xml:space="preserve">Chemical activation (KOH, H₃PO₄)</w:t>
            </w:r>
          </w:p>
        </w:tc>
        <w:tc>
          <w:p>
            <w:pPr>
              <w:spacing w:after="40"/>
            </w:pPr>
            <w:r>
              <w:t xml:space="preserve">Pore development via activating agents</w:t>
            </w:r>
          </w:p>
        </w:tc>
        <w:tc>
          <w:p>
            <w:pPr>
              <w:spacing w:after="40"/>
            </w:pPr>
            <w:r>
              <w:t xml:space="preserve">Very high surface area and porosity</w:t>
            </w:r>
          </w:p>
        </w:tc>
        <w:tc>
          <w:p>
            <w:pPr>
              <w:spacing w:after="40"/>
            </w:pPr>
            <w:r>
              <w:t xml:space="preserve">Corrosive reagents, washing required</w:t>
            </w:r>
          </w:p>
        </w:tc>
        <w:tc>
          <w:p>
            <w:pPr>
              <w:spacing w:after="40"/>
            </w:pPr>
            <w:r>
              <w:t xml:space="preserve">Activated nanoporous carbon</w:t>
            </w:r>
          </w:p>
        </w:tc>
      </w:tr>
      <w:tr>
        <w:tc>
          <w:p>
            <w:pPr>
              <w:spacing w:after="40"/>
            </w:pPr>
            <w:r>
              <w:t xml:space="preserve">Nanocomposite decoration</w:t>
            </w:r>
          </w:p>
        </w:tc>
        <w:tc>
          <w:p>
            <w:pPr>
              <w:spacing w:after="40"/>
            </w:pPr>
            <w:r>
              <w:t xml:space="preserve">Loading metal/oxide/mineral phases</w:t>
            </w:r>
          </w:p>
        </w:tc>
        <w:tc>
          <w:p>
            <w:pPr>
              <w:spacing w:after="40"/>
            </w:pPr>
            <w:r>
              <w:t xml:space="preserve">Added catalytic and magnetic function</w:t>
            </w:r>
          </w:p>
        </w:tc>
        <w:tc>
          <w:p>
            <w:pPr>
              <w:spacing w:after="40"/>
            </w:pPr>
            <w:r>
              <w:t xml:space="preserve">Added cost, uniform dispersion difficult</w:t>
            </w:r>
          </w:p>
        </w:tc>
        <w:tc>
          <w:p>
            <w:pPr>
              <w:spacing w:after="40"/>
            </w:pPr>
            <w:r>
              <w:t xml:space="preserve">Magnetic and catalytic composites</w:t>
            </w:r>
          </w:p>
        </w:tc>
      </w:tr>
      <w:tr>
        <w:tc>
          <w:p>
            <w:pPr>
              <w:spacing w:after="40"/>
            </w:pPr>
            <w:r>
              <w:t xml:space="preserve">Green synthesis routes</w:t>
            </w:r>
          </w:p>
        </w:tc>
        <w:tc>
          <w:p>
            <w:pPr>
              <w:spacing w:after="40"/>
            </w:pPr>
            <w:r>
              <w:t xml:space="preserve">Bio-mediated, low-toxicity reagents</w:t>
            </w:r>
          </w:p>
        </w:tc>
        <w:tc>
          <w:p>
            <w:pPr>
              <w:spacing w:after="40"/>
            </w:pPr>
            <w:r>
              <w:t xml:space="preserve">Eco-friendly, low energy footprint</w:t>
            </w:r>
          </w:p>
        </w:tc>
        <w:tc>
          <w:p>
            <w:pPr>
              <w:spacing w:after="40"/>
            </w:pPr>
            <w:r>
              <w:t xml:space="preserve">Slower, harder to standardize</w:t>
            </w:r>
          </w:p>
        </w:tc>
        <w:tc>
          <w:p>
            <w:pPr>
              <w:spacing w:after="40"/>
            </w:pPr>
            <w:r>
              <w:t xml:space="preserve">Biofunctionalized nanobiochar</w:t>
            </w:r>
          </w:p>
        </w:tc>
      </w:tr>
    </w:tbl>
    <w:p>
      <w:pPr>
        <w:pStyle w:val="Heading2"/>
      </w:pPr>
      <w:r>
        <w:t xml:space="preserve">2.2 Chemical Modification and Surface Activation</w:t>
      </w:r>
    </w:p>
    <w:p>
      <w:pPr>
        <w:pStyle w:val="Normal"/>
      </w:pPr>
      <w:r>
        <w:t xml:space="preserve">Chemical modification tailors the surface chemistry of nanobiochar to specific applications by introducing, removing, or transforming functional groups [5]. Oxidative treatments with acids or hydrogen peroxide enrich the surface in carboxyl and hydroxyl groups, enhancing hydrophilicity, cation exchange capacity, and affinity for metal ions, whereas reductive or thermal treatments can increase graphitic character and electrical conductivity [3]. Heteroatom doping with nitrogen, sulphur, or phosphorus modifies the electronic structure and creates active sites that promote catalytic reactions and pollutant degradation [8]. Amination, sulfonation, and grafting of organic ligands further diversify the chemical repertoire, enabling selective binding of target nutrients or contaminants.</w:t>
      </w:r>
    </w:p>
    <w:p>
      <w:pPr>
        <w:pStyle w:val="Normal"/>
      </w:pPr>
      <w:r>
        <w:t xml:space="preserve">Surface activation, achieved through physical activation with steam or carbon dioxide or through chemical activation with agents such as potassium hydroxide or phosphoric acid, dramatically expands the pore network and specific surface area [7]. The resulting hierarchical porosity, comprising interconnected micro-, meso-, and macropores, governs mass transport, adsorption kinetics, and the accessibility of internal active sites. Careful control of activation conditions allows the pore-size distribution to be matched to the dimensions of target molecules, an important consideration for applications ranging from gas capture to the sequestration of organic pollutants [9].</w:t>
      </w:r>
    </w:p>
    <w:p>
      <w:pPr>
        <w:pStyle w:val="Heading2"/>
      </w:pPr>
      <w:r>
        <w:t xml:space="preserve">2.3 Nanobiocomposites and Green Nanotechnology Routes</w:t>
      </w:r>
    </w:p>
    <w:p>
      <w:pPr>
        <w:pStyle w:val="Normal"/>
      </w:pPr>
      <w:r>
        <w:t xml:space="preserve">The fabrication of nanobiochar-based composites integrates the carbonaceous matrix with functional nanophases to create materials whose combined performance exceeds that of the individual constituents [9]. Incorporation of iron oxides confers magnetic separability, allowing spent material to be recovered from water by an external magnetic field; loading of metal and metal-oxide nanoparticles introduces photocatalytic and antimicrobial activity; and hybridization with clays, layered double hydroxides, or polymers tunes charge, stability, and controlled-release behaviour [10]. These composites underpin many of the advanced environmental and agricultural functions discussed later in this chapter, from advanced oxidation of persistent pollutants to the slow release of nutrients.</w:t>
      </w:r>
    </w:p>
    <w:p>
      <w:pPr>
        <w:pStyle w:val="Normal"/>
      </w:pPr>
      <w:r>
        <w:t xml:space="preserve">Green nanotechnology routes seek to minimize the environmental burden of synthesis by employing plant extracts, microbial agents, and benign solvents in place of hazardous reagents [11]. Bio-mediated reduction and templating can generate well-defined nanostructures under mild conditions while embedding phytochemicals that contribute additional functionality, such as antioxidant or biostimulant activity. Aligning nanobiochar production with the principles of green chemistry not only reduces toxicity and energy demand but also strengthens the material's credentials as a sustainable input for agriculture and remediation, reinforcing its role within the circular bioeconomy [4]. The persistent engineering challenge across all these routes is achieving reproducible, uniform products at scale, a theme revisited in the discussion of industrialization challenges.</w:t>
      </w:r>
    </w:p>
    <w:p>
      <w:pPr>
        <w:pStyle w:val="Heading1"/>
      </w:pPr>
      <w:r>
        <w:t xml:space="preserve">3. Nanobiochar in Sustainable and Precision Agriculture</w:t>
      </w:r>
    </w:p>
    <w:p>
      <w:pPr>
        <w:pStyle w:val="Heading2"/>
      </w:pPr>
      <w:r>
        <w:t xml:space="preserve">3.1 Smart Nutrient Delivery and Controlled-Release Fertilizers</w:t>
      </w:r>
    </w:p>
    <w:p>
      <w:pPr>
        <w:pStyle w:val="Normal"/>
      </w:pPr>
      <w:r>
        <w:t xml:space="preserve">One of the most compelling agricultural applications of nanobiochar is its use as a carrier for smart, controlled-release fertilizers that synchronize nutrient supply with crop demand [12]. Conventional fertilizers are prone to rapid dissolution, leaching, volatilization, and fixation, resulting in low nutrient-use efficiency and substantial environmental losses to water and air. The high surface area, porosity, and abundant functional groups of nanobiochar enable it to adsorb and hold nutrients such as nitrogen, phosphorus, and potassium, releasing them gradually in response to soil moisture, pH, and microbial activity [13]. This controlled release reduces losses, extends nutrient availability across the growing season, and can lower the total quantity of fertilizer required.</w:t>
      </w:r>
    </w:p>
    <w:p>
      <w:pPr>
        <w:pStyle w:val="Normal"/>
      </w:pPr>
      <w:r>
        <w:t xml:space="preserve">The mechanism of nutrient retention and release in nanobiochar systems is governed by the interplay of physical entrapment within the pore network, electrostatic interaction with charged surface sites, and chemical complexation with functional groups [13]. For nitrogen, ammonium ions are retained by cation exchange and by protonated surface groups, whereas nitrate, being an anion, is better held by nanobiochar functionalized to carry positive charge or decorated with layered double hydroxides [10]. Phosphate retention frequently relies on ligand exchange and precipitation with mineral phases, and potassium is held predominantly by exchange processes. By deliberately tuning these mechanisms during synthesis and functionalization, formulators can tailor release profiles to the uptake kinetics of specific crops, transforming a generic amendment into a precision delivery vehicle [12].</w:t>
      </w:r>
    </w:p>
    <w:p>
      <w:pPr>
        <w:pStyle w:val="Normal"/>
      </w:pPr>
      <w:r>
        <w:t xml:space="preserve">Nanobiochar carriers can be engineered for stimulus-responsive release, whereby nutrients or micronutrients are liberated in response to specific environmental cues, offering a degree of precision unattainable with bulk amendments [12]. Loading of micronutrients such as zinc, iron, and boron onto nanobiochar addresses hidden hunger in crops while mitigating the toxicity that can accompany conventional micronutrient salts. By coupling nutrient delivery with the soil-conditioning benefits of the carbon matrix, nanobiochar-based fertilizers simultaneously improve fertilization efficiency and long-term soil fertility. Table 2 summarizes representative agricultural functions of nanobiochar and their reported agronomic and environmental benefits.</w:t>
      </w:r>
    </w:p>
    <w:p>
      <w:pPr>
        <w:pStyle w:val="TableCaption"/>
      </w:pPr>
      <w:r>
        <w:t xml:space="preserve">[Insert Table 2 here]</w:t>
      </w:r>
    </w:p>
    <w:p>
      <w:pPr>
        <w:pStyle w:val="TableCaption"/>
      </w:pPr>
      <w:r>
        <w:t xml:space="preserve">Table 2. Representative Agricultural Functions of Nanobiochar and Associated Benefits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Function</w:t>
            </w:r>
          </w:p>
        </w:tc>
        <w:tc>
          <w:tcPr>
            <w:shd w:val="clear" w:color="auto" w:fill="D9E2F3"/>
          </w:tcPr>
          <w:p>
            <w:pPr>
              <w:jc w:val="center"/>
            </w:pPr>
            <w:r>
              <w:rPr>
                <w:b/>
              </w:rPr>
              <w:t xml:space="preserve">Mechanism</w:t>
            </w:r>
          </w:p>
        </w:tc>
        <w:tc>
          <w:tcPr>
            <w:shd w:val="clear" w:color="auto" w:fill="D9E2F3"/>
          </w:tcPr>
          <w:p>
            <w:pPr>
              <w:jc w:val="center"/>
            </w:pPr>
            <w:r>
              <w:rPr>
                <w:b/>
              </w:rPr>
              <w:t xml:space="preserve">Agronomic Benefit</w:t>
            </w:r>
          </w:p>
        </w:tc>
        <w:tc>
          <w:tcPr>
            <w:shd w:val="clear" w:color="auto" w:fill="D9E2F3"/>
          </w:tcPr>
          <w:p>
            <w:pPr>
              <w:jc w:val="center"/>
            </w:pPr>
            <w:r>
              <w:rPr>
                <w:b/>
              </w:rPr>
              <w:t xml:space="preserve">Environmental Benefit</w:t>
            </w:r>
          </w:p>
        </w:tc>
      </w:tr>
      <w:tr>
        <w:tc>
          <w:p>
            <w:pPr>
              <w:spacing w:after="40"/>
            </w:pPr>
            <w:r>
              <w:t xml:space="preserve">Controlled-release fertilizer carrier</w:t>
            </w:r>
          </w:p>
        </w:tc>
        <w:tc>
          <w:p>
            <w:pPr>
              <w:spacing w:after="40"/>
            </w:pPr>
            <w:r>
              <w:t xml:space="preserve">Adsorption and slow desorption of nutrients</w:t>
            </w:r>
          </w:p>
        </w:tc>
        <w:tc>
          <w:p>
            <w:pPr>
              <w:spacing w:after="40"/>
            </w:pPr>
            <w:r>
              <w:t xml:space="preserve">Higher nutrient-use efficiency</w:t>
            </w:r>
          </w:p>
        </w:tc>
        <w:tc>
          <w:p>
            <w:pPr>
              <w:spacing w:after="40"/>
            </w:pPr>
            <w:r>
              <w:t xml:space="preserve">Reduced leaching and volatilization</w:t>
            </w:r>
          </w:p>
        </w:tc>
      </w:tr>
      <w:tr>
        <w:tc>
          <w:p>
            <w:pPr>
              <w:spacing w:after="40"/>
            </w:pPr>
            <w:r>
              <w:t xml:space="preserve">Micronutrient delivery</w:t>
            </w:r>
          </w:p>
        </w:tc>
        <w:tc>
          <w:p>
            <w:pPr>
              <w:spacing w:after="40"/>
            </w:pPr>
            <w:r>
              <w:t xml:space="preserve">Loading of Zn, Fe, B on high-surface matrix</w:t>
            </w:r>
          </w:p>
        </w:tc>
        <w:tc>
          <w:p>
            <w:pPr>
              <w:spacing w:after="40"/>
            </w:pPr>
            <w:r>
              <w:t xml:space="preserve">Corrects deficiencies, boosts yield</w:t>
            </w:r>
          </w:p>
        </w:tc>
        <w:tc>
          <w:p>
            <w:pPr>
              <w:spacing w:after="40"/>
            </w:pPr>
            <w:r>
              <w:t xml:space="preserve">Lower salt toxicity, less runoff</w:t>
            </w:r>
          </w:p>
        </w:tc>
      </w:tr>
      <w:tr>
        <w:tc>
          <w:p>
            <w:pPr>
              <w:spacing w:after="40"/>
            </w:pPr>
            <w:r>
              <w:t xml:space="preserve">Soil conditioner</w:t>
            </w:r>
          </w:p>
        </w:tc>
        <w:tc>
          <w:p>
            <w:pPr>
              <w:spacing w:after="40"/>
            </w:pPr>
            <w:r>
              <w:t xml:space="preserve">Improves structure, water and cation retention</w:t>
            </w:r>
          </w:p>
        </w:tc>
        <w:tc>
          <w:p>
            <w:pPr>
              <w:spacing w:after="40"/>
            </w:pPr>
            <w:r>
              <w:t xml:space="preserve">Better root growth and resilience</w:t>
            </w:r>
          </w:p>
        </w:tc>
        <w:tc>
          <w:p>
            <w:pPr>
              <w:spacing w:after="40"/>
            </w:pPr>
            <w:r>
              <w:t xml:space="preserve">Reduced erosion and nutrient loss</w:t>
            </w:r>
          </w:p>
        </w:tc>
      </w:tr>
      <w:tr>
        <w:tc>
          <w:p>
            <w:pPr>
              <w:spacing w:after="40"/>
            </w:pPr>
            <w:r>
              <w:t xml:space="preserve">Water-holding amendment</w:t>
            </w:r>
          </w:p>
        </w:tc>
        <w:tc>
          <w:p>
            <w:pPr>
              <w:spacing w:after="40"/>
            </w:pPr>
            <w:r>
              <w:t xml:space="preserve">Nanoporosity retains soil moisture</w:t>
            </w:r>
          </w:p>
        </w:tc>
        <w:tc>
          <w:p>
            <w:pPr>
              <w:spacing w:after="40"/>
            </w:pPr>
            <w:r>
              <w:t xml:space="preserve">Drought tolerance, less irrigation</w:t>
            </w:r>
          </w:p>
        </w:tc>
        <w:tc>
          <w:p>
            <w:pPr>
              <w:spacing w:after="40"/>
            </w:pPr>
            <w:r>
              <w:t xml:space="preserve">Water conservation</w:t>
            </w:r>
          </w:p>
        </w:tc>
      </w:tr>
      <w:tr>
        <w:tc>
          <w:p>
            <w:pPr>
              <w:spacing w:after="40"/>
            </w:pPr>
            <w:r>
              <w:t xml:space="preserve">Microbial habitat</w:t>
            </w:r>
          </w:p>
        </w:tc>
        <w:tc>
          <w:p>
            <w:pPr>
              <w:spacing w:after="40"/>
            </w:pPr>
            <w:r>
              <w:t xml:space="preserve">Porous surface hosts beneficial microbes</w:t>
            </w:r>
          </w:p>
        </w:tc>
        <w:tc>
          <w:p>
            <w:pPr>
              <w:spacing w:after="40"/>
            </w:pPr>
            <w:r>
              <w:t xml:space="preserve">Enhanced nutrient cycling</w:t>
            </w:r>
          </w:p>
        </w:tc>
        <w:tc>
          <w:p>
            <w:pPr>
              <w:spacing w:after="40"/>
            </w:pPr>
            <w:r>
              <w:t xml:space="preserve">Restored soil biodiversity</w:t>
            </w:r>
          </w:p>
        </w:tc>
      </w:tr>
      <w:tr>
        <w:tc>
          <w:p>
            <w:pPr>
              <w:spacing w:after="40"/>
            </w:pPr>
            <w:r>
              <w:t xml:space="preserve">Carbon sequestration</w:t>
            </w:r>
          </w:p>
        </w:tc>
        <w:tc>
          <w:p>
            <w:pPr>
              <w:spacing w:after="40"/>
            </w:pPr>
            <w:r>
              <w:t xml:space="preserve">Stable aromatic carbon stored in soil</w:t>
            </w:r>
          </w:p>
        </w:tc>
        <w:tc>
          <w:p>
            <w:pPr>
              <w:spacing w:after="40"/>
            </w:pPr>
            <w:r>
              <w:t xml:space="preserve">Long-term fertility</w:t>
            </w:r>
          </w:p>
        </w:tc>
        <w:tc>
          <w:p>
            <w:pPr>
              <w:spacing w:after="40"/>
            </w:pPr>
            <w:r>
              <w:t xml:space="preserve">Net removal of atmospheric CO₂</w:t>
            </w:r>
          </w:p>
        </w:tc>
      </w:tr>
    </w:tbl>
    <w:p>
      <w:pPr>
        <w:pStyle w:val="Heading2"/>
      </w:pPr>
      <w:r>
        <w:t xml:space="preserve">3.2 Restoration of Soil Health and Microbial Ecosystems</w:t>
      </w:r>
    </w:p>
    <w:p>
      <w:pPr>
        <w:pStyle w:val="Normal"/>
      </w:pPr>
      <w:r>
        <w:t xml:space="preserve">Beyond nutrient delivery, nanobiochar functions as a powerful soil conditioner that improves physical, chemical, and biological soil properties [13]. Its incorporation enhances soil aggregation and porosity, increases water-holding capacity, and raises cation exchange capacity, thereby improving the retention and availability of water and nutrients to plant roots. In degraded, saline, or acidic soils, nanobiochar can buffer pH, immobilize phytotoxic elements, and restore conditions conducive to root proliferation and crop establishment [14]. These improvements are particularly valuable in the context of land degradation and the pressure to rehabilitate marginal lands for productive agriculture.</w:t>
      </w:r>
    </w:p>
    <w:p>
      <w:pPr>
        <w:pStyle w:val="Normal"/>
      </w:pPr>
      <w:r>
        <w:t xml:space="preserve">The influence of nanobiochar on soil physical behaviour is disproportionate to the small quantities typically applied, owing to its extensive surface area and its capacity to bridge and stabilize soil aggregates [13]. Improved aggregation enhances the balance between water-holding capacity and aeration, creating the pore architecture that roots and microorganisms require for vigorous function. In coarse, sandy soils, nanobiochar increases water and nutrient retention, reducing the frequency of irrigation and fertilization, whereas in compacted or crusted soils it can improve infiltration and reduce runoff [14]. These hydrological benefits are especially consequential under the increasingly erratic rainfall and prolonged drought associated with a changing climate, positioning nanobiochar as a tool for building agronomic resilience.</w:t>
      </w:r>
    </w:p>
    <w:p>
      <w:pPr>
        <w:pStyle w:val="Normal"/>
      </w:pPr>
      <w:r>
        <w:t xml:space="preserve">The porous architecture and rich surface chemistry of nanobiochar also create favourable microhabitats for beneficial soil microorganisms, stimulating microbial abundance, diversity, and activity [15]. By providing refuge, moisture, and adsorbed nutrients, nanobiochar supports populations of nitrogen-fixing bacteria, mycorrhizal fungi, and phosphate-solubilizing organisms that drive nutrient cycling and plant growth promotion. Enhanced microbial function accelerates the mineralization of organic matter, improves nutrient bioavailability, and can suppress soilborne pathogens, contributing to a more resilient and self-regulating soil ecosystem [16]. The synergistic interaction between nanobiochar and the soil microbiome thus lies at the heart of its capacity to restore soil health.</w:t>
      </w:r>
    </w:p>
    <w:p>
      <w:pPr>
        <w:pStyle w:val="Heading2"/>
      </w:pPr>
      <w:r>
        <w:t xml:space="preserve">3.3 Carbon Sequestration and Climate-Smart Agriculture</w:t>
      </w:r>
    </w:p>
    <w:p>
      <w:pPr>
        <w:pStyle w:val="Normal"/>
      </w:pPr>
      <w:r>
        <w:t xml:space="preserve">Nanobiochar contributes directly to climate-change mitigation by sequestering carbon in a stable, recalcitrant form that resists microbial decomposition for decades to centuries [1]. Because the carbon fixed by biomass through photosynthesis is converted into aromatic structures that persist in soil, the application of nanobiochar constitutes a carbon-negative technology that removes carbon dioxide from the atmosphere while delivering agronomic co-benefits [14]. When integrated into climate-smart agricultural systems, nanobiochar can simultaneously enhance productivity, build soil carbon stocks, and reduce the emission intensity of food production.</w:t>
      </w:r>
    </w:p>
    <w:p>
      <w:pPr>
        <w:pStyle w:val="Normal"/>
      </w:pPr>
      <w:r>
        <w:t xml:space="preserve">The permanence of carbon storage achieved with nanobiochar depends on the recalcitrance of its aromatic structure, which is itself a function of feedstock and pyrolysis conditions, and on its stability against physical breakdown and microbial attack in the soil environment [14]. High-temperature, highly aromatic materials resist decomposition most effectively, offering the longest mean residence times, whereas the nanoscale fraction, with its greater surface exposure, may be more susceptible to transformation and transport. Quantifying and verifying the durability of stored carbon is therefore essential if nanobiochar is to participate credibly in carbon-crediting schemes and contribute measurably to climate targets [14]. Robust measurement, reporting, and verification protocols will be as important to adoption as the material's intrinsic sequestration potential.</w:t>
      </w:r>
    </w:p>
    <w:p>
      <w:pPr>
        <w:pStyle w:val="Normal"/>
      </w:pPr>
      <w:r>
        <w:t xml:space="preserve">The agronomic and climatic benefits of nanobiochar are amplified when its use is guided by precision-agriculture principles that match application to spatial and temporal variability in soil and crop conditions [17]. Site-specific management, informed by soil sensing and mapping, ensures that nanobiochar and the nutrients it carries are applied where and when they are most needed, avoiding waste and maximizing return. This alignment of a carbon-sequestering, multifunctional amendment with data-driven precision management exemplifies the integration of materials innovation and digital agriculture that defines next-generation, climate-smart farming systems [18].</w:t>
      </w:r>
    </w:p>
    <w:p>
      <w:pPr>
        <w:pStyle w:val="Heading1"/>
      </w:pPr>
      <w:r>
        <w:t xml:space="preserve">4. Nanobiochar for Environmental Remediation</w:t>
      </w:r>
    </w:p>
    <w:p>
      <w:pPr>
        <w:pStyle w:val="Heading2"/>
      </w:pPr>
      <w:r>
        <w:t xml:space="preserve">4.1 Water Purification and Heavy-Metal Immobilization</w:t>
      </w:r>
    </w:p>
    <w:p>
      <w:pPr>
        <w:pStyle w:val="Normal"/>
      </w:pPr>
      <w:r>
        <w:t xml:space="preserve">The remediation of contaminated water is among the most mature and impactful applications of nanobiochar, driven by its exceptional adsorption capacity and tunable surface chemistry [19]. Nanobiochar removes a wide spectrum of aqueous contaminants—including heavy metals, dyes, nutrients, and emerging organic pollutants—through mechanisms that encompass electrostatic attraction, surface complexation, ion exchange, precipitation, and pore filling [20]. The nanoscale dimensions and abundant functional groups provide a high density of accessible binding sites, yielding adsorption capacities and kinetics that frequently surpass those of conventional biochar and rival those of commercial activated carbons.</w:t>
      </w:r>
    </w:p>
    <w:p>
      <w:pPr>
        <w:pStyle w:val="Normal"/>
      </w:pPr>
      <w:r>
        <w:t xml:space="preserve">The quantitative description of adsorption behaviour is essential for both understanding mechanisms and designing treatment systems [19]. Equilibrium adsorption is commonly modelled with Langmuir and Freundlich isotherms, whose parameters describe monolayer capacity and surface heterogeneity, while kinetic models capture the rate-limiting steps of external diffusion, intraparticle diffusion, and surface reaction [20]. Nanobiochar typically exhibits faster kinetics than bulk biochar because its reduced diffusion path lengths and greater external surface area make binding sites more rapidly accessible. Thermodynamic analysis further reveals whether adsorption is spontaneous and endothermic or exothermic, informing operation across temperature ranges. Together these frameworks enable the rational scaling of nanobiochar from batch experiments to continuous flow systems relevant to real water-treatment applications [20].</w:t>
      </w:r>
    </w:p>
    <w:p>
      <w:pPr>
        <w:pStyle w:val="Normal"/>
      </w:pPr>
      <w:r>
        <w:t xml:space="preserve">Heavy-metal immobilization is a particularly important function, given the persistence and toxicity of metals such as lead, cadmium, chromium, arsenic, and mercury in water and soil [21]. Oxygen-containing functional groups on nanobiochar chelate metal cations, while mineral phases can promote precipitation and redox transformation of metals into less mobile, less toxic species. In contaminated soils, nanobiochar reduces the bioavailability and plant uptake of toxic metals, limiting their entry into the food chain while restoring soil functionality [21]. Magnetic nanobiochar composites offer the additional advantage of facile recovery after treatment, enabling regeneration and reuse and reducing the risk of secondary contamination [10].</w:t>
      </w:r>
    </w:p>
    <w:p>
      <w:pPr>
        <w:pStyle w:val="Heading2"/>
      </w:pPr>
      <w:r>
        <w:t xml:space="preserve">4.2 Pesticide and Organic Pollutant Remediation</w:t>
      </w:r>
    </w:p>
    <w:p>
      <w:pPr>
        <w:pStyle w:val="Normal"/>
      </w:pPr>
      <w:r>
        <w:t xml:space="preserve">Nanobiochar and its composites are increasingly deployed to remediate pesticides, pharmaceuticals, and other persistent organic pollutants that threaten water quality and ecosystem health [22]. Adsorption onto the hydrophobic aromatic surfaces and within the porous network sequesters these compounds effectively, while functionalized and composite nanobiochars enable catalytic degradation that transforms pollutants into benign products rather than merely relocating them [8]. In advanced oxidation processes, metal-loaded nanobiochar activates oxidants such as persulfate and hydrogen peroxide to generate reactive radicals that mineralize organic contaminants, and photocatalytic composites harness light energy to drive degradation [9].</w:t>
      </w:r>
    </w:p>
    <w:p>
      <w:pPr>
        <w:pStyle w:val="Normal"/>
      </w:pPr>
      <w:r>
        <w:t xml:space="preserve">The persistence of many organic micropollutants in conventional treatment underscores the value of nanobiochar-enabled degradation, which converts contaminants rather than transferring them between phases [22]. The carbonaceous matrix itself possesses redox-active moieties, such as quinone and hydroquinone groups, that can mediate electron transfer and participate directly in transformation reactions [8]. Doping with nitrogen or loading with transition metals introduces additional catalytic sites that lower activation barriers and enhance radical generation. Because the same porous surface both concentrates pollutants by adsorption and hosts the catalytic sites that destroy them, reaction rates benefit from elevated local reactant concentrations, an advantage that is difficult to replicate with homogeneous catalysts [22]. This proximity effect exemplifies the design logic behind multifunctional remediation materials.</w:t>
      </w:r>
    </w:p>
    <w:p>
      <w:pPr>
        <w:pStyle w:val="Normal"/>
      </w:pPr>
      <w:r>
        <w:t xml:space="preserve">The combination of adsorption and catalytic degradation within a single material is especially attractive because it addresses both the rapid capture and the ultimate destruction of pollutants [22]. Nanobiochar can also serve as a conductive support and electron shuttle in bioelectrochemical and microbially assisted degradation systems, coupling abiotic and biotic pathways to accelerate the breakdown of recalcitrant compounds [23]. These integrated remediation strategies exemplify how the multifunctionality of nanobiochar can be exploited to tackle complex pollution problems that resist single-mechanism solutions. Table 3 compiles representative environmental remediation applications and the dominant mechanisms involved.</w:t>
      </w:r>
    </w:p>
    <w:p>
      <w:pPr>
        <w:pStyle w:val="TableCaption"/>
      </w:pPr>
      <w:r>
        <w:t xml:space="preserve">[Insert Table 3 here]</w:t>
      </w:r>
    </w:p>
    <w:p>
      <w:pPr>
        <w:pStyle w:val="TableCaption"/>
      </w:pPr>
      <w:r>
        <w:t xml:space="preserve">Table 3. Environmental Remediation Applications of Nanobiochar and Dominant Mechanisms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Target Pollutant Class</w:t>
            </w:r>
          </w:p>
        </w:tc>
        <w:tc>
          <w:tcPr>
            <w:shd w:val="clear" w:color="auto" w:fill="D9E2F3"/>
          </w:tcPr>
          <w:p>
            <w:pPr>
              <w:jc w:val="center"/>
            </w:pPr>
            <w:r>
              <w:rPr>
                <w:b/>
              </w:rPr>
              <w:t xml:space="preserve">Environmental Matrix</w:t>
            </w:r>
          </w:p>
        </w:tc>
        <w:tc>
          <w:tcPr>
            <w:shd w:val="clear" w:color="auto" w:fill="D9E2F3"/>
          </w:tcPr>
          <w:p>
            <w:pPr>
              <w:jc w:val="center"/>
            </w:pPr>
            <w:r>
              <w:rPr>
                <w:b/>
              </w:rPr>
              <w:t xml:space="preserve">Dominant Mechanisms</w:t>
            </w:r>
          </w:p>
        </w:tc>
        <w:tc>
          <w:tcPr>
            <w:shd w:val="clear" w:color="auto" w:fill="D9E2F3"/>
          </w:tcPr>
          <w:p>
            <w:pPr>
              <w:jc w:val="center"/>
            </w:pPr>
            <w:r>
              <w:rPr>
                <w:b/>
              </w:rPr>
              <w:t xml:space="preserve">Distinctive Advantage</w:t>
            </w:r>
          </w:p>
        </w:tc>
      </w:tr>
      <w:tr>
        <w:tc>
          <w:p>
            <w:pPr>
              <w:spacing w:after="40"/>
            </w:pPr>
            <w:r>
              <w:t xml:space="preserve">Heavy metals (Pb, Cd, Cr, As)</w:t>
            </w:r>
          </w:p>
        </w:tc>
        <w:tc>
          <w:p>
            <w:pPr>
              <w:spacing w:after="40"/>
            </w:pPr>
            <w:r>
              <w:t xml:space="preserve">Water and soil</w:t>
            </w:r>
          </w:p>
        </w:tc>
        <w:tc>
          <w:p>
            <w:pPr>
              <w:spacing w:after="40"/>
            </w:pPr>
            <w:r>
              <w:t xml:space="preserve">Complexation, ion exchange, precipitation</w:t>
            </w:r>
          </w:p>
        </w:tc>
        <w:tc>
          <w:p>
            <w:pPr>
              <w:spacing w:after="40"/>
            </w:pPr>
            <w:r>
              <w:t xml:space="preserve">Reduced bioavailability, magnetic recovery</w:t>
            </w:r>
          </w:p>
        </w:tc>
      </w:tr>
      <w:tr>
        <w:tc>
          <w:p>
            <w:pPr>
              <w:spacing w:after="40"/>
            </w:pPr>
            <w:r>
              <w:t xml:space="preserve">Dyes and pigments</w:t>
            </w:r>
          </w:p>
        </w:tc>
        <w:tc>
          <w:p>
            <w:pPr>
              <w:spacing w:after="40"/>
            </w:pPr>
            <w:r>
              <w:t xml:space="preserve">Wastewater</w:t>
            </w:r>
          </w:p>
        </w:tc>
        <w:tc>
          <w:p>
            <w:pPr>
              <w:spacing w:after="40"/>
            </w:pPr>
            <w:r>
              <w:t xml:space="preserve">Adsorption, π–π interactions</w:t>
            </w:r>
          </w:p>
        </w:tc>
        <w:tc>
          <w:p>
            <w:pPr>
              <w:spacing w:after="40"/>
            </w:pPr>
            <w:r>
              <w:t xml:space="preserve">High capacity, rapid kinetics</w:t>
            </w:r>
          </w:p>
        </w:tc>
      </w:tr>
      <w:tr>
        <w:tc>
          <w:p>
            <w:pPr>
              <w:spacing w:after="40"/>
            </w:pPr>
            <w:r>
              <w:t xml:space="preserve">Pesticides and herbicides</w:t>
            </w:r>
          </w:p>
        </w:tc>
        <w:tc>
          <w:p>
            <w:pPr>
              <w:spacing w:after="40"/>
            </w:pPr>
            <w:r>
              <w:t xml:space="preserve">Water and soil</w:t>
            </w:r>
          </w:p>
        </w:tc>
        <w:tc>
          <w:p>
            <w:pPr>
              <w:spacing w:after="40"/>
            </w:pPr>
            <w:r>
              <w:t xml:space="preserve">Adsorption, catalytic degradation</w:t>
            </w:r>
          </w:p>
        </w:tc>
        <w:tc>
          <w:p>
            <w:pPr>
              <w:spacing w:after="40"/>
            </w:pPr>
            <w:r>
              <w:t xml:space="preserve">Capture plus destruction</w:t>
            </w:r>
          </w:p>
        </w:tc>
      </w:tr>
      <w:tr>
        <w:tc>
          <w:p>
            <w:pPr>
              <w:spacing w:after="40"/>
            </w:pPr>
            <w:r>
              <w:t xml:space="preserve">Pharmaceuticals and PPCPs</w:t>
            </w:r>
          </w:p>
        </w:tc>
        <w:tc>
          <w:p>
            <w:pPr>
              <w:spacing w:after="40"/>
            </w:pPr>
            <w:r>
              <w:t xml:space="preserve">Wastewater</w:t>
            </w:r>
          </w:p>
        </w:tc>
        <w:tc>
          <w:p>
            <w:pPr>
              <w:spacing w:after="40"/>
            </w:pPr>
            <w:r>
              <w:t xml:space="preserve">Adsorption, advanced oxidation</w:t>
            </w:r>
          </w:p>
        </w:tc>
        <w:tc>
          <w:p>
            <w:pPr>
              <w:spacing w:after="40"/>
            </w:pPr>
            <w:r>
              <w:t xml:space="preserve">Mineralization of micropollutants</w:t>
            </w:r>
          </w:p>
        </w:tc>
      </w:tr>
      <w:tr>
        <w:tc>
          <w:p>
            <w:pPr>
              <w:spacing w:after="40"/>
            </w:pPr>
            <w:r>
              <w:t xml:space="preserve">Nutrients (nitrate, phosphate)</w:t>
            </w:r>
          </w:p>
        </w:tc>
        <w:tc>
          <w:p>
            <w:pPr>
              <w:spacing w:after="40"/>
            </w:pPr>
            <w:r>
              <w:t xml:space="preserve">Water and runoff</w:t>
            </w:r>
          </w:p>
        </w:tc>
        <w:tc>
          <w:p>
            <w:pPr>
              <w:spacing w:after="40"/>
            </w:pPr>
            <w:r>
              <w:t xml:space="preserve">Electrostatic and ligand exchange</w:t>
            </w:r>
          </w:p>
        </w:tc>
        <w:tc>
          <w:p>
            <w:pPr>
              <w:spacing w:after="40"/>
            </w:pPr>
            <w:r>
              <w:t xml:space="preserve">Recovery and reuse as fertilizer</w:t>
            </w:r>
          </w:p>
        </w:tc>
      </w:tr>
      <w:tr>
        <w:tc>
          <w:p>
            <w:pPr>
              <w:spacing w:after="40"/>
            </w:pPr>
            <w:r>
              <w:t xml:space="preserve">Greenhouse gases (CO₂, N₂O, CH₄)</w:t>
            </w:r>
          </w:p>
        </w:tc>
        <w:tc>
          <w:p>
            <w:pPr>
              <w:spacing w:after="40"/>
            </w:pPr>
            <w:r>
              <w:t xml:space="preserve">Soil and atmosphere</w:t>
            </w:r>
          </w:p>
        </w:tc>
        <w:tc>
          <w:p>
            <w:pPr>
              <w:spacing w:after="40"/>
            </w:pPr>
            <w:r>
              <w:t xml:space="preserve">Adsorption, altered microbial pathways</w:t>
            </w:r>
          </w:p>
        </w:tc>
        <w:tc>
          <w:p>
            <w:pPr>
              <w:spacing w:after="40"/>
            </w:pPr>
            <w:r>
              <w:t xml:space="preserve">Emission mitigation, carbon storage</w:t>
            </w:r>
          </w:p>
        </w:tc>
      </w:tr>
    </w:tbl>
    <w:p>
      <w:pPr>
        <w:pStyle w:val="Heading2"/>
      </w:pPr>
      <w:r>
        <w:t xml:space="preserve">4.3 Greenhouse-Gas Mitigation and Ecosystem Enhancement</w:t>
      </w:r>
    </w:p>
    <w:p>
      <w:pPr>
        <w:pStyle w:val="Normal"/>
      </w:pPr>
      <w:r>
        <w:t xml:space="preserve">Nanobiochar contributes to the mitigation of greenhouse-gas emissions from agricultural and environmental systems through both physical and biological mechanisms [24]. In soils, it can suppress the emission of nitrous oxide and methane by altering microbial community structure, modifying redox conditions, and adsorbing reactive nitrogen species, thereby reducing the emission intensity of fertilized cropland [24]. Its porous surface can also directly adsorb carbon dioxide, and functionalized nanobiochars are being investigated as sorbents for carbon capture from gas streams, complementing the long-term carbon storage achieved through soil application [7].</w:t>
      </w:r>
    </w:p>
    <w:p>
      <w:pPr>
        <w:pStyle w:val="Normal"/>
      </w:pPr>
      <w:r>
        <w:t xml:space="preserve">The mechanisms by which nanobiochar suppresses nitrous oxide emissions are multiple and interacting, encompassing enhanced aeration that curtails denitrification, adsorption of ammonium and nitrate that regulates substrate availability, and shifts in the abundance and expression of microbial genes governing nitrogen transformation [24]. Effects on methane fluxes are similarly mediated by changes in redox conditions and in the balance between methanogenic and methanotrophic communities. Because these responses depend strongly on soil type, moisture regime, and application rate, outcomes reported in the literature vary, underscoring the need for mechanistic understanding rather than empirical generalization [24]. Well-designed studies that isolate the contribution of the nanoscale fraction are particularly valuable for guiding the deployment of nanobiochar as a greenhouse-gas mitigation tool.</w:t>
      </w:r>
    </w:p>
    <w:p>
      <w:pPr>
        <w:pStyle w:val="Normal"/>
      </w:pPr>
      <w:r>
        <w:t xml:space="preserve">At the ecosystem scale, the combined effects of nanobiochar on soil structure, microbial function, nutrient cycling, and pollutant immobilization contribute to the restoration and resilience of degraded environments [25]. By enhancing the abundance and activity of beneficial microorganisms and improving habitat quality, nanobiochar can support the recovery of soil biodiversity and the ecosystem services it underpins. These ecosystem-level benefits, spanning agriculture, water, and climate, illustrate why nanobiochar is regarded as a keystone material for integrated environmental management and sustainable resource stewardship [25]. Figure 2 maps the multifunctional roles of nanobiochar across the agriculture–environment nexus.</w:t>
      </w:r>
    </w:p>
    <w:p>
      <w:pPr>
        <w:pStyle w:val="FigureImage"/>
      </w:pPr>
      <w:r>
        <w:drawing>
          <wp:inline xmlns:wp="http://schemas.openxmlformats.org/drawingml/2006/wordprocessingDrawing" distT="0" distB="0" distL="0" distR="0">
            <wp:extent cx="5486400" cy="3392905"/>
            <wp:effectExtent l="0" t="0" r="0" b="0"/>
            <wp:docPr id="1002" name="Figure_2_Multifunctional_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Multifunctional_Roles.png"/>
                    <pic:cNvPicPr/>
                  </pic:nvPicPr>
                  <pic:blipFill>
                    <a:blip xmlns:r="http://schemas.openxmlformats.org/officeDocument/2006/relationships" r:embed="rIdImg2"/>
                    <a:stretch>
                      <a:fillRect/>
                    </a:stretch>
                  </pic:blipFill>
                  <pic:spPr>
                    <a:xfrm>
                      <a:off x="0" y="0"/>
                      <a:ext cx="5486400" cy="3392905"/>
                    </a:xfrm>
                    <a:prstGeom prst="rect">
                      <a:avLst/>
                    </a:prstGeom>
                  </pic:spPr>
                </pic:pic>
              </a:graphicData>
            </a:graphic>
          </wp:inline>
        </w:drawing>
      </w:r>
    </w:p>
    <w:p>
      <w:pPr>
        <w:pStyle w:val="FigureCaption"/>
      </w:pPr>
      <w:r>
        <w:t xml:space="preserve">Figure 2. Multifunctional Roles of Nanobiochar Across the Agriculture–Environment Nexus</w:t>
      </w:r>
    </w:p>
    <w:p>
      <w:pPr>
        <w:pStyle w:val="Heading1"/>
      </w:pPr>
      <w:r>
        <w:t xml:space="preserve">5. Integration of Nanobiochar with Smart and Digital Technologies</w:t>
      </w:r>
    </w:p>
    <w:p>
      <w:pPr>
        <w:pStyle w:val="Heading2"/>
      </w:pPr>
      <w:r>
        <w:t xml:space="preserve">5.1 Artificial Intelligence for Design, Prediction, and Optimization</w:t>
      </w:r>
    </w:p>
    <w:p>
      <w:pPr>
        <w:pStyle w:val="Normal"/>
      </w:pPr>
      <w:r>
        <w:t xml:space="preserve">The performance of nanobiochar depends on a complex, high-dimensional interplay of feedstock composition, synthesis conditions, and functionalization, making it an ideal candidate for data-driven design and optimization using artificial intelligence [26]. Machine-learning models trained on experimental datasets can predict key properties—such as surface area, adsorption capacity, and nutrient-release behaviour—from feedstock and process variables, dramatically reducing the number of costly laboratory trials required to identify optimal formulations [27]. By learning the nonlinear relationships that govern material behaviour, these models enable inverse design, in which the desired functional targets are specified and the model suggests the synthesis parameters most likely to achieve them.</w:t>
      </w:r>
    </w:p>
    <w:p>
      <w:pPr>
        <w:pStyle w:val="Normal"/>
      </w:pPr>
      <w:r>
        <w:t xml:space="preserve">The predictive power of machine learning in this domain depends critically on the quality, size, and representativeness of the underlying datasets [27]. Feature engineering that encodes feedstock elemental composition, proximate analysis, pyrolysis temperature, residence time, and functionalization chemistry allows algorithms such as random forests, gradient boosting, and neural networks to capture the governing relationships with useful accuracy [27]. Interpretable-machine-learning techniques then identify which variables most strongly influence a given property, converting statistical models into mechanistic insight that guides experimental design. Because comprehensive, standardized datasets remain scarce, initiatives to curate and share high-quality experimental data are as important as algorithmic advances, and integrated learning strategies that combine multiple models have shown particular promise for robust property prediction [28].</w:t>
      </w:r>
    </w:p>
    <w:p>
      <w:pPr>
        <w:pStyle w:val="Normal"/>
      </w:pPr>
      <w:r>
        <w:t xml:space="preserve">Artificial intelligence also enhances the deployment of nanobiochar in the field by integrating material behaviour into predictive models of soil, crop, and pollutant dynamics [26]. Data-driven decision-support systems can recommend application rates, timing, and placement tailored to site-specific conditions, optimizing agronomic outcomes and environmental protection simultaneously. As datasets accumulate through experimentation and monitoring, active-learning and optimization frameworks progressively refine both the material and its management, establishing a closed feedback loop between design, application, and observed performance [28]. This convergence of nanomaterials science with computational intelligence marks a decisive step toward rational, accelerated development of next-generation nanobiochar.</w:t>
      </w:r>
    </w:p>
    <w:p>
      <w:pPr>
        <w:pStyle w:val="Heading2"/>
      </w:pPr>
      <w:r>
        <w:t xml:space="preserve">5.2 IoT-Enabled Smart Farming, Precision Sensing, and Remote Monitoring</w:t>
      </w:r>
    </w:p>
    <w:p>
      <w:pPr>
        <w:pStyle w:val="Normal"/>
      </w:pPr>
      <w:r>
        <w:t xml:space="preserve">The Internet of Things provides the sensing and connectivity infrastructure through which nanobiochar-enhanced systems can be monitored and managed with precision [29]. Networks of soil, moisture, nutrient, and environmental sensors continuously stream data on the conditions that govern nanobiochar performance, enabling real-time assessment of soil health, nutrient status, and contaminant levels [29]. When combined with controlled-release nanobiochar fertilizers, such sensing allows nutrient delivery to be verified and managed dynamically, ensuring that the promised gains in efficiency are realized under variable field conditions.</w:t>
      </w:r>
    </w:p>
    <w:p>
      <w:pPr>
        <w:pStyle w:val="Normal"/>
      </w:pPr>
      <w:r>
        <w:t xml:space="preserve">The synergy between nanobiochar and IoT-based systems is bidirectional: sensing informs the management of the material, and the material can improve the reliability of sensing [29]. Dense sensor networks quantify the spatial and temporal variability of soil moisture, temperature, pH, salinity, and nutrient concentration, revealing where amendment is most needed and how the soil responds after application. Edge-computing nodes process these streams locally to trigger timely interventions such as fertigation or irrigation, minimizing latency and reducing dependence on continuous connectivity [29]. When nanobiochar biosensors are incorporated into these networks, the resulting measurements of specific analytes enrich the data available to management algorithms, tightening the coupling between observation and action across the field.</w:t>
      </w:r>
    </w:p>
    <w:p>
      <w:pPr>
        <w:pStyle w:val="Normal"/>
      </w:pPr>
      <w:r>
        <w:t xml:space="preserve">Remote monitoring platforms, drawing on satellite and unmanned-aerial-vehicle imagery alongside ground-based sensors, extend observation to the landscape scale and support the spatial targeting of nanobiochar applications [30]. These platforms integrate heterogeneous data streams into digital-agriculture systems that visualize field variability, track crop and soil responses, and guide management decisions. The coupling of nanobiochar with precision sensing and remote monitoring transforms a static soil amendment into a component of a responsive, information-rich agroecosystem in which materials and data work together to optimize productivity and sustainability [30]. Figure 3 depicts this integration of nanobiochar with artificial intelligence, IoT sensing, and digital-agriculture platforms.</w:t>
      </w:r>
    </w:p>
    <w:p>
      <w:pPr>
        <w:pStyle w:val="FigureImage"/>
      </w:pPr>
      <w:r>
        <w:drawing>
          <wp:inline xmlns:wp="http://schemas.openxmlformats.org/drawingml/2006/wordprocessingDrawing" distT="0" distB="0" distL="0" distR="0">
            <wp:extent cx="5486400" cy="3392905"/>
            <wp:effectExtent l="0" t="0" r="0" b="0"/>
            <wp:docPr id="1003" name="Figure_3_Smar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Smart_Integration.png"/>
                    <pic:cNvPicPr/>
                  </pic:nvPicPr>
                  <pic:blipFill>
                    <a:blip xmlns:r="http://schemas.openxmlformats.org/officeDocument/2006/relationships" r:embed="rIdImg3"/>
                    <a:stretch>
                      <a:fillRect/>
                    </a:stretch>
                  </pic:blipFill>
                  <pic:spPr>
                    <a:xfrm>
                      <a:off x="0" y="0"/>
                      <a:ext cx="5486400" cy="3392905"/>
                    </a:xfrm>
                    <a:prstGeom prst="rect">
                      <a:avLst/>
                    </a:prstGeom>
                  </pic:spPr>
                </pic:pic>
              </a:graphicData>
            </a:graphic>
          </wp:inline>
        </w:drawing>
      </w:r>
    </w:p>
    <w:p>
      <w:pPr>
        <w:pStyle w:val="FigureCaption"/>
      </w:pPr>
      <w:r>
        <w:t xml:space="preserve">Figure 3. Integration of Nanobiochar with Artificial Intelligence, IoT Sensing, and Digital-Agriculture Platforms</w:t>
      </w:r>
    </w:p>
    <w:p>
      <w:pPr>
        <w:pStyle w:val="Heading2"/>
      </w:pPr>
      <w:r>
        <w:t xml:space="preserve">5.3 Digital-Agriculture Platforms and Decision Support</w:t>
      </w:r>
    </w:p>
    <w:p>
      <w:pPr>
        <w:pStyle w:val="Normal"/>
      </w:pPr>
      <w:r>
        <w:t xml:space="preserve">Digital-agriculture platforms serve as the integrative layer that unites nanobiochar materials, sensor data, and predictive analytics into actionable management [31]. By consolidating information on soil properties, weather, crop status, and material behaviour, these platforms generate site-specific recommendations for the application of nanobiochar and associated inputs, closing the gap between laboratory potential and field performance. Decision-support tools translate complex model outputs into practical guidance for farmers and land managers, democratizing access to advanced material technologies and precision practices [31].</w:t>
      </w:r>
    </w:p>
    <w:p>
      <w:pPr>
        <w:pStyle w:val="Normal"/>
      </w:pPr>
      <w:r>
        <w:t xml:space="preserve">A recurring obstacle to the effective use of digital-agriculture platforms is the fragmentation of data across proprietary systems and incompatible formats, which impedes the integration needed to model complex material–soil–crop interactions [31]. Open standards, transparent data governance, and equitable access are therefore prerequisites for realizing the full value of nanobiochar within digital ecosystems, particularly for smallholder farmers who might otherwise be excluded from advanced technologies. When paired with predictive models of material behaviour, well-governed platforms can translate the laboratory-established potential of nanobiochar into consistent field outcomes, ensuring that the efficiency gains promised by controlled-release formulations and precision placement are actually captured at scale [26].</w:t>
      </w:r>
    </w:p>
    <w:p>
      <w:pPr>
        <w:pStyle w:val="Normal"/>
      </w:pPr>
      <w:r>
        <w:t xml:space="preserve">The value of these platforms is greatest when they enable continuous learning and adaptation. As nanobiochar is applied and its effects are monitored, the resulting data enrich the models that inform future recommendations, creating a virtuous cycle of improvement [28]. Interoperable platforms that share data across farms, regions, and research institutions can accelerate the accumulation of knowledge about nanobiochar performance under diverse conditions, supporting evidence-based scaling of the technology [31]. In this way, digital-agriculture platforms are not merely delivery channels but engines of collective learning that magnify the impact of nanobiochar innovation.</w:t>
      </w:r>
    </w:p>
    <w:p>
      <w:pPr>
        <w:pStyle w:val="Heading1"/>
      </w:pPr>
      <w:r>
        <w:t xml:space="preserve">6. Emerging Innovations and Future Directions</w:t>
      </w:r>
    </w:p>
    <w:p>
      <w:pPr>
        <w:pStyle w:val="Heading2"/>
      </w:pPr>
      <w:r>
        <w:t xml:space="preserve">6.1 Nanobiochar-Based Biosensors and Bioelectrochemical Systems</w:t>
      </w:r>
    </w:p>
    <w:p>
      <w:pPr>
        <w:pStyle w:val="Normal"/>
      </w:pPr>
      <w:r>
        <w:t xml:space="preserve">The electrical conductivity, high surface area, and biocompatibility of nanobiochar make it an attractive material for biosensors that detect agricultural and environmental analytes with high sensitivity [32]. As an electrode material or transducer support, nanobiochar facilitates rapid electron transfer and provides abundant sites for the immobilization of enzymes, antibodies, or nucleic-acid probes, enabling the detection of nutrients, pesticides, heavy metals, and pathogens in soil and water [32]. Low-cost, field-deployable nanobiochar biosensors could complement IoT networks, providing the fine-grained, real-time chemical information needed to manage nanobiochar-enhanced systems with precision.</w:t>
      </w:r>
    </w:p>
    <w:p>
      <w:pPr>
        <w:pStyle w:val="Normal"/>
      </w:pPr>
      <w:r>
        <w:t xml:space="preserve">The appeal of nanobiochar in electrochemical sensing lies in its combination of favourable electron-transfer kinetics, tunable surface chemistry, mechanical robustness, and low cost relative to noble-metal and synthetic carbon alternatives [32]. Its abundant oxygen-containing groups and defect-rich edges provide anchoring points for biorecognition elements and mediators, while its porosity increases the effective electroactive area and, consequently, sensitivity. These attributes have enabled prototype sensors for nitrate, phosphate, heavy metals, phenolic pollutants, and enzyme substrates relevant to agriculture and environmental monitoring [32]. Realizing robust, reusable, and field-deployable devices, however, requires improved reproducibility of the electrode material and stable integration with signal-processing electronics, linking sensor development back to the broader challenge of manufacturing uniformity.</w:t>
      </w:r>
    </w:p>
    <w:p>
      <w:pPr>
        <w:pStyle w:val="Normal"/>
      </w:pPr>
      <w:r>
        <w:t xml:space="preserve">Nanobiochar also serves as a functional component in bioelectrochemical systems, including microbial fuel cells and microbial electrosynthesis reactors, where it acts as a conductive, biocompatible electrode that supports electroactive microbial communities [33]. In these systems, nanobiochar enhances electron transfer between microorganisms and electrodes, improving the efficiency of pollutant degradation, energy recovery, and resource valorization from waste streams [33]. The integration of nanobiochar into bioelectrochemical platforms links environmental remediation with renewable-energy generation, exemplifying the multifunctional, resource-recovering ethos of the circular bioeconomy.</w:t>
      </w:r>
    </w:p>
    <w:p>
      <w:pPr>
        <w:pStyle w:val="Heading2"/>
      </w:pPr>
      <w:r>
        <w:t xml:space="preserve">6.2 Engineered Microbial Consortia and Multifunctional Nanocomposites</w:t>
      </w:r>
    </w:p>
    <w:p>
      <w:pPr>
        <w:pStyle w:val="Normal"/>
      </w:pPr>
      <w:r>
        <w:t xml:space="preserve">The combination of nanobiochar with engineered microbial consortia represents a frontier in which material and biological functionalities are co-designed to achieve outcomes unattainable by either alone [34]. Nanobiochar provides a protective, nutrient-rich habitat that enhances the survival, activity, and delivery of inoculated microorganisms, while the microbes contribute nitrogen fixation, phosphate solubilization, biocontrol, or pollutant degradation [34]. Such synbiotic formulations can be tailored to specific crops, soils, and contaminants, offering targeted biofertilization and bioremediation that adapt to local conditions.</w:t>
      </w:r>
    </w:p>
    <w:p>
      <w:pPr>
        <w:pStyle w:val="Normal"/>
      </w:pPr>
      <w:r>
        <w:t xml:space="preserve">Multifunctional nanocomposites that integrate nanobiochar with responsive polymers, catalytic nanoparticles, and sensing elements point toward materials that simultaneously deliver nutrients, remediate contaminants, and report on their own status [10]. Stimulus-responsive composites capable of releasing payloads or changing properties in response to environmental cues could enable truly smart amendments that act autonomously in the field [12]. Realizing this vision requires advances in the controlled assembly, characterization, and scale-up of complex composites, but the potential to consolidate multiple functions into a single sustainable material is a compelling driver of ongoing research [35].</w:t>
      </w:r>
    </w:p>
    <w:p>
      <w:pPr>
        <w:pStyle w:val="Heading2"/>
      </w:pPr>
      <w:r>
        <w:t xml:space="preserve">6.3 Toward Resilient and Circular Agri-Economies</w:t>
      </w:r>
    </w:p>
    <w:p>
      <w:pPr>
        <w:pStyle w:val="Normal"/>
      </w:pPr>
      <w:r>
        <w:t xml:space="preserve">The trajectory of nanobiochar research points toward its role as an enabling technology for resilient, circular agri-economies in which waste is valorized, resources are recovered, and ecosystems are restored [4]. By converting agricultural and organic residues into high-value multifunctional materials that enhance productivity, sequester carbon, and remediate pollution, nanobiochar closes resource loops and reduces dependence on finite and polluting inputs [35]. Its integration with digital technologies further amplifies these benefits by ensuring that the material is used efficiently and effectively at scale.</w:t>
      </w:r>
    </w:p>
    <w:p>
      <w:pPr>
        <w:pStyle w:val="Normal"/>
      </w:pPr>
      <w:r>
        <w:t xml:space="preserve">Viewed through the lens of the circular bioeconomy, nanobiochar exemplifies a cascading use of biomass in which residues that would otherwise be burned or landfilled are transformed into durable, functional materials that continue to deliver value throughout their service life and beyond [4]. Nutrients recovered from wastewater by spent nanobiochar can be returned to soils; magnetic composites can be recovered, regenerated, and reused; and carbon fixed in the matrix is stored rather than released. Designing nanobiochar systems for such loops from the outset—considering recovery, reuse, and end-of-life at the design stage—maximizes resource efficiency and distinguishes a genuinely circular technology from a merely linear one [35]. This systems perspective is essential to fulfilling the sustainability promise of the material.</w:t>
      </w:r>
    </w:p>
    <w:p>
      <w:pPr>
        <w:pStyle w:val="Normal"/>
      </w:pPr>
      <w:r>
        <w:t xml:space="preserve">Achieving this vision will require interdisciplinary collaboration spanning materials science, agronomy, microbiology, data science, and policy, together with sustained investment in translational research and infrastructure [35]. The alignment of nanobiochar innovation with the goals of climate-smart agriculture, pollution control, and the circular bioeconomy positions it as a strategic technology for addressing interlinked challenges of food security, environmental degradation, and climate change. The remaining sections consider the obstacles that must be overcome to translate this potential into widespread, responsible practice.</w:t>
      </w:r>
    </w:p>
    <w:p>
      <w:pPr>
        <w:pStyle w:val="Heading1"/>
      </w:pPr>
      <w:r>
        <w:t xml:space="preserve">7. Challenges, Risks, and the Path to Industrialization</w:t>
      </w:r>
    </w:p>
    <w:p>
      <w:pPr>
        <w:pStyle w:val="Heading2"/>
      </w:pPr>
      <w:r>
        <w:t xml:space="preserve">7.1 Scale-Up, Uniformity, and Reproducibility</w:t>
      </w:r>
    </w:p>
    <w:p>
      <w:pPr>
        <w:pStyle w:val="Normal"/>
      </w:pPr>
      <w:r>
        <w:t xml:space="preserve">Despite its promise, the transition of nanobiochar from laboratory demonstration to industrial deployment faces significant challenges, foremost among them the difficulty of producing large quantities of material with consistent, reproducible properties [36]. The performance of nanobiochar is exquisitely sensitive to feedstock variability and process conditions, so achieving uniform particle size, surface chemistry, and functional performance across large production batches is a formidable engineering task [36]. Top-down nanonization methods such as ball milling are energy-intensive and yield broad size distributions, while more controlled bottom-up and composite methods are often costly and difficult to scale [2].</w:t>
      </w:r>
    </w:p>
    <w:p>
      <w:pPr>
        <w:pStyle w:val="Normal"/>
      </w:pPr>
      <w:r>
        <w:t xml:space="preserve">A further complication is that the mobility and transport behaviour that make nanobiochar effective for delivery and remediation also render its field performance sensitive to soil texture, ionic strength, and flow conditions [37]. Nanoparticles may aggregate and become immobilized under some conditions or migrate over considerable distances under others, producing outcomes that vary between sites and seasons. This variability complicates the prediction of dose–response relationships and demands multi-site, multi-season field validation rather than reliance on controlled laboratory results alone [37]. Bridging the gap between reproducible synthesis and reproducible field performance is therefore a two-sided problem, requiring both manufacturing control and a deeper understanding of how engineered particles behave in heterogeneous natural systems.</w:t>
      </w:r>
    </w:p>
    <w:p>
      <w:pPr>
        <w:pStyle w:val="Normal"/>
      </w:pPr>
      <w:r>
        <w:t xml:space="preserve">Standardization of production processes, quality-control protocols, and material characterization is essential to ensure that nanobiochar products meet defined specifications and perform predictably in application [37]. The absence of widely accepted standards currently hampers comparison across studies, complicates regulatory assessment, and undermines market confidence. Advances in continuous processing, process monitoring, and closed-loop control—potentially augmented by the artificial-intelligence methods discussed earlier—offer promising avenues for achieving the uniformity and reproducibility required for reliable industrial-scale production [37].</w:t>
      </w:r>
    </w:p>
    <w:p>
      <w:pPr>
        <w:pStyle w:val="Heading2"/>
      </w:pPr>
      <w:r>
        <w:t xml:space="preserve">7.2 Environmental Safety, Ecotoxicity, and Life-Cycle Assessment</w:t>
      </w:r>
    </w:p>
    <w:p>
      <w:pPr>
        <w:pStyle w:val="Normal"/>
      </w:pPr>
      <w:r>
        <w:t xml:space="preserve">The very properties that make nanobiochar effective—its small size, high mobility, and reactivity—also raise concerns about its environmental fate, transport, and potential toxicity to organisms [6]. Nanoparticles may migrate through soil and water, interact with cells and tissues, and exert effects on plants, microorganisms, aquatic life, and soil fauna that differ from those of bulk biochar [6]. Rigorous, standardized ecotoxicological evaluation across relevant organisms and exposure scenarios is therefore essential to establish safe application rates and to identify formulations that maximize benefit while minimizing harm [38].</w:t>
      </w:r>
    </w:p>
    <w:p>
      <w:pPr>
        <w:pStyle w:val="Normal"/>
      </w:pPr>
      <w:r>
        <w:t xml:space="preserve">Life-cycle assessment provides a systematic framework for evaluating the environmental impacts of nanobiochar from feedstock production through synthesis, application, and end of life, ensuring that gains in one domain are not offset by burdens in another [39]. Comprehensive assessment must account for energy consumption, emissions, resource use, and the fate of the material and any associated contaminants [39]. Only through such holistic evaluation can the net sustainability of nanobiochar technologies be established and communicated credibly to stakeholders. Table 4 summarizes the principal challenges to industrialization together with corresponding mitigation strategies and research priorities.</w:t>
      </w:r>
    </w:p>
    <w:p>
      <w:pPr>
        <w:pStyle w:val="TableCaption"/>
      </w:pPr>
      <w:r>
        <w:t xml:space="preserve">[Insert Table 4 here]</w:t>
      </w:r>
    </w:p>
    <w:p>
      <w:pPr>
        <w:pStyle w:val="TableCaption"/>
      </w:pPr>
      <w:r>
        <w:t xml:space="preserve">Table 4. Challenges to Nanobiochar Industrialization and Corresponding Mitigation Strategies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Challenge</w:t>
            </w:r>
          </w:p>
        </w:tc>
        <w:tc>
          <w:tcPr>
            <w:shd w:val="clear" w:color="auto" w:fill="D9E2F3"/>
          </w:tcPr>
          <w:p>
            <w:pPr>
              <w:jc w:val="center"/>
            </w:pPr>
            <w:r>
              <w:rPr>
                <w:b/>
              </w:rPr>
              <w:t xml:space="preserve">Underlying Issue</w:t>
            </w:r>
          </w:p>
        </w:tc>
        <w:tc>
          <w:tcPr>
            <w:shd w:val="clear" w:color="auto" w:fill="D9E2F3"/>
          </w:tcPr>
          <w:p>
            <w:pPr>
              <w:jc w:val="center"/>
            </w:pPr>
            <w:r>
              <w:rPr>
                <w:b/>
              </w:rPr>
              <w:t xml:space="preserve">Mitigation Strategy</w:t>
            </w:r>
          </w:p>
        </w:tc>
        <w:tc>
          <w:tcPr>
            <w:shd w:val="clear" w:color="auto" w:fill="D9E2F3"/>
          </w:tcPr>
          <w:p>
            <w:pPr>
              <w:jc w:val="center"/>
            </w:pPr>
            <w:r>
              <w:rPr>
                <w:b/>
              </w:rPr>
              <w:t xml:space="preserve">Research Priority</w:t>
            </w:r>
          </w:p>
        </w:tc>
      </w:tr>
      <w:tr>
        <w:tc>
          <w:p>
            <w:pPr>
              <w:spacing w:after="40"/>
            </w:pPr>
            <w:r>
              <w:t xml:space="preserve">Scale-up and uniformity</w:t>
            </w:r>
          </w:p>
        </w:tc>
        <w:tc>
          <w:p>
            <w:pPr>
              <w:spacing w:after="40"/>
            </w:pPr>
            <w:r>
              <w:t xml:space="preserve">Feedstock and process variability</w:t>
            </w:r>
          </w:p>
        </w:tc>
        <w:tc>
          <w:p>
            <w:pPr>
              <w:spacing w:after="40"/>
            </w:pPr>
            <w:r>
              <w:t xml:space="preserve">Continuous processing, AI-guided control</w:t>
            </w:r>
          </w:p>
        </w:tc>
        <w:tc>
          <w:p>
            <w:pPr>
              <w:spacing w:after="40"/>
            </w:pPr>
            <w:r>
              <w:t xml:space="preserve">Standardized production protocols</w:t>
            </w:r>
          </w:p>
        </w:tc>
      </w:tr>
      <w:tr>
        <w:tc>
          <w:p>
            <w:pPr>
              <w:spacing w:after="40"/>
            </w:pPr>
            <w:r>
              <w:t xml:space="preserve">Ecotoxicity and safety</w:t>
            </w:r>
          </w:p>
        </w:tc>
        <w:tc>
          <w:p>
            <w:pPr>
              <w:spacing w:after="40"/>
            </w:pPr>
            <w:r>
              <w:t xml:space="preserve">Nanoparticle mobility and reactivity</w:t>
            </w:r>
          </w:p>
        </w:tc>
        <w:tc>
          <w:p>
            <w:pPr>
              <w:spacing w:after="40"/>
            </w:pPr>
            <w:r>
              <w:t xml:space="preserve">Standardized ecotoxicity testing</w:t>
            </w:r>
          </w:p>
        </w:tc>
        <w:tc>
          <w:p>
            <w:pPr>
              <w:spacing w:after="40"/>
            </w:pPr>
            <w:r>
              <w:t xml:space="preserve">Long-term fate and exposure studies</w:t>
            </w:r>
          </w:p>
        </w:tc>
      </w:tr>
      <w:tr>
        <w:tc>
          <w:p>
            <w:pPr>
              <w:spacing w:after="40"/>
            </w:pPr>
            <w:r>
              <w:t xml:space="preserve">Life-cycle burdens</w:t>
            </w:r>
          </w:p>
        </w:tc>
        <w:tc>
          <w:p>
            <w:pPr>
              <w:spacing w:after="40"/>
            </w:pPr>
            <w:r>
              <w:t xml:space="preserve">Energy and emissions in synthesis</w:t>
            </w:r>
          </w:p>
        </w:tc>
        <w:tc>
          <w:p>
            <w:pPr>
              <w:spacing w:after="40"/>
            </w:pPr>
            <w:r>
              <w:t xml:space="preserve">Green synthesis, waste-derived feedstock</w:t>
            </w:r>
          </w:p>
        </w:tc>
        <w:tc>
          <w:p>
            <w:pPr>
              <w:spacing w:after="40"/>
            </w:pPr>
            <w:r>
              <w:t xml:space="preserve">Comprehensive life-cycle assessment</w:t>
            </w:r>
          </w:p>
        </w:tc>
      </w:tr>
      <w:tr>
        <w:tc>
          <w:p>
            <w:pPr>
              <w:spacing w:after="40"/>
            </w:pPr>
            <w:r>
              <w:t xml:space="preserve">Regulatory uncertainty</w:t>
            </w:r>
          </w:p>
        </w:tc>
        <w:tc>
          <w:p>
            <w:pPr>
              <w:spacing w:after="40"/>
            </w:pPr>
            <w:r>
              <w:t xml:space="preserve">Absence of clear frameworks</w:t>
            </w:r>
          </w:p>
        </w:tc>
        <w:tc>
          <w:p>
            <w:pPr>
              <w:spacing w:after="40"/>
            </w:pPr>
            <w:r>
              <w:t xml:space="preserve">Engagement with regulators, standards</w:t>
            </w:r>
          </w:p>
        </w:tc>
        <w:tc>
          <w:p>
            <w:pPr>
              <w:spacing w:after="40"/>
            </w:pPr>
            <w:r>
              <w:t xml:space="preserve">Risk-based classification schemes</w:t>
            </w:r>
          </w:p>
        </w:tc>
      </w:tr>
      <w:tr>
        <w:tc>
          <w:p>
            <w:pPr>
              <w:spacing w:after="40"/>
            </w:pPr>
            <w:r>
              <w:t xml:space="preserve">Economic feasibility</w:t>
            </w:r>
          </w:p>
        </w:tc>
        <w:tc>
          <w:p>
            <w:pPr>
              <w:spacing w:after="40"/>
            </w:pPr>
            <w:r>
              <w:t xml:space="preserve">High production and processing cost</w:t>
            </w:r>
          </w:p>
        </w:tc>
        <w:tc>
          <w:p>
            <w:pPr>
              <w:spacing w:after="40"/>
            </w:pPr>
            <w:r>
              <w:t xml:space="preserve">Valorization of low-cost residues</w:t>
            </w:r>
          </w:p>
        </w:tc>
        <w:tc>
          <w:p>
            <w:pPr>
              <w:spacing w:after="40"/>
            </w:pPr>
            <w:r>
              <w:t xml:space="preserve">Techno-economic optimization</w:t>
            </w:r>
          </w:p>
        </w:tc>
      </w:tr>
      <w:tr>
        <w:tc>
          <w:p>
            <w:pPr>
              <w:spacing w:after="40"/>
            </w:pPr>
            <w:r>
              <w:t xml:space="preserve">Field variability</w:t>
            </w:r>
          </w:p>
        </w:tc>
        <w:tc>
          <w:p>
            <w:pPr>
              <w:spacing w:after="40"/>
            </w:pPr>
            <w:r>
              <w:t xml:space="preserve">Site-specific performance</w:t>
            </w:r>
          </w:p>
        </w:tc>
        <w:tc>
          <w:p>
            <w:pPr>
              <w:spacing w:after="40"/>
            </w:pPr>
            <w:r>
              <w:t xml:space="preserve">Digital and precision management</w:t>
            </w:r>
          </w:p>
        </w:tc>
        <w:tc>
          <w:p>
            <w:pPr>
              <w:spacing w:after="40"/>
            </w:pPr>
            <w:r>
              <w:t xml:space="preserve">Multi-site validation trials</w:t>
            </w:r>
          </w:p>
        </w:tc>
      </w:tr>
    </w:tbl>
    <w:p>
      <w:pPr>
        <w:pStyle w:val="Heading2"/>
      </w:pPr>
      <w:r>
        <w:t xml:space="preserve">7.3 Regulation, Economic Feasibility, and Responsible Innovation</w:t>
      </w:r>
    </w:p>
    <w:p>
      <w:pPr>
        <w:pStyle w:val="Normal"/>
      </w:pPr>
      <w:r>
        <w:t xml:space="preserve">The regulatory landscape for nanobiochar remains immature, with few jurisdictions offering clear frameworks for the approval, labelling, and monitoring of nanoscale soil and water amendments [40]. Regulatory uncertainty deters investment and complicates commercialization, while the potential for divergent standards across regions creates barriers to trade and technology transfer [40]. Constructive engagement between researchers, industry, and regulators—grounded in robust safety and life-cycle data—is needed to develop risk-based, science-informed frameworks that protect health and the environment without stifling beneficial innovation [40].</w:t>
      </w:r>
    </w:p>
    <w:p>
      <w:pPr>
        <w:pStyle w:val="Normal"/>
      </w:pPr>
      <w:r>
        <w:t xml:space="preserve">Economic feasibility is a further decisive factor, as the cost of nanobiochar production, functionalization, and application must be competitive with incumbent materials and justified by demonstrable benefits [41]. Leveraging abundant, low-cost waste feedstocks, valorizing co-products, and capturing the value of carbon sequestration and pollution control can improve the economic proposition, but rigorous techno-economic analysis is required to identify viable pathways [41]. Ultimately, the responsible industrialization of nanobiochar depends on integrating technical performance, environmental safety, economic viability, and social acceptance into a coherent framework of responsible innovation [42]. Figure 4 situates nanobiochar within a circular-bioeconomy and responsible-innovation framework that connects feedstock valorization, application, and end-of-life considerations.</w:t>
      </w:r>
    </w:p>
    <w:p>
      <w:pPr>
        <w:pStyle w:val="FigureImage"/>
      </w:pPr>
      <w:r>
        <w:drawing>
          <wp:inline xmlns:wp="http://schemas.openxmlformats.org/drawingml/2006/wordprocessingDrawing" distT="0" distB="0" distL="0" distR="0">
            <wp:extent cx="5486400" cy="3465094"/>
            <wp:effectExtent l="0" t="0" r="0" b="0"/>
            <wp:docPr id="1004" name="Figure_4_Circular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Circular_Framework.png"/>
                    <pic:cNvPicPr/>
                  </pic:nvPicPr>
                  <pic:blipFill>
                    <a:blip xmlns:r="http://schemas.openxmlformats.org/officeDocument/2006/relationships" r:embed="rIdImg4"/>
                    <a:stretch>
                      <a:fillRect/>
                    </a:stretch>
                  </pic:blipFill>
                  <pic:spPr>
                    <a:xfrm>
                      <a:off x="0" y="0"/>
                      <a:ext cx="5486400" cy="3465094"/>
                    </a:xfrm>
                    <a:prstGeom prst="rect">
                      <a:avLst/>
                    </a:prstGeom>
                  </pic:spPr>
                </pic:pic>
              </a:graphicData>
            </a:graphic>
          </wp:inline>
        </w:drawing>
      </w:r>
    </w:p>
    <w:p>
      <w:pPr>
        <w:pStyle w:val="FigureCaption"/>
      </w:pPr>
      <w:r>
        <w:t xml:space="preserve">Figure 4. Nanobiochar in a Circular-Bioeconomy and Responsible-Innovation Framework</w:t>
      </w:r>
    </w:p>
    <w:p>
      <w:pPr>
        <w:pStyle w:val="Heading1"/>
      </w:pPr>
      <w:r>
        <w:t xml:space="preserve">8. Conclusions and Research Priorities</w:t>
      </w:r>
    </w:p>
    <w:p>
      <w:pPr>
        <w:pStyle w:val="Normal"/>
      </w:pPr>
      <w:r>
        <w:t xml:space="preserve">Next-generation nanobiochar stands at the intersection of nanotechnology, materials science, biotechnology, and digital agriculture, offering a versatile and sustainable platform for addressing some of the most pressing challenges of the twenty-first century [42]. Engineered from renewable biomass and agricultural residues, it combines high surface area, tunable surface chemistry, and multifunctional reactivity to deliver benefits across precision agriculture, smart nutrient delivery, soil-health restoration, carbon sequestration, water purification, heavy-metal immobilization, pesticide remediation, and greenhouse-gas mitigation. Its integration with artificial intelligence, IoT sensing, and digital-agriculture platforms transforms it from a passive amendment into an intelligent, responsive component of managed agroecosystems, while emerging innovations in biosensors, bioelectrochemical systems, engineered microbial consortia, and multifunctional nanocomposites continue to expand its capabilities.</w:t>
      </w:r>
    </w:p>
    <w:p>
      <w:pPr>
        <w:pStyle w:val="Normal"/>
      </w:pPr>
      <w:r>
        <w:t xml:space="preserve">Realizing this potential responsibly requires concerted progress on several fronts. Priority should be given to establishing standardized, scalable, and energy-efficient production processes that deliver uniform and reproducible material; to conducting rigorous ecotoxicological and life-cycle assessments that establish environmental safety and net sustainability; and to developing science-based regulatory and techno-economic frameworks that enable responsible commercialization [43]. Equally important is the deepening of interdisciplinary collaboration and the accumulation of shared, multi-site field data that link material design to real-world performance. By advancing these priorities in concert, the research community can guide next-generation nanobiochar toward intelligent, scalable, and eco-friendly applications that support climate-smart agriculture, effective pollution control, the valorization of renewable biomass, and the transition toward resilient and circular agri-economies [43].</w:t>
      </w:r>
    </w:p>
    <w:p>
      <w:pPr>
        <w:pStyle w:val="Heading1"/>
      </w:pPr>
      <w:r>
        <w:t xml:space="preserve">References</w:t>
      </w:r>
    </w:p>
    <w:p>
      <w:pPr>
        <w:pStyle w:val="References"/>
      </w:pPr>
      <w:r>
        <w:t xml:space="preserve">[1] Lehmann, J., &amp; Joseph, S. (2015). </w:t>
      </w:r>
      <w:r>
        <w:rPr>
          <w:i/>
        </w:rPr>
        <w:t xml:space="preserve">Biochar for Environmental Management: Science, Technology and Implementation</w:t>
      </w:r>
      <w:r>
        <w:t xml:space="preserve"> (2nd ed.). Routledge.</w:t>
      </w:r>
    </w:p>
    <w:p>
      <w:pPr>
        <w:pStyle w:val="References"/>
      </w:pPr>
      <w:r>
        <w:t xml:space="preserve">[2] Ramanayaka, S., Vithanage, M., Alessi, D. S., Liu, W.-J., Jayasundera, A. C. A., &amp; Ok, Y. S. (2020). Nanobiochar: Production, properties, and multifunctional applications. </w:t>
      </w:r>
      <w:r>
        <w:rPr>
          <w:i/>
        </w:rPr>
        <w:t xml:space="preserve">Environmental Science: Nano</w:t>
      </w:r>
      <w:r>
        <w:t xml:space="preserve">, </w:t>
      </w:r>
      <w:r>
        <w:rPr>
          <w:i/>
        </w:rPr>
        <w:t xml:space="preserve">7</w:t>
      </w:r>
      <w:r>
        <w:t xml:space="preserve">(11), 3279–3302.</w:t>
      </w:r>
    </w:p>
    <w:p>
      <w:pPr>
        <w:pStyle w:val="References"/>
      </w:pPr>
      <w:r>
        <w:t xml:space="preserve">[3] Liu, G., Zheng, H., Jiang, Z., Zhao, J., Wang, Z., Pan, B., &amp; Xing, B. (2018). Formation and physicochemical characteristics of nano biochar: Insight into chemical and colloidal stability. </w:t>
      </w:r>
      <w:r>
        <w:rPr>
          <w:i/>
        </w:rPr>
        <w:t xml:space="preserve">Environmental Science &amp; Technology</w:t>
      </w:r>
      <w:r>
        <w:t xml:space="preserve">, </w:t>
      </w:r>
      <w:r>
        <w:rPr>
          <w:i/>
        </w:rPr>
        <w:t xml:space="preserve">52</w:t>
      </w:r>
      <w:r>
        <w:t xml:space="preserve">(18), 10369–10379.</w:t>
      </w:r>
    </w:p>
    <w:p>
      <w:pPr>
        <w:pStyle w:val="References"/>
      </w:pPr>
      <w:r>
        <w:t xml:space="preserve">[4] Venkatesh, G., Gopinath, K. A., Reddy, K. S., Reddy, B. S., &amp; Prabhakar, M. (2022). Biochar and the circular bioeconomy: Valorization of agricultural residues for sustainable resource management. </w:t>
      </w:r>
      <w:r>
        <w:rPr>
          <w:i/>
        </w:rPr>
        <w:t xml:space="preserve">Journal of Cleaner Production</w:t>
      </w:r>
      <w:r>
        <w:t xml:space="preserve">, </w:t>
      </w:r>
      <w:r>
        <w:rPr>
          <w:i/>
        </w:rPr>
        <w:t xml:space="preserve">363</w:t>
      </w:r>
      <w:r>
        <w:t xml:space="preserve">, 132456.</w:t>
      </w:r>
    </w:p>
    <w:p>
      <w:pPr>
        <w:pStyle w:val="References"/>
      </w:pPr>
      <w:r>
        <w:t xml:space="preserve">[5] Chen, B., Zhou, D., &amp; Zhu, L. (2008). Transitional adsorption and partition of nonpolar and polar aromatic contaminants by biochars of pine needles with different pyrolytic temperatures. </w:t>
      </w:r>
      <w:r>
        <w:rPr>
          <w:i/>
        </w:rPr>
        <w:t xml:space="preserve">Environmental Science &amp; Technology</w:t>
      </w:r>
      <w:r>
        <w:t xml:space="preserve">, </w:t>
      </w:r>
      <w:r>
        <w:rPr>
          <w:i/>
        </w:rPr>
        <w:t xml:space="preserve">42</w:t>
      </w:r>
      <w:r>
        <w:t xml:space="preserve">(14), 5137–5143.</w:t>
      </w:r>
    </w:p>
    <w:p>
      <w:pPr>
        <w:pStyle w:val="References"/>
      </w:pPr>
      <w:r>
        <w:t xml:space="preserve">[6] Lian, F., &amp; Xing, B. (2017). Black carbon (biochar) in water/soil environments: Molecular structure, sorption, stability, and potential risk. </w:t>
      </w:r>
      <w:r>
        <w:rPr>
          <w:i/>
        </w:rPr>
        <w:t xml:space="preserve">Environmental Science &amp; Technology</w:t>
      </w:r>
      <w:r>
        <w:t xml:space="preserve">, </w:t>
      </w:r>
      <w:r>
        <w:rPr>
          <w:i/>
        </w:rPr>
        <w:t xml:space="preserve">51</w:t>
      </w:r>
      <w:r>
        <w:t xml:space="preserve">(23), 13517–13532.</w:t>
      </w:r>
    </w:p>
    <w:p>
      <w:pPr>
        <w:pStyle w:val="References"/>
      </w:pPr>
      <w:r>
        <w:t xml:space="preserve">[7] Wang, J., &amp; Wang, S. (2019). Preparation, modification and environmental application of biochar: A review. </w:t>
      </w:r>
      <w:r>
        <w:rPr>
          <w:i/>
        </w:rPr>
        <w:t xml:space="preserve">Journal of Cleaner Production</w:t>
      </w:r>
      <w:r>
        <w:t xml:space="preserve">, </w:t>
      </w:r>
      <w:r>
        <w:rPr>
          <w:i/>
        </w:rPr>
        <w:t xml:space="preserve">227</w:t>
      </w:r>
      <w:r>
        <w:t xml:space="preserve">, 1002–1022.</w:t>
      </w:r>
    </w:p>
    <w:p>
      <w:pPr>
        <w:pStyle w:val="References"/>
      </w:pPr>
      <w:r>
        <w:t xml:space="preserve">[8] Liu, W.-J., Jiang, H., &amp; Yu, H.-Q. (2015). Development of biochar-based functional materials: Toward a sustainable platform carbon material. </w:t>
      </w:r>
      <w:r>
        <w:rPr>
          <w:i/>
        </w:rPr>
        <w:t xml:space="preserve">Chemical Reviews</w:t>
      </w:r>
      <w:r>
        <w:t xml:space="preserve">, </w:t>
      </w:r>
      <w:r>
        <w:rPr>
          <w:i/>
        </w:rPr>
        <w:t xml:space="preserve">115</w:t>
      </w:r>
      <w:r>
        <w:t xml:space="preserve">(22), 12251–12285.</w:t>
      </w:r>
    </w:p>
    <w:p>
      <w:pPr>
        <w:pStyle w:val="References"/>
      </w:pPr>
      <w:r>
        <w:t xml:space="preserve">[9] Tan, X., Liu, Y., Zeng, G., Wang, X., Hu, X., Gu, Y., &amp; Yang, Z. (2015). Application of biochar for the removal of pollutants from aqueous solutions. </w:t>
      </w:r>
      <w:r>
        <w:rPr>
          <w:i/>
        </w:rPr>
        <w:t xml:space="preserve">Chemosphere</w:t>
      </w:r>
      <w:r>
        <w:t xml:space="preserve">, </w:t>
      </w:r>
      <w:r>
        <w:rPr>
          <w:i/>
        </w:rPr>
        <w:t xml:space="preserve">125</w:t>
      </w:r>
      <w:r>
        <w:t xml:space="preserve">, 70–85.</w:t>
      </w:r>
    </w:p>
    <w:p>
      <w:pPr>
        <w:pStyle w:val="References"/>
      </w:pPr>
      <w:r>
        <w:t xml:space="preserve">[10] Thines, K. R., Abdullah, E. C., Mubarak, N. M., &amp; Ruthiraan, M. (2017). Synthesis of magnetic biochar from agricultural waste biomass to enhancing route for waste water and polymer application: A review. </w:t>
      </w:r>
      <w:r>
        <w:rPr>
          <w:i/>
        </w:rPr>
        <w:t xml:space="preserve">Renewable and Sustainable Energy Reviews</w:t>
      </w:r>
      <w:r>
        <w:t xml:space="preserve">, </w:t>
      </w:r>
      <w:r>
        <w:rPr>
          <w:i/>
        </w:rPr>
        <w:t xml:space="preserve">67</w:t>
      </w:r>
      <w:r>
        <w:t xml:space="preserve">, 257–276.</w:t>
      </w:r>
    </w:p>
    <w:p>
      <w:pPr>
        <w:pStyle w:val="References"/>
      </w:pPr>
      <w:r>
        <w:t xml:space="preserve">[11] Vithanage, M., Bandara, P. C., Novo, L. A. B., Kumar, A., Ambaye, T. G., Naveendrakumar, G., &amp; Ok, Y. S. (2021). Deposition of trace metals associated with atmospheric particulate matter and green synthesis of nanomaterials. </w:t>
      </w:r>
      <w:r>
        <w:rPr>
          <w:i/>
        </w:rPr>
        <w:t xml:space="preserve">Environmental Pollution</w:t>
      </w:r>
      <w:r>
        <w:t xml:space="preserve">, </w:t>
      </w:r>
      <w:r>
        <w:rPr>
          <w:i/>
        </w:rPr>
        <w:t xml:space="preserve">275</w:t>
      </w:r>
      <w:r>
        <w:t xml:space="preserve">, 116617.</w:t>
      </w:r>
    </w:p>
    <w:p>
      <w:pPr>
        <w:pStyle w:val="References"/>
      </w:pPr>
      <w:r>
        <w:t xml:space="preserve">[12] Rajput, V. D., Minkina, T., Ahmed, B., Singh, V. K., Mandzhieva, S., Sushkova, S., &amp; Wong, M. H. (2022). Nano-enabled products for controlled and slow release of agrochemicals: Advances and prospects. </w:t>
      </w:r>
      <w:r>
        <w:rPr>
          <w:i/>
        </w:rPr>
        <w:t xml:space="preserve">Environmental Research</w:t>
      </w:r>
      <w:r>
        <w:t xml:space="preserve">, </w:t>
      </w:r>
      <w:r>
        <w:rPr>
          <w:i/>
        </w:rPr>
        <w:t xml:space="preserve">214</w:t>
      </w:r>
      <w:r>
        <w:t xml:space="preserve">, 113738.</w:t>
      </w:r>
    </w:p>
    <w:p>
      <w:pPr>
        <w:pStyle w:val="References"/>
      </w:pPr>
      <w:r>
        <w:t xml:space="preserve">[13] El-Naggar, A., Lee, S. S., Rinklebe, J., Farooq, M., Song, H., Sarmah, A. K., &amp; Ok, Y. S. (2019). Biochar application to low-fertility soils: A review of current status and future prospects. </w:t>
      </w:r>
      <w:r>
        <w:rPr>
          <w:i/>
        </w:rPr>
        <w:t xml:space="preserve">Geoderma</w:t>
      </w:r>
      <w:r>
        <w:t xml:space="preserve">, </w:t>
      </w:r>
      <w:r>
        <w:rPr>
          <w:i/>
        </w:rPr>
        <w:t xml:space="preserve">337</w:t>
      </w:r>
      <w:r>
        <w:t xml:space="preserve">, 536–554.</w:t>
      </w:r>
    </w:p>
    <w:p>
      <w:pPr>
        <w:pStyle w:val="References"/>
      </w:pPr>
      <w:r>
        <w:t xml:space="preserve">[14] Woolf, D., Amonette, J. E., Street-Perrott, F. A., Lehmann, J., &amp; Joseph, S. (2010). Sustainable biochar to mitigate global climate change. </w:t>
      </w:r>
      <w:r>
        <w:rPr>
          <w:i/>
        </w:rPr>
        <w:t xml:space="preserve">Nature Communications</w:t>
      </w:r>
      <w:r>
        <w:t xml:space="preserve">, </w:t>
      </w:r>
      <w:r>
        <w:rPr>
          <w:i/>
        </w:rPr>
        <w:t xml:space="preserve">1</w:t>
      </w:r>
      <w:r>
        <w:t xml:space="preserve">(1), 56.</w:t>
      </w:r>
    </w:p>
    <w:p>
      <w:pPr>
        <w:pStyle w:val="References"/>
      </w:pPr>
      <w:r>
        <w:t xml:space="preserve">[15] Lehmann, J., Rillig, M. C., Thies, J., Masiello, C. A., Hockaday, W. C., &amp; Crowley, D. (2011). Biochar effects on soil biota — A review. </w:t>
      </w:r>
      <w:r>
        <w:rPr>
          <w:i/>
        </w:rPr>
        <w:t xml:space="preserve">Soil Biology and Biochemistry</w:t>
      </w:r>
      <w:r>
        <w:t xml:space="preserve">, </w:t>
      </w:r>
      <w:r>
        <w:rPr>
          <w:i/>
        </w:rPr>
        <w:t xml:space="preserve">43</w:t>
      </w:r>
      <w:r>
        <w:t xml:space="preserve">(9), 1812–1836.</w:t>
      </w:r>
    </w:p>
    <w:p>
      <w:pPr>
        <w:pStyle w:val="References"/>
      </w:pPr>
      <w:r>
        <w:t xml:space="preserve">[16] Palansooriya, K. N., Wong, J. T. F., Hashimoto, Y., Huang, L., Rinklebe, J., Chang, S. X., &amp; Ok, Y. S. (2019). Response of microbial communities to biochar-amended soils: A critical review. </w:t>
      </w:r>
      <w:r>
        <w:rPr>
          <w:i/>
        </w:rPr>
        <w:t xml:space="preserve">Biochar</w:t>
      </w:r>
      <w:r>
        <w:t xml:space="preserve">, </w:t>
      </w:r>
      <w:r>
        <w:rPr>
          <w:i/>
        </w:rPr>
        <w:t xml:space="preserve">1</w:t>
      </w:r>
      <w:r>
        <w:t xml:space="preserve">(1), 3–22.</w:t>
      </w:r>
    </w:p>
    <w:p>
      <w:pPr>
        <w:pStyle w:val="References"/>
      </w:pPr>
      <w:r>
        <w:t xml:space="preserve">[17] Gebbers, R., &amp; Adamchuk, V. I. (2010). Precision agriculture and food security. </w:t>
      </w:r>
      <w:r>
        <w:rPr>
          <w:i/>
        </w:rPr>
        <w:t xml:space="preserve">Science</w:t>
      </w:r>
      <w:r>
        <w:t xml:space="preserve">, </w:t>
      </w:r>
      <w:r>
        <w:rPr>
          <w:i/>
        </w:rPr>
        <w:t xml:space="preserve">327</w:t>
      </w:r>
      <w:r>
        <w:t xml:space="preserve">(5967), 828–831.</w:t>
      </w:r>
    </w:p>
    <w:p>
      <w:pPr>
        <w:pStyle w:val="References"/>
      </w:pPr>
      <w:r>
        <w:t xml:space="preserve">[18] Walter, A., Finger, R., Huber, R., &amp; Buchmann, N. (2017). Smart farming is key to developing sustainable agriculture. </w:t>
      </w:r>
      <w:r>
        <w:rPr>
          <w:i/>
        </w:rPr>
        <w:t xml:space="preserve">Proceedings of the National Academy of Sciences</w:t>
      </w:r>
      <w:r>
        <w:t xml:space="preserve">, </w:t>
      </w:r>
      <w:r>
        <w:rPr>
          <w:i/>
        </w:rPr>
        <w:t xml:space="preserve">114</w:t>
      </w:r>
      <w:r>
        <w:t xml:space="preserve">(24), 6148–6150.</w:t>
      </w:r>
    </w:p>
    <w:p>
      <w:pPr>
        <w:pStyle w:val="References"/>
      </w:pPr>
      <w:r>
        <w:t xml:space="preserve">[19] Mohan, D., Sarswat, A., Ok, Y. S., &amp; Pittman, C. U. (2014). Organic and inorganic contaminants removal from water with biochar, a renewable, low cost and sustainable adsorbent — A critical review. </w:t>
      </w:r>
      <w:r>
        <w:rPr>
          <w:i/>
        </w:rPr>
        <w:t xml:space="preserve">Bioresource Technology</w:t>
      </w:r>
      <w:r>
        <w:t xml:space="preserve">, </w:t>
      </w:r>
      <w:r>
        <w:rPr>
          <w:i/>
        </w:rPr>
        <w:t xml:space="preserve">160</w:t>
      </w:r>
      <w:r>
        <w:t xml:space="preserve">, 191–202.</w:t>
      </w:r>
    </w:p>
    <w:p>
      <w:pPr>
        <w:pStyle w:val="References"/>
      </w:pPr>
      <w:r>
        <w:t xml:space="preserve">[20] Inyang, M. I., Gao, B., Yao, Y., Xue, Y., Zimmerman, A., Mosa, A., &amp; Cao, X. (2016). A review of biochar as a low-cost adsorbent for aqueous heavy metal removal. </w:t>
      </w:r>
      <w:r>
        <w:rPr>
          <w:i/>
        </w:rPr>
        <w:t xml:space="preserve">Critical Reviews in Environmental Science and Technology</w:t>
      </w:r>
      <w:r>
        <w:t xml:space="preserve">, </w:t>
      </w:r>
      <w:r>
        <w:rPr>
          <w:i/>
        </w:rPr>
        <w:t xml:space="preserve">46</w:t>
      </w:r>
      <w:r>
        <w:t xml:space="preserve">(4), 406–433.</w:t>
      </w:r>
    </w:p>
    <w:p>
      <w:pPr>
        <w:pStyle w:val="References"/>
      </w:pPr>
      <w:r>
        <w:t xml:space="preserve">[21] Beiyuan, J., Awad, Y. M., Beckers, F., Tsang, D. C. W., Ok, Y. S., &amp; Rinklebe, J. (2017). Mobility and phytoavailability of As and Pb in a contaminated soil using pine sawdust biochar under systematic change of redox conditions. </w:t>
      </w:r>
      <w:r>
        <w:rPr>
          <w:i/>
        </w:rPr>
        <w:t xml:space="preserve">Chemosphere</w:t>
      </w:r>
      <w:r>
        <w:t xml:space="preserve">, </w:t>
      </w:r>
      <w:r>
        <w:rPr>
          <w:i/>
        </w:rPr>
        <w:t xml:space="preserve">178</w:t>
      </w:r>
      <w:r>
        <w:t xml:space="preserve">, 110–118.</w:t>
      </w:r>
    </w:p>
    <w:p>
      <w:pPr>
        <w:pStyle w:val="References"/>
      </w:pPr>
      <w:r>
        <w:t xml:space="preserve">[22] Cheng, N., Wang, B., Wu, P., Lee, X., Xing, Y., Chen, M., &amp; Gao, B. (2021). Adsorption of emerging contaminants from water and wastewater by modified biochar: A review. </w:t>
      </w:r>
      <w:r>
        <w:rPr>
          <w:i/>
        </w:rPr>
        <w:t xml:space="preserve">Environmental Pollution</w:t>
      </w:r>
      <w:r>
        <w:t xml:space="preserve">, </w:t>
      </w:r>
      <w:r>
        <w:rPr>
          <w:i/>
        </w:rPr>
        <w:t xml:space="preserve">273</w:t>
      </w:r>
      <w:r>
        <w:t xml:space="preserve">, 116448.</w:t>
      </w:r>
    </w:p>
    <w:p>
      <w:pPr>
        <w:pStyle w:val="References"/>
      </w:pPr>
      <w:r>
        <w:t xml:space="preserve">[23] Yang, W., Wang, X., Son, M., &amp; Logan, B. E. (2020). Simultaneously enhancing power density and coulombic efficiency with a hydrophobic carbon-based electrode in microbial systems. </w:t>
      </w:r>
      <w:r>
        <w:rPr>
          <w:i/>
        </w:rPr>
        <w:t xml:space="preserve">Water Research</w:t>
      </w:r>
      <w:r>
        <w:t xml:space="preserve">, </w:t>
      </w:r>
      <w:r>
        <w:rPr>
          <w:i/>
        </w:rPr>
        <w:t xml:space="preserve">170</w:t>
      </w:r>
      <w:r>
        <w:t xml:space="preserve">, 115316.</w:t>
      </w:r>
    </w:p>
    <w:p>
      <w:pPr>
        <w:pStyle w:val="References"/>
      </w:pPr>
      <w:r>
        <w:t xml:space="preserve">[24] Cayuela, M. L., van Zwieten, L., Singh, B. P., Jeffery, S., Roig, A., &amp; Sánchez-Monedero, M. A. (2014). Biochar's role in mitigating soil nitrous oxide emissions: A review and meta-analysis. </w:t>
      </w:r>
      <w:r>
        <w:rPr>
          <w:i/>
        </w:rPr>
        <w:t xml:space="preserve">Agriculture, Ecosystems &amp; Environment</w:t>
      </w:r>
      <w:r>
        <w:t xml:space="preserve">, </w:t>
      </w:r>
      <w:r>
        <w:rPr>
          <w:i/>
        </w:rPr>
        <w:t xml:space="preserve">191</w:t>
      </w:r>
      <w:r>
        <w:t xml:space="preserve">, 5–16.</w:t>
      </w:r>
    </w:p>
    <w:p>
      <w:pPr>
        <w:pStyle w:val="References"/>
      </w:pPr>
      <w:r>
        <w:t xml:space="preserve">[25] Wang, L., Ok, Y. S., Tsang, D. C. W., Alessi, D. S., Rinklebe, J., Wang, H., &amp; Hou, D. (2020). New trends in biochar pyrolysis and modification strategies: Feedstock, pyrolysis conditions, sustainability concerns and implications for soil amendment. </w:t>
      </w:r>
      <w:r>
        <w:rPr>
          <w:i/>
        </w:rPr>
        <w:t xml:space="preserve">Soil Use and Management</w:t>
      </w:r>
      <w:r>
        <w:t xml:space="preserve">, </w:t>
      </w:r>
      <w:r>
        <w:rPr>
          <w:i/>
        </w:rPr>
        <w:t xml:space="preserve">36</w:t>
      </w:r>
      <w:r>
        <w:t xml:space="preserve">(3), 358–386.</w:t>
      </w:r>
    </w:p>
    <w:p>
      <w:pPr>
        <w:pStyle w:val="References"/>
      </w:pPr>
      <w:r>
        <w:t xml:space="preserve">[26] Zhu, X., Wan, Z., Tsang, D. C. W., He, M., Hou, D., Su, Z., &amp; Shang, J. (2022). Machine learning for the selection of carbon-based materials for tetracycline and sulfamethoxazole adsorption. </w:t>
      </w:r>
      <w:r>
        <w:rPr>
          <w:i/>
        </w:rPr>
        <w:t xml:space="preserve">Chemical Engineering Journal</w:t>
      </w:r>
      <w:r>
        <w:t xml:space="preserve">, </w:t>
      </w:r>
      <w:r>
        <w:rPr>
          <w:i/>
        </w:rPr>
        <w:t xml:space="preserve">406</w:t>
      </w:r>
      <w:r>
        <w:t xml:space="preserve">, 126782.</w:t>
      </w:r>
    </w:p>
    <w:p>
      <w:pPr>
        <w:pStyle w:val="References"/>
      </w:pPr>
      <w:r>
        <w:t xml:space="preserve">[27] Li, L., Zou, G., Yuan, Z., Ma, C., Wang, X., Yang, Y., &amp; Zhang, Y. (2023). Machine learning prediction of biochar physicochemical properties and adsorption performance. </w:t>
      </w:r>
      <w:r>
        <w:rPr>
          <w:i/>
        </w:rPr>
        <w:t xml:space="preserve">Science of the Total Environment</w:t>
      </w:r>
      <w:r>
        <w:t xml:space="preserve">, </w:t>
      </w:r>
      <w:r>
        <w:rPr>
          <w:i/>
        </w:rPr>
        <w:t xml:space="preserve">858</w:t>
      </w:r>
      <w:r>
        <w:t xml:space="preserve">, 159798.</w:t>
      </w:r>
    </w:p>
    <w:p>
      <w:pPr>
        <w:pStyle w:val="References"/>
      </w:pPr>
      <w:r>
        <w:t xml:space="preserve">[28] Cao, H., Xin, Y., &amp; Yuan, Q. (2021). Prediction of biochar yield and specific surface area based on integrated learning algorithm. </w:t>
      </w:r>
      <w:r>
        <w:rPr>
          <w:i/>
        </w:rPr>
        <w:t xml:space="preserve">Journal of Analytical and Applied Pyrolysis</w:t>
      </w:r>
      <w:r>
        <w:t xml:space="preserve">, </w:t>
      </w:r>
      <w:r>
        <w:rPr>
          <w:i/>
        </w:rPr>
        <w:t xml:space="preserve">157</w:t>
      </w:r>
      <w:r>
        <w:t xml:space="preserve">, 105207.</w:t>
      </w:r>
    </w:p>
    <w:p>
      <w:pPr>
        <w:pStyle w:val="References"/>
      </w:pPr>
      <w:r>
        <w:t xml:space="preserve">[29] Ayaz, M., Ammad-Uddin, M., Sharif, Z., Mansour, A., &amp; Aggoune, E.-H. M. (2019). Internet-of-Things (IoT)-based smart agriculture: Toward making the fields talk. </w:t>
      </w:r>
      <w:r>
        <w:rPr>
          <w:i/>
        </w:rPr>
        <w:t xml:space="preserve">IEEE Access</w:t>
      </w:r>
      <w:r>
        <w:t xml:space="preserve">, </w:t>
      </w:r>
      <w:r>
        <w:rPr>
          <w:i/>
        </w:rPr>
        <w:t xml:space="preserve">7</w:t>
      </w:r>
      <w:r>
        <w:t xml:space="preserve">, 129551–129583.</w:t>
      </w:r>
    </w:p>
    <w:p>
      <w:pPr>
        <w:pStyle w:val="References"/>
      </w:pPr>
      <w:r>
        <w:t xml:space="preserve">[30] Sishodia, R. P., Ray, R. L., &amp; Singh, S. K. (2020). Applications of remote sensing in precision agriculture: A review. </w:t>
      </w:r>
      <w:r>
        <w:rPr>
          <w:i/>
        </w:rPr>
        <w:t xml:space="preserve">Remote Sensing</w:t>
      </w:r>
      <w:r>
        <w:t xml:space="preserve">, </w:t>
      </w:r>
      <w:r>
        <w:rPr>
          <w:i/>
        </w:rPr>
        <w:t xml:space="preserve">12</w:t>
      </w:r>
      <w:r>
        <w:t xml:space="preserve">(19), 3136.</w:t>
      </w:r>
    </w:p>
    <w:p>
      <w:pPr>
        <w:pStyle w:val="References"/>
      </w:pPr>
      <w:r>
        <w:t xml:space="preserve">[31] Wolfert, S., Ge, L., Verdouw, C., &amp; Bogaardt, M.-J. (2017). Big data in smart farming — A review. </w:t>
      </w:r>
      <w:r>
        <w:rPr>
          <w:i/>
        </w:rPr>
        <w:t xml:space="preserve">Agricultural Systems</w:t>
      </w:r>
      <w:r>
        <w:t xml:space="preserve">, </w:t>
      </w:r>
      <w:r>
        <w:rPr>
          <w:i/>
        </w:rPr>
        <w:t xml:space="preserve">153</w:t>
      </w:r>
      <w:r>
        <w:t xml:space="preserve">, 69–80.</w:t>
      </w:r>
    </w:p>
    <w:p>
      <w:pPr>
        <w:pStyle w:val="References"/>
      </w:pPr>
      <w:r>
        <w:t xml:space="preserve">[32] Kalinke, C., Oliveira, P. R., Bonet San Emeterio, N., Gonzalez-García, M. B., Hernández-Santos, D., Bergamini, M. F., &amp; Marcolino-Junior, L. H. (2021). Biochar as a versatile and sustainable material for electrochemical (bio)sensing. </w:t>
      </w:r>
      <w:r>
        <w:rPr>
          <w:i/>
        </w:rPr>
        <w:t xml:space="preserve">TrAC Trends in Analytical Chemistry</w:t>
      </w:r>
      <w:r>
        <w:t xml:space="preserve">, </w:t>
      </w:r>
      <w:r>
        <w:rPr>
          <w:i/>
        </w:rPr>
        <w:t xml:space="preserve">144</w:t>
      </w:r>
      <w:r>
        <w:t xml:space="preserve">, 116425.</w:t>
      </w:r>
    </w:p>
    <w:p>
      <w:pPr>
        <w:pStyle w:val="References"/>
      </w:pPr>
      <w:r>
        <w:t xml:space="preserve">[33] Chakraborty, I., Sathe, S. M., Dubey, B. K., &amp; Ghangrekar, M. M. (2020). Waste-derived biochar: Applications and future perspective in microbial fuel cells. </w:t>
      </w:r>
      <w:r>
        <w:rPr>
          <w:i/>
        </w:rPr>
        <w:t xml:space="preserve">Bioresource Technology</w:t>
      </w:r>
      <w:r>
        <w:t xml:space="preserve">, </w:t>
      </w:r>
      <w:r>
        <w:rPr>
          <w:i/>
        </w:rPr>
        <w:t xml:space="preserve">312</w:t>
      </w:r>
      <w:r>
        <w:t xml:space="preserve">, 123587.</w:t>
      </w:r>
    </w:p>
    <w:p>
      <w:pPr>
        <w:pStyle w:val="References"/>
      </w:pPr>
      <w:r>
        <w:t xml:space="preserve">[34] Saxena, M., Maity, S., &amp; Sarkar, S. (2020). Carbon-based nanomaterials and microbial consortia for sustainable remediation and agriculture. </w:t>
      </w:r>
      <w:r>
        <w:rPr>
          <w:i/>
        </w:rPr>
        <w:t xml:space="preserve">Environmental Technology &amp; Innovation</w:t>
      </w:r>
      <w:r>
        <w:t xml:space="preserve">, </w:t>
      </w:r>
      <w:r>
        <w:rPr>
          <w:i/>
        </w:rPr>
        <w:t xml:space="preserve">20</w:t>
      </w:r>
      <w:r>
        <w:t xml:space="preserve">, 101147.</w:t>
      </w:r>
    </w:p>
    <w:p>
      <w:pPr>
        <w:pStyle w:val="References"/>
      </w:pPr>
      <w:r>
        <w:t xml:space="preserve">[35] Bolan, S., Hou, D., Wang, L., Hale, L., Egamberdieva, D., Tammeorg, P., &amp; Bolan, N. (2023). The potential of biochar as a microbial carrier for agricultural and environmental applications. </w:t>
      </w:r>
      <w:r>
        <w:rPr>
          <w:i/>
        </w:rPr>
        <w:t xml:space="preserve">Science of the Total Environment</w:t>
      </w:r>
      <w:r>
        <w:t xml:space="preserve">, </w:t>
      </w:r>
      <w:r>
        <w:rPr>
          <w:i/>
        </w:rPr>
        <w:t xml:space="preserve">886</w:t>
      </w:r>
      <w:r>
        <w:t xml:space="preserve">, 163968.</w:t>
      </w:r>
    </w:p>
    <w:p>
      <w:pPr>
        <w:pStyle w:val="References"/>
      </w:pPr>
      <w:r>
        <w:t xml:space="preserve">[36] Qian, K., Kumar, A., Zhang, H., Bellmer, D., &amp; Huhnke, R. (2015). Recent advances in utilization of biochar. </w:t>
      </w:r>
      <w:r>
        <w:rPr>
          <w:i/>
        </w:rPr>
        <w:t xml:space="preserve">Renewable and Sustainable Energy Reviews</w:t>
      </w:r>
      <w:r>
        <w:t xml:space="preserve">, </w:t>
      </w:r>
      <w:r>
        <w:rPr>
          <w:i/>
        </w:rPr>
        <w:t xml:space="preserve">42</w:t>
      </w:r>
      <w:r>
        <w:t xml:space="preserve">, 1055–1064.</w:t>
      </w:r>
    </w:p>
    <w:p>
      <w:pPr>
        <w:pStyle w:val="References"/>
      </w:pPr>
      <w:r>
        <w:t xml:space="preserve">[37] Wang, D., Zhang, W., Hao, X., &amp; Zhou, D. (2013). Transport of biochar particles in saturated granular media: Effects of pyrolysis temperature and particle size. </w:t>
      </w:r>
      <w:r>
        <w:rPr>
          <w:i/>
        </w:rPr>
        <w:t xml:space="preserve">Environmental Science &amp; Technology</w:t>
      </w:r>
      <w:r>
        <w:t xml:space="preserve">, </w:t>
      </w:r>
      <w:r>
        <w:rPr>
          <w:i/>
        </w:rPr>
        <w:t xml:space="preserve">47</w:t>
      </w:r>
      <w:r>
        <w:t xml:space="preserve">(2), 821–828.</w:t>
      </w:r>
    </w:p>
    <w:p>
      <w:pPr>
        <w:pStyle w:val="References"/>
      </w:pPr>
      <w:r>
        <w:t xml:space="preserve">[38] Bundschuh, M., Filser, J., Lüderwald, S., McKee, M. S., Metreveli, G., Schaumann, G. E., &amp; Wagner, S. (2018). Nanoparticles in the environment: Where do we come from, where do we go to? </w:t>
      </w:r>
      <w:r>
        <w:rPr>
          <w:i/>
        </w:rPr>
        <w:t xml:space="preserve">Environmental Sciences Europe</w:t>
      </w:r>
      <w:r>
        <w:t xml:space="preserve">, </w:t>
      </w:r>
      <w:r>
        <w:rPr>
          <w:i/>
        </w:rPr>
        <w:t xml:space="preserve">30</w:t>
      </w:r>
      <w:r>
        <w:t xml:space="preserve">(1), 6.</w:t>
      </w:r>
    </w:p>
    <w:p>
      <w:pPr>
        <w:pStyle w:val="References"/>
      </w:pPr>
      <w:r>
        <w:t xml:space="preserve">[39] Muñoz, E., Curaqueo, G., Cea, M., Vera, L., &amp; Navia, R. (2017). Environmental hotspots in the life cycle of a biochar-soil system. </w:t>
      </w:r>
      <w:r>
        <w:rPr>
          <w:i/>
        </w:rPr>
        <w:t xml:space="preserve">Journal of Cleaner Production</w:t>
      </w:r>
      <w:r>
        <w:t xml:space="preserve">, </w:t>
      </w:r>
      <w:r>
        <w:rPr>
          <w:i/>
        </w:rPr>
        <w:t xml:space="preserve">158</w:t>
      </w:r>
      <w:r>
        <w:t xml:space="preserve">, 1–7.</w:t>
      </w:r>
    </w:p>
    <w:p>
      <w:pPr>
        <w:pStyle w:val="References"/>
      </w:pPr>
      <w:r>
        <w:t xml:space="preserve">[40] Nature Editorial. (2019). Regulating engineered nanomaterials: Challenges and pathways for environmental governance. </w:t>
      </w:r>
      <w:r>
        <w:rPr>
          <w:i/>
        </w:rPr>
        <w:t xml:space="preserve">Nature Nanotechnology</w:t>
      </w:r>
      <w:r>
        <w:t xml:space="preserve">, </w:t>
      </w:r>
      <w:r>
        <w:rPr>
          <w:i/>
        </w:rPr>
        <w:t xml:space="preserve">14</w:t>
      </w:r>
      <w:r>
        <w:t xml:space="preserve">(6), 505–507.</w:t>
      </w:r>
    </w:p>
    <w:p>
      <w:pPr>
        <w:pStyle w:val="References"/>
      </w:pPr>
      <w:r>
        <w:t xml:space="preserve">[41] Ahmed, M. B., Zhou, J. L., Ngo, H. H., &amp; Guo, W. (2016). Insight into biochar properties and its cost analysis. </w:t>
      </w:r>
      <w:r>
        <w:rPr>
          <w:i/>
        </w:rPr>
        <w:t xml:space="preserve">Biomass and Bioenergy</w:t>
      </w:r>
      <w:r>
        <w:t xml:space="preserve">, </w:t>
      </w:r>
      <w:r>
        <w:rPr>
          <w:i/>
        </w:rPr>
        <w:t xml:space="preserve">84</w:t>
      </w:r>
      <w:r>
        <w:t xml:space="preserve">, 76–86.</w:t>
      </w:r>
    </w:p>
    <w:p>
      <w:pPr>
        <w:pStyle w:val="References"/>
      </w:pPr>
      <w:r>
        <w:t xml:space="preserve">[42] Owen, R., Macnaghten, P., &amp; Stilgoe, J. (2012). Responsible research and innovation: From science in society to science for society, with society. </w:t>
      </w:r>
      <w:r>
        <w:rPr>
          <w:i/>
        </w:rPr>
        <w:t xml:space="preserve">Science and Public Policy</w:t>
      </w:r>
      <w:r>
        <w:t xml:space="preserve">, </w:t>
      </w:r>
      <w:r>
        <w:rPr>
          <w:i/>
        </w:rPr>
        <w:t xml:space="preserve">39</w:t>
      </w:r>
      <w:r>
        <w:t xml:space="preserve">(6), 751–760.</w:t>
      </w:r>
    </w:p>
    <w:p>
      <w:pPr>
        <w:pStyle w:val="References"/>
      </w:pPr>
      <w:r>
        <w:t xml:space="preserve">[43] Ok, Y. S., Tsang, D. C. W., Bolan, N., &amp; Novak, J. M. (Eds.). (2019). </w:t>
      </w:r>
      <w:r>
        <w:rPr>
          <w:i/>
        </w:rPr>
        <w:t xml:space="preserve">Biochar from Biomass and Waste: Fundamentals and Applications</w:t>
      </w:r>
      <w:r>
        <w:t xml:space="preserve">. Elsevier.</w:t>
      </w:r>
    </w:p>
    <w:p>
      <w:pPr>
        <w:pStyle w:val="Normal"/>
      </w:pPr>
      <w:r>
        <w:rPr>
          <w:b/>
        </w:rPr>
        <w:t xml:space="preserve">Note:</w:t>
      </w:r>
      <w:r>
        <w:t xml:space="preserve"> This chapter contains 43 unique references cited sequentially throughout the text, together with 4 figures and 4 tables integrated within the discussion.</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Biomass_to_Nanobiochar.png"/>
  <Relationship Id="rIdImg2" Type="http://schemas.openxmlformats.org/officeDocument/2006/relationships/image" Target="media/Figure_2_Multifunctional_Roles.png"/>
  <Relationship Id="rIdImg3" Type="http://schemas.openxmlformats.org/officeDocument/2006/relationships/image" Target="media/Figure_3_Smart_Integration.png"/>
  <Relationship Id="rIdImg4" Type="http://schemas.openxmlformats.org/officeDocument/2006/relationships/image" Target="media/Figure_4_Circular_Framework.png"/>
</Relationships>
</file>