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body>
    <w:p xmlns:w="http://schemas.openxmlformats.org/wordprocessingml/2006/main">
      <w:pPr>
        <w:jc w:val="center"/>
        <w:spacing w:after="400"/>
      </w:pPr>
      <w:r>
        <w:rPr>
          <w:sz w:val="24"/>
          <w:szCs w:val="24"/>
        </w:rPr>
        <w:t xml:space="preserve"/>
      </w:r>
    </w:p>
    <w:p xmlns:w="http://schemas.openxmlformats.org/wordprocessingml/2006/main">
      <w:pPr>
        <w:pStyle w:val="Heading1"/>
        <w:jc w:val="center"/>
        <w:spacing w:after="300"/>
      </w:pPr>
      <w:r>
        <w:rPr>
          <w:b/>
          <w:sz w:val="36"/>
          <w:szCs w:val="36"/>
        </w:rPr>
        <w:t xml:space="preserve">Recycled and Waste-Derived Materials for Sustainable Development</w:t>
      </w:r>
    </w:p>
    <w:p xmlns:w="http://schemas.openxmlformats.org/wordprocessingml/2006/main">
      <w:pPr>
        <w:jc w:val="center"/>
        <w:spacing w:after="200"/>
      </w:pPr>
      <w:r>
        <w:rPr>
          <w:sz w:val="24"/>
          <w:szCs w:val="24"/>
        </w:rPr>
        <w:t xml:space="preserve"/>
      </w:r>
    </w:p>
    <w:p xmlns:w="http://schemas.openxmlformats.org/wordprocessingml/2006/main">
      <w:pPr>
        <w:jc w:val="center"/>
        <w:spacing w:after="200"/>
      </w:pPr>
      <w:r>
        <w:rPr>
          <w:b/>
          <w:sz w:val="24"/>
          <w:szCs w:val="24"/>
        </w:rPr>
        <w:t xml:space="preserve">Amman Jakhar 1,* and Sachin Kalsi 1</w:t>
      </w:r>
    </w:p>
    <w:p xmlns:w="http://schemas.openxmlformats.org/wordprocessingml/2006/main">
      <w:pPr>
        <w:jc w:val="center"/>
        <w:spacing w:after="100"/>
      </w:pPr>
      <w:r>
        <w:rPr>
          <w:i/>
          <w:sz w:val="22"/>
          <w:szCs w:val="22"/>
        </w:rPr>
        <w:t xml:space="preserve">1 Department of Mechanical Engineering, Chandigarh University, Mohali, Punjab-140301, India</w:t>
      </w:r>
    </w:p>
    <w:p xmlns:w="http://schemas.openxmlformats.org/wordprocessingml/2006/main">
      <w:pPr>
        <w:jc w:val="center"/>
        <w:spacing w:after="400"/>
      </w:pPr>
      <w:r>
        <w:rPr>
          <w:i/>
          <w:sz w:val="22"/>
          <w:szCs w:val="22"/>
        </w:rPr>
        <w:t xml:space="preserve">* Corresponding author: ammanjakhar5000734@gmail.com</w:t>
      </w:r>
    </w:p>
    <w:p xmlns:w="http://schemas.openxmlformats.org/wordprocessingml/2006/main">
      <w:pPr>
        <w:pStyle w:val="Heading1"/>
        <w:jc w:val="start"/>
        <w:spacing w:after="240"/>
      </w:pPr>
      <w:r>
        <w:rPr>
          <w:b/>
          <w:sz w:val="32"/>
          <w:szCs w:val="32"/>
        </w:rPr>
        <w:t xml:space="preserve">Abstract</w:t>
      </w:r>
    </w:p>
    <w:p xmlns:w="http://schemas.openxmlformats.org/wordprocessingml/2006/main">
      <w:pPr>
        <w:jc w:val="both"/>
        <w:spacing w:after="300"/>
      </w:pPr>
      <w:r>
        <w:rPr>
          <w:sz w:val="24"/>
          <w:szCs w:val="24"/>
        </w:rPr>
        <w:t xml:space="preserve">Natural resource depletion, the lack of sustainable material solutions, and the escalating amounts of municipal, agricultural, mining, and industrial waste have made sustainable material solutions more critical than ever to enable circular economy principles and clean energy transitions [1, 2]. By reusing and diverting waste streams into value-added products with lower environmental footprints and greater resource efficiency, recycled and waste-derived materials have become viable alternatives to virgin resources [3, 4]. This chapter covers the most recent developments in recycling and waste-derived materials recovery, processing, characterization, and application for sustainable development in construction, manufacturing, transportation, environmental remediation, and renewable energy [5, 6]. A wide range of recyclable materials is reviewed including industrial by-products, construction and demolition wastes, fly ash, slag, red mud, waste plastics, agricultural residues, electronic wastes, waste glass, recycled metals, and biomass-derived materials [7, 8]. Innovative methods to enhance the mechanical, thermal, chemical, and functional properties of recycled materials through advanced recycling technologies, material modification techniques, additive manufacturing, nanotechnology, and artificial intelligence-assisted material design are discussed [9, 10]. Special focus is given to life cycle assessment, carbon footprint reduction, resource recovery, waste valorization, and incorporation of recovered materials in sustainable product design and green manufacturing processes [11, 12].</w:t>
      </w:r>
    </w:p>
    <w:p xmlns:w="http://schemas.openxmlformats.org/wordprocessingml/2006/main">
      <w:pPr>
        <w:jc w:val="both"/>
        <w:spacing w:after="400"/>
      </w:pPr>
      <w:r>
        <w:rPr>
          <w:i/>
          <w:sz w:val="22"/>
          <w:szCs w:val="22"/>
        </w:rPr>
        <w:t xml:space="preserve">Keywords: Recycled materials; Waste valorization; Circular economy; Sustainable manufacturing; Resource recovery; Construction materials; Life cycle assessment; Green technology</w:t>
      </w:r>
    </w:p>
    <w:p xmlns:w="http://schemas.openxmlformats.org/wordprocessingml/2006/main">
      <w:pPr>
        <w:jc w:val="both"/>
        <w:spacing w:after="400"/>
      </w:pPr>
      <w:r>
        <w:rPr>
          <w:sz w:val="22"/>
          <w:szCs w:val="22"/>
        </w:rPr>
        <w:t xml:space="preserve">Chapter Contents: Section 1 introduces the imperative for recycled materials within the context of circular economy principles and global waste management challenges. Section 2 provides a comprehensive classification of waste streams and their constituent recyclable materials across industrial, construction, agricultural, and electronic waste categories. Section 3 reviews advanced recycling technologies including mechanical, chemical, and thermal processing, nanotechnology-based material enhancement, and additive manufacturing with recycled feedstocks. Section 4 examines applications in sustainable construction, transportation, energy storage, and environmental remediation. Section 5 presents life cycle assessment frameworks, carbon footprint analysis, and economic viability considerations. Section 6 discusses artificial intelligence, digital twin technology, and future directions for smart recycling systems.</w:t>
      </w:r>
    </w:p>
    <w:p xmlns:w="http://schemas.openxmlformats.org/wordprocessingml/2006/main">
      <w:pPr>
        <w:pStyle w:val="Heading1"/>
        <w:jc w:val="start"/>
        <w:spacing w:after="240"/>
      </w:pPr>
      <w:r>
        <w:rPr>
          <w:b/>
          <w:sz w:val="32"/>
          <w:szCs w:val="32"/>
        </w:rPr>
        <w:t xml:space="preserve">1. Introduction: The Imperative for Recycled and Waste-Derived Materials</w:t>
      </w:r>
    </w:p>
    <w:p xmlns:w="http://schemas.openxmlformats.org/wordprocessingml/2006/main">
      <w:pPr>
        <w:jc w:val="both"/>
        <w:spacing w:after="200"/>
      </w:pPr>
      <w:r>
        <w:rPr>
          <w:sz w:val="24"/>
          <w:szCs w:val="24"/>
        </w:rPr>
        <w:t xml:space="preserve">The global economy currently operates predominantly within a linear model of resource extraction, production, consumption, and disposal, generating approximately 2.01 billion tonnes of municipal solid waste annually, with projections indicating an increase to 3.40 billion tonnes by 2050 [1, 13]. This unsustainable trajectory, coupled with accelerating natural resource depletion and the environmental consequences of virgin material extraction, has catalyzed a paradigm shift toward circular economy principles that prioritize material recovery, reuse, and valorization [2, 14]. The concept of waste-derived materials encompasses the transformation of residual streams from industrial, agricultural, municipal, and mining operations into functional materials with engineering value, thereby simultaneously addressing waste management challenges and resource scarcity concerns [3, 15].</w:t>
      </w:r>
    </w:p>
    <w:p xmlns:w="http://schemas.openxmlformats.org/wordprocessingml/2006/main">
      <w:pPr>
        <w:jc w:val="both"/>
        <w:spacing w:after="200"/>
      </w:pPr>
      <w:r>
        <w:rPr>
          <w:sz w:val="24"/>
          <w:szCs w:val="24"/>
        </w:rPr>
        <w:t xml:space="preserve">The circular economy framework, as illustrated in Figure 1, represents a regenerative system in which resource input, waste generation, energy leakage, and emissions are minimized through closed-loop material flows encompassing design for longevity, maintenance, repair, reuse, remanufacturing, refurbishment, and recycling [4, 16]. Unlike the traditional waste management hierarchy that treats recycling as a last resort before disposal, the circular economy places material recovery at the center of economic activity, viewing waste streams as feedstocks for new production cycles rather than externalities to be managed [5, 17]. The Ellen MacArthur Foundation estimates that transitioning to a circular economy could generate USD 4.5 trillion in economic benefits by 2030 while reducing greenhouse gas emissions by 39% and virgin material consumption by 28% in key sectors including construction, mobility, and food systems [6, 18]. This philosophical and practical transformation requires innovation across the entire material value chain, from waste characterization and sorting technologies to advanced processing methods and quality assurance protocols for secondary materials [7, 19].</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3"/>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1. Circular economy framework for waste-derived materials showing the six interconnected stages of the material lifecycle: raw material extraction, manufacturing, distribution, use, collection, and recycling/recovery, with continuous feedback loops enabling closed-loop material flows.</w:t>
      </w:r>
    </w:p>
    <w:p xmlns:w="http://schemas.openxmlformats.org/wordprocessingml/2006/main">
      <w:pPr>
        <w:jc w:val="both"/>
        <w:spacing w:after="200"/>
      </w:pPr>
      <w:r>
        <w:rPr>
          <w:sz w:val="24"/>
          <w:szCs w:val="24"/>
        </w:rPr>
        <w:t xml:space="preserve">The environmental imperative for recycled materials is underscored by the substantial carbon footprint associated with virgin material production. Primary aluminum production generates approximately 11.5 tonnes of CO2 equivalent per tonne, compared to only 0.6 tonnes for recycled aluminum, representing a 95% reduction in greenhouse gas emissions [7, 19]. Similarly, recycled steel production via electric arc furnaces requires 74% less energy than blast furnace routes, while recycled concrete aggregates can reduce embodied carbon by 20-40% compared to natural aggregates depending on transportation distances and processing methods [8, 20]. The cement industry alone is responsible for approximately 8% of global CO2 emissions, making the substitution of clinker with waste-derived supplementary cementitious materials one of the most impactful decarbonization strategies available for the construction sector [9, 21]. These compelling environmental benefits, combined with economic advantages from avoided disposal costs and reduced raw material expenditure, provide strong incentives for expanding the use of waste-derived materials across industrial sectors [10, 22].</w:t>
      </w:r>
    </w:p>
    <w:p xmlns:w="http://schemas.openxmlformats.org/wordprocessingml/2006/main">
      <w:pPr>
        <w:jc w:val="both"/>
        <w:spacing w:after="200"/>
      </w:pPr>
      <w:r>
        <w:rPr>
          <w:sz w:val="24"/>
          <w:szCs w:val="24"/>
        </w:rPr>
        <w:t xml:space="preserve">The global recycled materials market was valued at approximately USD 350 billion in 2023 and is projected to exceed USD 550 billion by 2030, driven by increasingly stringent environmental regulations, corporate sustainability commitments, and growing consumer demand for environmentally responsible products [10, 22]. The European Union's Circular Economy Action Plan mandates minimum recycled content requirements for packaging, construction materials, and vehicles, while China's 14th Five-Year Plan establishes ambitious targets for industrial waste utilization rates exceeding 73% by 2025 [11, 23]. These policy frameworks create both regulatory push and market pull for innovation in recycled material technologies, processing efficiency improvements, and quality enhancement methodologies [12, 24].</w:t>
      </w:r>
    </w:p>
    <w:p xmlns:w="http://schemas.openxmlformats.org/wordprocessingml/2006/main">
      <w:pPr>
        <w:jc w:val="both"/>
        <w:spacing w:after="200"/>
      </w:pPr>
      <w:r>
        <w:rPr>
          <w:sz w:val="24"/>
          <w:szCs w:val="24"/>
        </w:rPr>
        <w:t xml:space="preserve">The transition from linear to circular material flows requires fundamental changes in product design philosophy, manufacturing processes, business models, and consumer behavior patterns [4, 16]. Design for recycling (DfR) principles emphasize material selection for recyclability, minimization of material diversity within products, ease of disassembly, elimination of hazardous substances, and labeling for material identification at end-of-life [5, 17]. Industrial symbiosis networks, where the waste output of one process serves as feedstock for another, create localized circular economies within industrial parks and regions, reducing transportation distances, disposal costs, and virgin material consumption simultaneously [6, 18]. The Kalundborg Eco-Industrial Park in Denmark represents a pioneering example where steam, gas, water, and material flows are shared among co-located industries, achieving resource savings exceeding USD 15 million annually while diverting over 2.5 million tonnes of waste from landfill [7, 19].</w:t>
      </w:r>
    </w:p>
    <w:p xmlns:w="http://schemas.openxmlformats.org/wordprocessingml/2006/main">
      <w:pPr>
        <w:pStyle w:val="Heading1"/>
        <w:jc w:val="start"/>
        <w:spacing w:after="240"/>
      </w:pPr>
      <w:r>
        <w:rPr>
          <w:b/>
          <w:sz w:val="32"/>
          <w:szCs w:val="32"/>
        </w:rPr>
        <w:t xml:space="preserve">2. Classification and Sources of Recyclable Materials</w:t>
      </w:r>
    </w:p>
    <w:p xmlns:w="http://schemas.openxmlformats.org/wordprocessingml/2006/main">
      <w:pPr>
        <w:jc w:val="both"/>
        <w:spacing w:after="200"/>
      </w:pPr>
      <w:r>
        <w:rPr>
          <w:sz w:val="24"/>
          <w:szCs w:val="24"/>
        </w:rPr>
        <w:t xml:space="preserve">The diversity of waste-derived materials available for sustainable applications spans an enormous range of compositions, properties, and potential uses, necessitating systematic classification frameworks to guide material selection, processing decisions, and application matching [13, 24]. Understanding the sources, generation rates, compositional variability, and contamination profiles of different waste streams is essential for designing effective collection, sorting, and processing systems that can consistently deliver recycled materials meeting engineering specifications [14, 25]. The following subsections provide a comprehensive overview of the major waste stream categories and their constituent materials, as organized in the hierarchical classification shown in Figure 2 [15, 26].</w:t>
      </w:r>
    </w:p>
    <w:p xmlns:w="http://schemas.openxmlformats.org/wordprocessingml/2006/main">
      <w:pPr>
        <w:pStyle w:val="Heading2"/>
        <w:jc w:val="start"/>
        <w:spacing w:after="240"/>
      </w:pPr>
      <w:r>
        <w:rPr>
          <w:b/>
          <w:sz w:val="28"/>
          <w:szCs w:val="28"/>
        </w:rPr>
        <w:t xml:space="preserve">2.1. Industrial By-products and Process Wastes</w:t>
      </w:r>
    </w:p>
    <w:p xmlns:w="http://schemas.openxmlformats.org/wordprocessingml/2006/main">
      <w:pPr>
        <w:jc w:val="both"/>
        <w:spacing w:after="200"/>
      </w:pPr>
      <w:r>
        <w:rPr>
          <w:sz w:val="24"/>
          <w:szCs w:val="24"/>
        </w:rPr>
        <w:t xml:space="preserve">Industrial by-products constitute the largest category of waste-derived materials by volume, encompassing residues from metallurgical, chemical, energy production, and manufacturing processes [13, 25]. As shown in Figure 2, the classification of waste streams spans five major categories: industrial by-products, construction and demolition waste, agricultural residues, municipal solid waste, and electronic waste, each containing multiple sub-categories with distinct compositional and processing characteristics [14, 26]. Fly ash, generated from coal combustion in thermal power plants at rates exceeding 800 million tonnes annually worldwide, represents one of the most voluminous and well-characterized industrial by-products, finding applications as a supplementary cementitious material in concrete, geopolymer precursor, soil stabilization agent, and adsorbent for environmental remediation [15, 27].</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4"/>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2. Hierarchical classification of waste streams and recyclable materials showing five major categories (industrial by-products, construction/demolition waste, agricultural residues, municipal solid waste, electronic waste) with their respective sub-categories and material types.</w:t>
      </w:r>
    </w:p>
    <w:p xmlns:w="http://schemas.openxmlformats.org/wordprocessingml/2006/main">
      <w:pPr>
        <w:jc w:val="both"/>
        <w:spacing w:after="200"/>
      </w:pPr>
      <w:r>
        <w:rPr>
          <w:sz w:val="24"/>
          <w:szCs w:val="24"/>
        </w:rPr>
        <w:t xml:space="preserve">Blast furnace slag (BFS) and steel slag, produced at rates of approximately 300-400 kg and 100-150 kg per tonne of steel respectively, possess cementitious and pozzolanic properties that make them valuable as cement replacement materials and aggregate substitutes in concrete production [16, 28]. Ground granulated blast furnace slag (GGBFS) can replace 30-70% of Portland cement in concrete mixtures while improving long-term strength, sulfate resistance, and reducing heat of hydration, making it particularly suitable for mass concrete applications [17, 29]. Red mud (bauxite residue), generated at approximately 1.5 tonnes per tonne of alumina produced, presents both a significant disposal challenge due to its high alkalinity (pH 10-13) and volume (over 150 million tonnes generated annually), and an opportunity for recovery of iron, aluminum, titanium, and rare earth elements [18, 30].</w:t>
      </w:r>
    </w:p>
    <w:p xmlns:w="http://schemas.openxmlformats.org/wordprocessingml/2006/main">
      <w:pPr>
        <w:jc w:val="both"/>
        <w:spacing w:after="200"/>
      </w:pPr>
      <w:r>
        <w:rPr>
          <w:sz w:val="24"/>
          <w:szCs w:val="24"/>
        </w:rPr>
        <w:t xml:space="preserve">Silica fume, a byproduct of silicon and ferrosilicon alloy production consisting of ultrafine amorphous silica particles (average diameter 0.1-0.2 micrometers), provides exceptional pozzolanic reactivity and pore-filling capability when used at 5-10% cement replacement levels [19, 31]. The resulting concrete exhibits significantly improved compressive strength (10-20% increase), dramatically reduced permeability (50-80% reduction in chloride diffusion coefficient), and enhanced resistance to chemical attack, making silica fume-modified concrete standard specification for marine structures, nuclear containment vessels, and bridge decks exposed to deicing salts [20, 32]. Ceramic waste from the manufacturing of tiles, sanitaryware, and refractories (approximately 30% of production volume becomes waste) can be crushed and used as recycled aggregate or ground to fine powder for use as a supplementary cementitious material with moderate pozzolanic activity [21, 33].</w:t>
      </w:r>
    </w:p>
    <w:p xmlns:w="http://schemas.openxmlformats.org/wordprocessingml/2006/main">
      <w:pPr>
        <w:pStyle w:val="Heading2"/>
        <w:jc w:val="start"/>
        <w:spacing w:after="240"/>
      </w:pPr>
      <w:r>
        <w:rPr>
          <w:b/>
          <w:sz w:val="28"/>
          <w:szCs w:val="28"/>
        </w:rPr>
        <w:t xml:space="preserve">2.2. Construction and Demolition Waste</w:t>
      </w:r>
    </w:p>
    <w:p xmlns:w="http://schemas.openxmlformats.org/wordprocessingml/2006/main">
      <w:pPr>
        <w:jc w:val="both"/>
        <w:spacing w:after="200"/>
      </w:pPr>
      <w:r>
        <w:rPr>
          <w:sz w:val="24"/>
          <w:szCs w:val="24"/>
        </w:rPr>
        <w:t xml:space="preserve">Construction and demolition (C&amp;D) waste represents approximately 25-30% of total waste generation in developed economies, comprising concrete, masonry, timber, metals, plastics, gypsum, asphalt, and soil materials [19, 31]. The global generation of C&amp;D waste is estimated at 3 billion tonnes annually, with recycling rates varying dramatically between regions: exceeding 90% in the Netherlands and Denmark but remaining below 30% in many developing economies where informal recovery channels predominate [20, 32]. The recycling of C&amp;D waste focuses primarily on concrete crushing to produce recycled concrete aggregate (RCA), reclaimed asphalt pavement (RAP) processing, timber recovery, and metals separation [20, 32]. RCA typically contains 65-75% original aggregate with attached cement mortar, resulting in higher water absorption (3-12% compared to 1-3% for natural aggregates) and slightly lower mechanical strength that can be addressed through surface treatment, carbonation curing, or blending with natural aggregates [21, 33].</w:t>
      </w:r>
    </w:p>
    <w:p xmlns:w="http://schemas.openxmlformats.org/wordprocessingml/2006/main">
      <w:pPr>
        <w:jc w:val="both"/>
        <w:spacing w:after="200"/>
      </w:pPr>
      <w:r>
        <w:rPr>
          <w:sz w:val="24"/>
          <w:szCs w:val="24"/>
        </w:rPr>
        <w:t xml:space="preserve">The quality variability of C&amp;D waste streams necessitates sophisticated sorting and classification systems to ensure consistent recycled material properties. Sensor-based sorting technologies including near-infrared spectroscopy, X-ray fluorescence, laser-induced breakdown spectroscopy, and hyperspectral imaging enable automated identification and separation of different material fractions with purities exceeding 95% [22, 34]. Table 1 presents the composition and key properties of major C&amp;D waste components and their potential recycling applications, highlighting the diversity of materials available for recovery and the specific quality parameters that must be controlled for each application [23, 35].</w:t>
      </w:r>
    </w:p>
    <w:p xmlns:w="http://schemas.openxmlformats.org/wordprocessingml/2006/main">
      <w:pPr>
        <w:jc w:val="both"/>
        <w:spacing w:after="200"/>
      </w:pPr>
      <w:r>
        <w:rPr>
          <w:sz w:val="24"/>
          <w:szCs w:val="24"/>
        </w:rPr>
        <w:t xml:space="preserve">Selective demolition (also termed deconstruction) practices that systematically disassemble buildings component-by-component rather than wholesale demolition can increase material recovery rates from 50-60% to 85-95% while preserving the value of recovered materials through careful handling and segregation [24, 36]. Pre-demolition audits identify the types, quantities, and contamination risks of materials present in a structure, enabling development of material management plans that maximize diversion from landfill while complying with hazardous material regulations [25, 37]. The additional labor cost of selective demolition (typically 15-30% more than conventional demolition) is increasingly offset by reduced disposal fees, revenue from recovered materials, and compliance with mandatory diversion requirements that now exist in many jurisdictions [26, 38].</w:t>
      </w:r>
    </w:p>
    <w:p xmlns:w="http://schemas.openxmlformats.org/wordprocessingml/2006/main">
      <w:pPr>
        <w:jc w:val="center"/>
        <w:spacing w:before="240" w:after="120"/>
      </w:pPr>
      <w:r>
        <w:rPr>
          <w:b/>
          <w:sz w:val="20"/>
          <w:szCs w:val="20"/>
        </w:rPr>
        <w:t xml:space="preserve">Table 1. Composition, properties, and recycling applications of major construction and demolition waste components [23, 31, 35].</w:t>
      </w:r>
    </w:p>
    <w:tbl xmlns:w="http://schemas.openxmlformats.org/wordprocessingml/2006/main">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250"/>
        <w:gridCol w:w="2250"/>
        <w:gridCol w:w="2250"/>
        <w:gridCol w:w="2250"/>
      </w:tblGrid>
      <w:tr>
        <w:tc>
          <w:tcPr>
            <w:tcW w:w="2250" w:type="dxa"/>
            <w:shd w:val="clear" w:color="auto" w:fill="D9D9D9"/>
          </w:tcPr>
          <w:p>
            <w:pPr>
              <w:jc w:val="center"/>
            </w:pPr>
            <w:r>
              <w:rPr>
                <w:b/>
                <w:sz w:val="20"/>
                <w:szCs w:val="20"/>
              </w:rPr>
              <w:t>C&amp;D Waste Component</w:t>
            </w:r>
          </w:p>
        </w:tc>
        <w:tc>
          <w:tcPr>
            <w:tcW w:w="2250" w:type="dxa"/>
            <w:shd w:val="clear" w:color="auto" w:fill="D9D9D9"/>
          </w:tcPr>
          <w:p>
            <w:pPr>
              <w:jc w:val="center"/>
            </w:pPr>
            <w:r>
              <w:rPr>
                <w:b/>
                <w:sz w:val="20"/>
                <w:szCs w:val="20"/>
              </w:rPr>
              <w:t>Typical Fraction (%)</w:t>
            </w:r>
          </w:p>
        </w:tc>
        <w:tc>
          <w:tcPr>
            <w:tcW w:w="2250" w:type="dxa"/>
            <w:shd w:val="clear" w:color="auto" w:fill="D9D9D9"/>
          </w:tcPr>
          <w:p>
            <w:pPr>
              <w:jc w:val="center"/>
            </w:pPr>
            <w:r>
              <w:rPr>
                <w:b/>
                <w:sz w:val="20"/>
                <w:szCs w:val="20"/>
              </w:rPr>
              <w:t>Key Property</w:t>
            </w:r>
          </w:p>
        </w:tc>
        <w:tc>
          <w:tcPr>
            <w:tcW w:w="2250" w:type="dxa"/>
            <w:shd w:val="clear" w:color="auto" w:fill="D9D9D9"/>
          </w:tcPr>
          <w:p>
            <w:pPr>
              <w:jc w:val="center"/>
            </w:pPr>
            <w:r>
              <w:rPr>
                <w:b/>
                <w:sz w:val="20"/>
                <w:szCs w:val="20"/>
              </w:rPr>
              <w:t>Primary Recycled Application</w:t>
            </w:r>
          </w:p>
        </w:tc>
      </w:tr>
      <w:tr>
        <w:tc>
          <w:tcPr>
            <w:tcW w:w="2250" w:type="dxa"/>
          </w:tcPr>
          <w:p>
            <w:pPr>
              <w:jc w:val="center"/>
            </w:pPr>
            <w:r>
              <w:rPr>
                <w:sz w:val="20"/>
                <w:szCs w:val="20"/>
              </w:rPr>
              <w:t>Concrete/masonry</w:t>
            </w:r>
          </w:p>
        </w:tc>
        <w:tc>
          <w:tcPr>
            <w:tcW w:w="2250" w:type="dxa"/>
          </w:tcPr>
          <w:p>
            <w:pPr>
              <w:jc w:val="center"/>
            </w:pPr>
            <w:r>
              <w:rPr>
                <w:sz w:val="20"/>
                <w:szCs w:val="20"/>
              </w:rPr>
              <w:t>40-60</w:t>
            </w:r>
          </w:p>
        </w:tc>
        <w:tc>
          <w:tcPr>
            <w:tcW w:w="2250" w:type="dxa"/>
          </w:tcPr>
          <w:p>
            <w:pPr>
              <w:jc w:val="center"/>
            </w:pPr>
            <w:r>
              <w:rPr>
                <w:sz w:val="20"/>
                <w:szCs w:val="20"/>
              </w:rPr>
              <w:t>Compressive strength retention</w:t>
            </w:r>
          </w:p>
        </w:tc>
        <w:tc>
          <w:tcPr>
            <w:tcW w:w="2250" w:type="dxa"/>
          </w:tcPr>
          <w:p>
            <w:pPr>
              <w:jc w:val="center"/>
            </w:pPr>
            <w:r>
              <w:rPr>
                <w:sz w:val="20"/>
                <w:szCs w:val="20"/>
              </w:rPr>
              <w:t>Recycled aggregate, road base</w:t>
            </w:r>
          </w:p>
        </w:tc>
      </w:tr>
      <w:tr>
        <w:tc>
          <w:tcPr>
            <w:tcW w:w="2250" w:type="dxa"/>
          </w:tcPr>
          <w:p>
            <w:pPr>
              <w:jc w:val="center"/>
            </w:pPr>
            <w:r>
              <w:rPr>
                <w:sz w:val="20"/>
                <w:szCs w:val="20"/>
              </w:rPr>
              <w:t>Asphalt</w:t>
            </w:r>
          </w:p>
        </w:tc>
        <w:tc>
          <w:tcPr>
            <w:tcW w:w="2250" w:type="dxa"/>
          </w:tcPr>
          <w:p>
            <w:pPr>
              <w:jc w:val="center"/>
            </w:pPr>
            <w:r>
              <w:rPr>
                <w:sz w:val="20"/>
                <w:szCs w:val="20"/>
              </w:rPr>
              <w:t>15-25</w:t>
            </w:r>
          </w:p>
        </w:tc>
        <w:tc>
          <w:tcPr>
            <w:tcW w:w="2250" w:type="dxa"/>
          </w:tcPr>
          <w:p>
            <w:pPr>
              <w:jc w:val="center"/>
            </w:pPr>
            <w:r>
              <w:rPr>
                <w:sz w:val="20"/>
                <w:szCs w:val="20"/>
              </w:rPr>
              <w:t>Binder content, gradation</w:t>
            </w:r>
          </w:p>
        </w:tc>
        <w:tc>
          <w:tcPr>
            <w:tcW w:w="2250" w:type="dxa"/>
          </w:tcPr>
          <w:p>
            <w:pPr>
              <w:jc w:val="center"/>
            </w:pPr>
            <w:r>
              <w:rPr>
                <w:sz w:val="20"/>
                <w:szCs w:val="20"/>
              </w:rPr>
              <w:t>Reclaimed asphalt pavement</w:t>
            </w:r>
          </w:p>
        </w:tc>
      </w:tr>
      <w:tr>
        <w:tc>
          <w:tcPr>
            <w:tcW w:w="2250" w:type="dxa"/>
          </w:tcPr>
          <w:p>
            <w:pPr>
              <w:jc w:val="center"/>
            </w:pPr>
            <w:r>
              <w:rPr>
                <w:sz w:val="20"/>
                <w:szCs w:val="20"/>
              </w:rPr>
              <w:t>Timber</w:t>
            </w:r>
          </w:p>
        </w:tc>
        <w:tc>
          <w:tcPr>
            <w:tcW w:w="2250" w:type="dxa"/>
          </w:tcPr>
          <w:p>
            <w:pPr>
              <w:jc w:val="center"/>
            </w:pPr>
            <w:r>
              <w:rPr>
                <w:sz w:val="20"/>
                <w:szCs w:val="20"/>
              </w:rPr>
              <w:t>10-15</w:t>
            </w:r>
          </w:p>
        </w:tc>
        <w:tc>
          <w:tcPr>
            <w:tcW w:w="2250" w:type="dxa"/>
          </w:tcPr>
          <w:p>
            <w:pPr>
              <w:jc w:val="center"/>
            </w:pPr>
            <w:r>
              <w:rPr>
                <w:sz w:val="20"/>
                <w:szCs w:val="20"/>
              </w:rPr>
              <w:t>Moisture, contamination level</w:t>
            </w:r>
          </w:p>
        </w:tc>
        <w:tc>
          <w:tcPr>
            <w:tcW w:w="2250" w:type="dxa"/>
          </w:tcPr>
          <w:p>
            <w:pPr>
              <w:jc w:val="center"/>
            </w:pPr>
            <w:r>
              <w:rPr>
                <w:sz w:val="20"/>
                <w:szCs w:val="20"/>
              </w:rPr>
              <w:t>Particleboard, biomass fuel</w:t>
            </w:r>
          </w:p>
        </w:tc>
      </w:tr>
      <w:tr>
        <w:tc>
          <w:tcPr>
            <w:tcW w:w="2250" w:type="dxa"/>
          </w:tcPr>
          <w:p>
            <w:pPr>
              <w:jc w:val="center"/>
            </w:pPr>
            <w:r>
              <w:rPr>
                <w:sz w:val="20"/>
                <w:szCs w:val="20"/>
              </w:rPr>
              <w:t>Metals (steel, aluminum)</w:t>
            </w:r>
          </w:p>
        </w:tc>
        <w:tc>
          <w:tcPr>
            <w:tcW w:w="2250" w:type="dxa"/>
          </w:tcPr>
          <w:p>
            <w:pPr>
              <w:jc w:val="center"/>
            </w:pPr>
            <w:r>
              <w:rPr>
                <w:sz w:val="20"/>
                <w:szCs w:val="20"/>
              </w:rPr>
              <w:t>5-10</w:t>
            </w:r>
          </w:p>
        </w:tc>
        <w:tc>
          <w:tcPr>
            <w:tcW w:w="2250" w:type="dxa"/>
          </w:tcPr>
          <w:p>
            <w:pPr>
              <w:jc w:val="center"/>
            </w:pPr>
            <w:r>
              <w:rPr>
                <w:sz w:val="20"/>
                <w:szCs w:val="20"/>
              </w:rPr>
              <w:t>Alloy composition, purity</w:t>
            </w:r>
          </w:p>
        </w:tc>
        <w:tc>
          <w:tcPr>
            <w:tcW w:w="2250" w:type="dxa"/>
          </w:tcPr>
          <w:p>
            <w:pPr>
              <w:jc w:val="center"/>
            </w:pPr>
            <w:r>
              <w:rPr>
                <w:sz w:val="20"/>
                <w:szCs w:val="20"/>
              </w:rPr>
              <w:t>Remelting, structural steel</w:t>
            </w:r>
          </w:p>
        </w:tc>
      </w:tr>
      <w:tr>
        <w:tc>
          <w:tcPr>
            <w:tcW w:w="2250" w:type="dxa"/>
          </w:tcPr>
          <w:p>
            <w:pPr>
              <w:jc w:val="center"/>
            </w:pPr>
            <w:r>
              <w:rPr>
                <w:sz w:val="20"/>
                <w:szCs w:val="20"/>
              </w:rPr>
              <w:t>Gypsum</w:t>
            </w:r>
          </w:p>
        </w:tc>
        <w:tc>
          <w:tcPr>
            <w:tcW w:w="2250" w:type="dxa"/>
          </w:tcPr>
          <w:p>
            <w:pPr>
              <w:jc w:val="center"/>
            </w:pPr>
            <w:r>
              <w:rPr>
                <w:sz w:val="20"/>
                <w:szCs w:val="20"/>
              </w:rPr>
              <w:t>3-5</w:t>
            </w:r>
          </w:p>
        </w:tc>
        <w:tc>
          <w:tcPr>
            <w:tcW w:w="2250" w:type="dxa"/>
          </w:tcPr>
          <w:p>
            <w:pPr>
              <w:jc w:val="center"/>
            </w:pPr>
            <w:r>
              <w:rPr>
                <w:sz w:val="20"/>
                <w:szCs w:val="20"/>
              </w:rPr>
              <w:t>Purity, moisture content</w:t>
            </w:r>
          </w:p>
        </w:tc>
        <w:tc>
          <w:tcPr>
            <w:tcW w:w="2250" w:type="dxa"/>
          </w:tcPr>
          <w:p>
            <w:pPr>
              <w:jc w:val="center"/>
            </w:pPr>
            <w:r>
              <w:rPr>
                <w:sz w:val="20"/>
                <w:szCs w:val="20"/>
              </w:rPr>
              <w:t>Plasterboard manufacturing</w:t>
            </w:r>
          </w:p>
        </w:tc>
      </w:tr>
      <w:tr>
        <w:tc>
          <w:tcPr>
            <w:tcW w:w="2250" w:type="dxa"/>
          </w:tcPr>
          <w:p>
            <w:pPr>
              <w:jc w:val="center"/>
            </w:pPr>
            <w:r>
              <w:rPr>
                <w:sz w:val="20"/>
                <w:szCs w:val="20"/>
              </w:rPr>
              <w:t>Plastics/packaging</w:t>
            </w:r>
          </w:p>
        </w:tc>
        <w:tc>
          <w:tcPr>
            <w:tcW w:w="2250" w:type="dxa"/>
          </w:tcPr>
          <w:p>
            <w:pPr>
              <w:jc w:val="center"/>
            </w:pPr>
            <w:r>
              <w:rPr>
                <w:sz w:val="20"/>
                <w:szCs w:val="20"/>
              </w:rPr>
              <w:t>2-5</w:t>
            </w:r>
          </w:p>
        </w:tc>
        <w:tc>
          <w:tcPr>
            <w:tcW w:w="2250" w:type="dxa"/>
          </w:tcPr>
          <w:p>
            <w:pPr>
              <w:jc w:val="center"/>
            </w:pPr>
            <w:r>
              <w:rPr>
                <w:sz w:val="20"/>
                <w:szCs w:val="20"/>
              </w:rPr>
              <w:t>Polymer type, degradation</w:t>
            </w:r>
          </w:p>
        </w:tc>
        <w:tc>
          <w:tcPr>
            <w:tcW w:w="2250" w:type="dxa"/>
          </w:tcPr>
          <w:p>
            <w:pPr>
              <w:jc w:val="center"/>
            </w:pPr>
            <w:r>
              <w:rPr>
                <w:sz w:val="20"/>
                <w:szCs w:val="20"/>
              </w:rPr>
              <w:t>Plastic lumber, aggregates</w:t>
            </w:r>
          </w:p>
        </w:tc>
      </w:tr>
      <w:tr>
        <w:tc>
          <w:tcPr>
            <w:tcW w:w="2250" w:type="dxa"/>
          </w:tcPr>
          <w:p>
            <w:pPr>
              <w:jc w:val="center"/>
            </w:pPr>
            <w:r>
              <w:rPr>
                <w:sz w:val="20"/>
                <w:szCs w:val="20"/>
              </w:rPr>
              <w:t>Soil/excavation</w:t>
            </w:r>
          </w:p>
        </w:tc>
        <w:tc>
          <w:tcPr>
            <w:tcW w:w="2250" w:type="dxa"/>
          </w:tcPr>
          <w:p>
            <w:pPr>
              <w:jc w:val="center"/>
            </w:pPr>
            <w:r>
              <w:rPr>
                <w:sz w:val="20"/>
                <w:szCs w:val="20"/>
              </w:rPr>
              <w:t>5-15</w:t>
            </w:r>
          </w:p>
        </w:tc>
        <w:tc>
          <w:tcPr>
            <w:tcW w:w="2250" w:type="dxa"/>
          </w:tcPr>
          <w:p>
            <w:pPr>
              <w:jc w:val="center"/>
            </w:pPr>
            <w:r>
              <w:rPr>
                <w:sz w:val="20"/>
                <w:szCs w:val="20"/>
              </w:rPr>
              <w:t>Contaminant levels, grading</w:t>
            </w:r>
          </w:p>
        </w:tc>
        <w:tc>
          <w:tcPr>
            <w:tcW w:w="2250" w:type="dxa"/>
          </w:tcPr>
          <w:p>
            <w:pPr>
              <w:jc w:val="center"/>
            </w:pPr>
            <w:r>
              <w:rPr>
                <w:sz w:val="20"/>
                <w:szCs w:val="20"/>
              </w:rPr>
              <w:t>Fill material, landscaping</w:t>
            </w:r>
          </w:p>
        </w:tc>
      </w:tr>
    </w:tbl>
    <w:p xmlns:w="http://schemas.openxmlformats.org/wordprocessingml/2006/main">
      <w:pPr>
        <w:spacing w:after="200"/>
      </w:pPr>
    </w:p>
    <w:p xmlns:w="http://schemas.openxmlformats.org/wordprocessingml/2006/main">
      <w:pPr>
        <w:pStyle w:val="Heading2"/>
        <w:jc w:val="start"/>
        <w:spacing w:after="240"/>
      </w:pPr>
      <w:r>
        <w:rPr>
          <w:b/>
          <w:sz w:val="28"/>
          <w:szCs w:val="28"/>
        </w:rPr>
        <w:t xml:space="preserve">2.3. Agricultural and Biomass Residues</w:t>
      </w:r>
    </w:p>
    <w:p xmlns:w="http://schemas.openxmlformats.org/wordprocessingml/2006/main">
      <w:pPr>
        <w:jc w:val="both"/>
        <w:spacing w:after="200"/>
      </w:pPr>
      <w:r>
        <w:rPr>
          <w:sz w:val="24"/>
          <w:szCs w:val="24"/>
        </w:rPr>
        <w:t xml:space="preserve">The valorization of agricultural residues represents a particularly compelling opportunity for sustainable material development, combining waste diversion from open-field burning (which causes severe air pollution in many developing countries) with the creation of high-value functional materials from annually renewable feedstocks [23, 35]. The chemical composition of agricultural residues, rich in cellulose (30-50%), hemicellulose (20-35%), lignin (15-30%), and inorganic minerals (particularly silica in rice husks at 15-20%), provides diverse building blocks for material synthesis through thermal, chemical, and biological conversion pathways [24, 36].</w:t>
      </w:r>
    </w:p>
    <w:p xmlns:w="http://schemas.openxmlformats.org/wordprocessingml/2006/main">
      <w:pPr>
        <w:jc w:val="both"/>
        <w:spacing w:after="200"/>
      </w:pPr>
      <w:r>
        <w:rPr>
          <w:sz w:val="24"/>
          <w:szCs w:val="24"/>
        </w:rPr>
        <w:t xml:space="preserve">Agricultural residues including crop straws, husks, shells, bagasse, and livestock wastes represent a vast and renewable resource for material production, with global annual generation exceeding 5 billion tonnes [24, 36]. Rice husk ash (RHA), produced by controlled combustion of rice husks, contains 85-95% amorphous silica and demonstrates excellent pozzolanic activity suitable for cement replacement at levels of 10-25% [25, 37]. Sugarcane bagasse ash similarly provides supplementary cementitious properties while bagasse fibers serve as reinforcement in composite panels and insulation boards [26, 38]. Coconut coir, jute fibers, hemp shiv, and bamboo processing residues find applications as natural fiber reinforcement in polymer and cementitious composites, offering advantages of biodegradability, low density, and acceptable specific mechanical properties [27, 39].</w:t>
      </w:r>
    </w:p>
    <w:p xmlns:w="http://schemas.openxmlformats.org/wordprocessingml/2006/main">
      <w:pPr>
        <w:jc w:val="both"/>
        <w:spacing w:after="200"/>
      </w:pPr>
      <w:r>
        <w:rPr>
          <w:sz w:val="24"/>
          <w:szCs w:val="24"/>
        </w:rPr>
        <w:t xml:space="preserve">The conversion of lignocellulosic agricultural waste into cellulose nanocrystals (CNCs) and cellulose nanofibers (CNFs) through acid hydrolysis, TEMPO-mediated oxidation, or mechanical fibrillation represents a high-value valorization pathway producing nanomaterials with exceptional mechanical properties (elastic modulus 100-150 GPa, tensile strength 7-8 GPa) suitable for polymer reinforcement, barrier coatings, and biomedical applications [25, 37]. Lignin extracted as a by-product of pulp and paper manufacturing (approximately 50 million tonnes produced annually) is increasingly recognized as a versatile precursor for carbon fibers, polyurethane foams, epoxy resins, and phenol-formaldehyde adhesive replacements, offering renewable alternatives to petroleum-derived chemicals [26, 38].</w:t>
      </w:r>
    </w:p>
    <w:p xmlns:w="http://schemas.openxmlformats.org/wordprocessingml/2006/main">
      <w:pPr>
        <w:pStyle w:val="Heading2"/>
        <w:jc w:val="start"/>
        <w:spacing w:after="240"/>
      </w:pPr>
      <w:r>
        <w:rPr>
          <w:b/>
          <w:sz w:val="28"/>
          <w:szCs w:val="28"/>
        </w:rPr>
        <w:t xml:space="preserve">2.4. Electronic Waste and Waste Plastics</w:t>
      </w:r>
    </w:p>
    <w:p xmlns:w="http://schemas.openxmlformats.org/wordprocessingml/2006/main">
      <w:pPr>
        <w:jc w:val="both"/>
        <w:spacing w:after="200"/>
      </w:pPr>
      <w:r>
        <w:rPr>
          <w:sz w:val="24"/>
          <w:szCs w:val="24"/>
        </w:rPr>
        <w:t xml:space="preserve">Electronic waste (e-waste) generation reached 53.6 million tonnes globally in 2019 and is projected to exceed 74 million tonnes by 2030, containing valuable metals (gold, silver, copper, palladium, platinum) alongside hazardous substances (lead, mercury, cadmium, brominated flame retardants) that necessitate specialized processing [28, 40]. Urban mining of e-waste can recover precious metals at concentrations 40-800 times higher than natural ores, with one tonne of printed circuit boards containing approximately 250 g gold, 1 kg silver, and 100 kg copper [29, 41]. Hydrometallurgical and biotechnological approaches for selective metal recovery are increasingly preferred over pyrometallurgical methods due to lower energy consumption, reduced emissions, and higher selectivity for individual metal species [30, 42].</w:t>
      </w:r>
    </w:p>
    <w:p xmlns:w="http://schemas.openxmlformats.org/wordprocessingml/2006/main">
      <w:pPr>
        <w:jc w:val="both"/>
        <w:spacing w:after="200"/>
      </w:pPr>
      <w:r>
        <w:rPr>
          <w:sz w:val="24"/>
          <w:szCs w:val="24"/>
        </w:rPr>
        <w:t xml:space="preserve">Waste plastics present a particularly complex recycling challenge due to the diversity of polymer types, additive packages, contamination levels, and degradation states encountered in post-consumer waste streams [31, 43]. Of the approximately 400 million tonnes of plastic produced globally each year, less than 10% is effectively recycled into new products, with the remainder incinerated (14%), landfilled (40%), or leaked into the environment (32%), creating urgent environmental and public health challenges particularly in marine ecosystems [32, 44]. Mechanical recycling of thermoplastics (PET, HDPE, PP, LDPE) through sorting, washing, shredding, and remelting remains the dominant approach but suffers from property degradation with each recycling cycle, limiting the number of closed-loop iterations [32, 44]. Chemical recycling technologies including pyrolysis, gasification, solvolysis, and depolymerization offer pathways to convert mixed or contaminated plastic waste back to monomers or petrochemical feedstocks, potentially enabling infinite recycling without quality loss [33, 45]. As detailed in Figure 3, the three principal recycling technology pathways encompass mechanical processing, chemical transformation, and thermal conversion, each with distinct feedstock requirements, product qualities, and economic characteristics [34, 46].</w:t>
      </w:r>
    </w:p>
    <w:p xmlns:w="http://schemas.openxmlformats.org/wordprocessingml/2006/main">
      <w:pPr>
        <w:pStyle w:val="Heading1"/>
        <w:jc w:val="start"/>
        <w:spacing w:after="240"/>
      </w:pPr>
      <w:r>
        <w:rPr>
          <w:b/>
          <w:sz w:val="32"/>
          <w:szCs w:val="32"/>
        </w:rPr>
        <w:t xml:space="preserve">3. Advanced Recycling Technologies and Material Enhancement</w:t>
      </w:r>
    </w:p>
    <w:p xmlns:w="http://schemas.openxmlformats.org/wordprocessingml/2006/main">
      <w:pPr>
        <w:pStyle w:val="Heading2"/>
        <w:jc w:val="start"/>
        <w:spacing w:after="240"/>
      </w:pPr>
      <w:r>
        <w:rPr>
          <w:b/>
          <w:sz w:val="28"/>
          <w:szCs w:val="28"/>
        </w:rPr>
        <w:t xml:space="preserve">3.1. Mechanical, Chemical, and Thermal Processing</w:t>
      </w:r>
    </w:p>
    <w:p xmlns:w="http://schemas.openxmlformats.org/wordprocessingml/2006/main">
      <w:pPr>
        <w:jc w:val="both"/>
        <w:spacing w:after="200"/>
      </w:pPr>
      <w:r>
        <w:rPr>
          <w:sz w:val="24"/>
          <w:szCs w:val="24"/>
        </w:rPr>
        <w:t xml:space="preserve">The advancement of recycling technologies has progressed significantly beyond conventional mechanical processing to encompass sophisticated chemical and thermal conversion pathways capable of handling increasingly complex and contaminated waste streams [34, 46]. As illustrated in Figure 3, mechanical recycling involves size reduction, classification, and reconsolidation of waste materials while preserving their chemical identity, chemical recycling breaks down materials to molecular building blocks for reconstruction, and thermal processing uses high temperatures to transform waste into energy carriers or inorganic products [35, 47].</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5"/>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3. Advanced recycling technology pathways: (a) mechanical recycling showing size reduction and material recovery, (b) chemical recycling with reactor-based depolymerization and solvent extraction, and (c) thermal processing through high-temperature conversion.</w:t>
      </w:r>
    </w:p>
    <w:p xmlns:w="http://schemas.openxmlformats.org/wordprocessingml/2006/main">
      <w:pPr>
        <w:jc w:val="both"/>
        <w:spacing w:after="200"/>
      </w:pPr>
      <w:r>
        <w:rPr>
          <w:sz w:val="24"/>
          <w:szCs w:val="24"/>
        </w:rPr>
        <w:t xml:space="preserve">Advanced mechanical recycling technologies incorporate intelligent sorting systems, cryogenic grinding for rubber and composite materials, electrostatic separation for mixed plastics, and density-based flotation for multi-material streams [36, 48]. High-shear melt processing with reactive compatibilizers enables the recycling of mixed polymer waste streams without prior separation, producing blended materials with acceptable engineering properties for non-structural applications [37, 49]. Mechanochemical processing, combining mechanical energy with chemical reactions through ball milling and extrusion, can simultaneously decontaminate and modify recycled materials, removing volatile organic compounds while grafting functional groups that improve interfacial adhesion in composite applications [38, 50].</w:t>
      </w:r>
    </w:p>
    <w:p xmlns:w="http://schemas.openxmlformats.org/wordprocessingml/2006/main">
      <w:pPr>
        <w:jc w:val="both"/>
        <w:spacing w:after="200"/>
      </w:pPr>
      <w:r>
        <w:rPr>
          <w:sz w:val="24"/>
          <w:szCs w:val="24"/>
        </w:rPr>
        <w:t xml:space="preserve">Supercritical fluid extraction represents an emerging green technology for recycling multi-layer and contaminated materials, utilizing supercritical CO2 (above 31 degrees C and 73 atm) as a tunable solvent that can selectively dissolve polymer layers, extract additives, and remove contaminants without generating liquid waste streams [39, 51]. This approach is particularly promising for food packaging waste (multi-layer films) and contaminated post-consumer plastics where conventional washing and sorting are insufficient to achieve food-grade quality standards [40, 52]. Microwave-assisted recycling of composite materials enables selective heating of conductive components (carbon fibers, metal inserts) to temperatures sufficient for matrix decomposition while leaving the reinforcement intact, achieving fiber recovery rates of 95-99% with minimal property degradation compared to 80-90% for conventional pyrolysis [41, 53].</w:t>
      </w:r>
    </w:p>
    <w:p xmlns:w="http://schemas.openxmlformats.org/wordprocessingml/2006/main">
      <w:pPr>
        <w:jc w:val="both"/>
        <w:spacing w:after="200"/>
      </w:pPr>
      <w:r>
        <w:rPr>
          <w:sz w:val="24"/>
          <w:szCs w:val="24"/>
        </w:rPr>
        <w:t xml:space="preserve">Chemical recycling technologies have matured significantly in recent years, with several processes reaching commercial demonstration scale. Glycolysis and methanolysis of PET waste produce bis(2-hydroxyethyl) terephthalate (BHET) and dimethyl terephthalate (DMT) respectively, which can be repolymerized to virgin-quality PET suitable for food-contact applications [39, 51]. Catalytic pyrolysis of mixed plastic waste at 400-600 degrees C over zeolite or mesoporous catalysts produces liquid hydrocarbons with compositions similar to naphtha feedstock for steam crackers, effectively closing the loop to petrochemical production [40, 52]. Solvent-based purification (dissolution-precipitation) selectively dissolves target polymers from mixed waste, removing pigments, fillers, and contaminants while recovering pure polymer for high-value applications [41, 53]. Enzymatic recycling of PET and polyamides using engineered enzymes (PETase, cutinase variants) at mild temperatures (50-65 degrees C) represents a breakthrough in biological recycling that produces monomers with energy consumption 50-70% lower than thermochemical alternatives, though current reaction rates remain too slow for industrial throughputs and ongoing enzyme engineering efforts aim to achieve commercially viable productivities within 3-5 years [42, 54].</w:t>
      </w:r>
    </w:p>
    <w:p xmlns:w="http://schemas.openxmlformats.org/wordprocessingml/2006/main">
      <w:pPr>
        <w:jc w:val="both"/>
        <w:spacing w:after="200"/>
      </w:pPr>
      <w:r>
        <w:rPr>
          <w:sz w:val="24"/>
          <w:szCs w:val="24"/>
        </w:rPr>
        <w:t xml:space="preserve">Table 2 provides a comparative assessment of the three recycling technology pathways across key performance metrics including feedstock flexibility, product quality, energy consumption, economic viability, and technology readiness, as reported in recent comprehensive reviews and techno-economic analyses [34, 42, 46, 47].</w:t>
      </w:r>
    </w:p>
    <w:p xmlns:w="http://schemas.openxmlformats.org/wordprocessingml/2006/main">
      <w:pPr>
        <w:jc w:val="center"/>
        <w:spacing w:before="240" w:after="120"/>
      </w:pPr>
      <w:r>
        <w:rPr>
          <w:b/>
          <w:sz w:val="20"/>
          <w:szCs w:val="20"/>
        </w:rPr>
        <w:t xml:space="preserve">Table 2. Comparative assessment of mechanical, chemical, and thermal recycling technologies across key performance indicators [34, 42, 46, 47].</w:t>
      </w:r>
    </w:p>
    <w:tbl xmlns:w="http://schemas.openxmlformats.org/wordprocessingml/2006/main">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250"/>
        <w:gridCol w:w="2250"/>
        <w:gridCol w:w="2250"/>
        <w:gridCol w:w="2250"/>
      </w:tblGrid>
      <w:tr>
        <w:tc>
          <w:tcPr>
            <w:tcW w:w="2250" w:type="dxa"/>
            <w:shd w:val="clear" w:color="auto" w:fill="D9D9D9"/>
          </w:tcPr>
          <w:p>
            <w:pPr>
              <w:jc w:val="center"/>
            </w:pPr>
            <w:r>
              <w:rPr>
                <w:b/>
                <w:sz w:val="20"/>
                <w:szCs w:val="20"/>
              </w:rPr>
              <w:t>Parameter</w:t>
            </w:r>
          </w:p>
        </w:tc>
        <w:tc>
          <w:tcPr>
            <w:tcW w:w="2250" w:type="dxa"/>
            <w:shd w:val="clear" w:color="auto" w:fill="D9D9D9"/>
          </w:tcPr>
          <w:p>
            <w:pPr>
              <w:jc w:val="center"/>
            </w:pPr>
            <w:r>
              <w:rPr>
                <w:b/>
                <w:sz w:val="20"/>
                <w:szCs w:val="20"/>
              </w:rPr>
              <w:t>Mechanical Recycling</w:t>
            </w:r>
          </w:p>
        </w:tc>
        <w:tc>
          <w:tcPr>
            <w:tcW w:w="2250" w:type="dxa"/>
            <w:shd w:val="clear" w:color="auto" w:fill="D9D9D9"/>
          </w:tcPr>
          <w:p>
            <w:pPr>
              <w:jc w:val="center"/>
            </w:pPr>
            <w:r>
              <w:rPr>
                <w:b/>
                <w:sz w:val="20"/>
                <w:szCs w:val="20"/>
              </w:rPr>
              <w:t>Chemical Recycling</w:t>
            </w:r>
          </w:p>
        </w:tc>
        <w:tc>
          <w:tcPr>
            <w:tcW w:w="2250" w:type="dxa"/>
            <w:shd w:val="clear" w:color="auto" w:fill="D9D9D9"/>
          </w:tcPr>
          <w:p>
            <w:pPr>
              <w:jc w:val="center"/>
            </w:pPr>
            <w:r>
              <w:rPr>
                <w:b/>
                <w:sz w:val="20"/>
                <w:szCs w:val="20"/>
              </w:rPr>
              <w:t>Thermal Processing</w:t>
            </w:r>
          </w:p>
        </w:tc>
      </w:tr>
      <w:tr>
        <w:tc>
          <w:tcPr>
            <w:tcW w:w="2250" w:type="dxa"/>
          </w:tcPr>
          <w:p>
            <w:pPr>
              <w:jc w:val="center"/>
            </w:pPr>
            <w:r>
              <w:rPr>
                <w:sz w:val="20"/>
                <w:szCs w:val="20"/>
              </w:rPr>
              <w:t>Feedstock flexibility</w:t>
            </w:r>
          </w:p>
        </w:tc>
        <w:tc>
          <w:tcPr>
            <w:tcW w:w="2250" w:type="dxa"/>
          </w:tcPr>
          <w:p>
            <w:pPr>
              <w:jc w:val="center"/>
            </w:pPr>
            <w:r>
              <w:rPr>
                <w:sz w:val="20"/>
                <w:szCs w:val="20"/>
              </w:rPr>
              <w:t>Low (single-stream)</w:t>
            </w:r>
          </w:p>
        </w:tc>
        <w:tc>
          <w:tcPr>
            <w:tcW w:w="2250" w:type="dxa"/>
          </w:tcPr>
          <w:p>
            <w:pPr>
              <w:jc w:val="center"/>
            </w:pPr>
            <w:r>
              <w:rPr>
                <w:sz w:val="20"/>
                <w:szCs w:val="20"/>
              </w:rPr>
              <w:t>Medium-High</w:t>
            </w:r>
          </w:p>
        </w:tc>
        <w:tc>
          <w:tcPr>
            <w:tcW w:w="2250" w:type="dxa"/>
          </w:tcPr>
          <w:p>
            <w:pPr>
              <w:jc w:val="center"/>
            </w:pPr>
            <w:r>
              <w:rPr>
                <w:sz w:val="20"/>
                <w:szCs w:val="20"/>
              </w:rPr>
              <w:t>High (mixed waste)</w:t>
            </w:r>
          </w:p>
        </w:tc>
      </w:tr>
      <w:tr>
        <w:tc>
          <w:tcPr>
            <w:tcW w:w="2250" w:type="dxa"/>
          </w:tcPr>
          <w:p>
            <w:pPr>
              <w:jc w:val="center"/>
            </w:pPr>
            <w:r>
              <w:rPr>
                <w:sz w:val="20"/>
                <w:szCs w:val="20"/>
              </w:rPr>
              <w:t>Product quality</w:t>
            </w:r>
          </w:p>
        </w:tc>
        <w:tc>
          <w:tcPr>
            <w:tcW w:w="2250" w:type="dxa"/>
          </w:tcPr>
          <w:p>
            <w:pPr>
              <w:jc w:val="center"/>
            </w:pPr>
            <w:r>
              <w:rPr>
                <w:sz w:val="20"/>
                <w:szCs w:val="20"/>
              </w:rPr>
              <w:t>Downcycled (degraded)</w:t>
            </w:r>
          </w:p>
        </w:tc>
        <w:tc>
          <w:tcPr>
            <w:tcW w:w="2250" w:type="dxa"/>
          </w:tcPr>
          <w:p>
            <w:pPr>
              <w:jc w:val="center"/>
            </w:pPr>
            <w:r>
              <w:rPr>
                <w:sz w:val="20"/>
                <w:szCs w:val="20"/>
              </w:rPr>
              <w:t>Virgin-equivalent</w:t>
            </w:r>
          </w:p>
        </w:tc>
        <w:tc>
          <w:tcPr>
            <w:tcW w:w="2250" w:type="dxa"/>
          </w:tcPr>
          <w:p>
            <w:pPr>
              <w:jc w:val="center"/>
            </w:pPr>
            <w:r>
              <w:rPr>
                <w:sz w:val="20"/>
                <w:szCs w:val="20"/>
              </w:rPr>
              <w:t>Energy/chemicals</w:t>
            </w:r>
          </w:p>
        </w:tc>
      </w:tr>
      <w:tr>
        <w:tc>
          <w:tcPr>
            <w:tcW w:w="2250" w:type="dxa"/>
          </w:tcPr>
          <w:p>
            <w:pPr>
              <w:jc w:val="center"/>
            </w:pPr>
            <w:r>
              <w:rPr>
                <w:sz w:val="20"/>
                <w:szCs w:val="20"/>
              </w:rPr>
              <w:t>Energy consumption (MJ/kg)</w:t>
            </w:r>
          </w:p>
        </w:tc>
        <w:tc>
          <w:tcPr>
            <w:tcW w:w="2250" w:type="dxa"/>
          </w:tcPr>
          <w:p>
            <w:pPr>
              <w:jc w:val="center"/>
            </w:pPr>
            <w:r>
              <w:rPr>
                <w:sz w:val="20"/>
                <w:szCs w:val="20"/>
              </w:rPr>
              <w:t>1-3</w:t>
            </w:r>
          </w:p>
        </w:tc>
        <w:tc>
          <w:tcPr>
            <w:tcW w:w="2250" w:type="dxa"/>
          </w:tcPr>
          <w:p>
            <w:pPr>
              <w:jc w:val="center"/>
            </w:pPr>
            <w:r>
              <w:rPr>
                <w:sz w:val="20"/>
                <w:szCs w:val="20"/>
              </w:rPr>
              <w:t>5-15</w:t>
            </w:r>
          </w:p>
        </w:tc>
        <w:tc>
          <w:tcPr>
            <w:tcW w:w="2250" w:type="dxa"/>
          </w:tcPr>
          <w:p>
            <w:pPr>
              <w:jc w:val="center"/>
            </w:pPr>
            <w:r>
              <w:rPr>
                <w:sz w:val="20"/>
                <w:szCs w:val="20"/>
              </w:rPr>
              <w:t>8-20</w:t>
            </w:r>
          </w:p>
        </w:tc>
      </w:tr>
      <w:tr>
        <w:tc>
          <w:tcPr>
            <w:tcW w:w="2250" w:type="dxa"/>
          </w:tcPr>
          <w:p>
            <w:pPr>
              <w:jc w:val="center"/>
            </w:pPr>
            <w:r>
              <w:rPr>
                <w:sz w:val="20"/>
                <w:szCs w:val="20"/>
              </w:rPr>
              <w:t>Capital cost (relative)</w:t>
            </w:r>
          </w:p>
        </w:tc>
        <w:tc>
          <w:tcPr>
            <w:tcW w:w="2250" w:type="dxa"/>
          </w:tcPr>
          <w:p>
            <w:pPr>
              <w:jc w:val="center"/>
            </w:pPr>
            <w:r>
              <w:rPr>
                <w:sz w:val="20"/>
                <w:szCs w:val="20"/>
              </w:rPr>
              <w:t>Low</w:t>
            </w:r>
          </w:p>
        </w:tc>
        <w:tc>
          <w:tcPr>
            <w:tcW w:w="2250" w:type="dxa"/>
          </w:tcPr>
          <w:p>
            <w:pPr>
              <w:jc w:val="center"/>
            </w:pPr>
            <w:r>
              <w:rPr>
                <w:sz w:val="20"/>
                <w:szCs w:val="20"/>
              </w:rPr>
              <w:t>High</w:t>
            </w:r>
          </w:p>
        </w:tc>
        <w:tc>
          <w:tcPr>
            <w:tcW w:w="2250" w:type="dxa"/>
          </w:tcPr>
          <w:p>
            <w:pPr>
              <w:jc w:val="center"/>
            </w:pPr>
            <w:r>
              <w:rPr>
                <w:sz w:val="20"/>
                <w:szCs w:val="20"/>
              </w:rPr>
              <w:t>Medium-High</w:t>
            </w:r>
          </w:p>
        </w:tc>
      </w:tr>
      <w:tr>
        <w:tc>
          <w:tcPr>
            <w:tcW w:w="2250" w:type="dxa"/>
          </w:tcPr>
          <w:p>
            <w:pPr>
              <w:jc w:val="center"/>
            </w:pPr>
            <w:r>
              <w:rPr>
                <w:sz w:val="20"/>
                <w:szCs w:val="20"/>
              </w:rPr>
              <w:t>Technology readiness (TRL)</w:t>
            </w:r>
          </w:p>
        </w:tc>
        <w:tc>
          <w:tcPr>
            <w:tcW w:w="2250" w:type="dxa"/>
          </w:tcPr>
          <w:p>
            <w:pPr>
              <w:jc w:val="center"/>
            </w:pPr>
            <w:r>
              <w:rPr>
                <w:sz w:val="20"/>
                <w:szCs w:val="20"/>
              </w:rPr>
              <w:t>9 (commercial)</w:t>
            </w:r>
          </w:p>
        </w:tc>
        <w:tc>
          <w:tcPr>
            <w:tcW w:w="2250" w:type="dxa"/>
          </w:tcPr>
          <w:p>
            <w:pPr>
              <w:jc w:val="center"/>
            </w:pPr>
            <w:r>
              <w:rPr>
                <w:sz w:val="20"/>
                <w:szCs w:val="20"/>
              </w:rPr>
              <w:t>6-8 (demo-commercial)</w:t>
            </w:r>
          </w:p>
        </w:tc>
        <w:tc>
          <w:tcPr>
            <w:tcW w:w="2250" w:type="dxa"/>
          </w:tcPr>
          <w:p>
            <w:pPr>
              <w:jc w:val="center"/>
            </w:pPr>
            <w:r>
              <w:rPr>
                <w:sz w:val="20"/>
                <w:szCs w:val="20"/>
              </w:rPr>
              <w:t>7-9 (commercial)</w:t>
            </w:r>
          </w:p>
        </w:tc>
      </w:tr>
      <w:tr>
        <w:tc>
          <w:tcPr>
            <w:tcW w:w="2250" w:type="dxa"/>
          </w:tcPr>
          <w:p>
            <w:pPr>
              <w:jc w:val="center"/>
            </w:pPr>
            <w:r>
              <w:rPr>
                <w:sz w:val="20"/>
                <w:szCs w:val="20"/>
              </w:rPr>
              <w:t>CO2 reduction vs virgin (%)</w:t>
            </w:r>
          </w:p>
        </w:tc>
        <w:tc>
          <w:tcPr>
            <w:tcW w:w="2250" w:type="dxa"/>
          </w:tcPr>
          <w:p>
            <w:pPr>
              <w:jc w:val="center"/>
            </w:pPr>
            <w:r>
              <w:rPr>
                <w:sz w:val="20"/>
                <w:szCs w:val="20"/>
              </w:rPr>
              <w:t>30-60</w:t>
            </w:r>
          </w:p>
        </w:tc>
        <w:tc>
          <w:tcPr>
            <w:tcW w:w="2250" w:type="dxa"/>
          </w:tcPr>
          <w:p>
            <w:pPr>
              <w:jc w:val="center"/>
            </w:pPr>
            <w:r>
              <w:rPr>
                <w:sz w:val="20"/>
                <w:szCs w:val="20"/>
              </w:rPr>
              <w:t>50-80</w:t>
            </w:r>
          </w:p>
        </w:tc>
        <w:tc>
          <w:tcPr>
            <w:tcW w:w="2250" w:type="dxa"/>
          </w:tcPr>
          <w:p>
            <w:pPr>
              <w:jc w:val="center"/>
            </w:pPr>
            <w:r>
              <w:rPr>
                <w:sz w:val="20"/>
                <w:szCs w:val="20"/>
              </w:rPr>
              <w:t>20-50</w:t>
            </w:r>
          </w:p>
        </w:tc>
      </w:tr>
      <w:tr>
        <w:tc>
          <w:tcPr>
            <w:tcW w:w="2250" w:type="dxa"/>
          </w:tcPr>
          <w:p>
            <w:pPr>
              <w:jc w:val="center"/>
            </w:pPr>
            <w:r>
              <w:rPr>
                <w:sz w:val="20"/>
                <w:szCs w:val="20"/>
              </w:rPr>
              <w:t>Contamination tolerance</w:t>
            </w:r>
          </w:p>
        </w:tc>
        <w:tc>
          <w:tcPr>
            <w:tcW w:w="2250" w:type="dxa"/>
          </w:tcPr>
          <w:p>
            <w:pPr>
              <w:jc w:val="center"/>
            </w:pPr>
            <w:r>
              <w:rPr>
                <w:sz w:val="20"/>
                <w:szCs w:val="20"/>
              </w:rPr>
              <w:t>Low</w:t>
            </w:r>
          </w:p>
        </w:tc>
        <w:tc>
          <w:tcPr>
            <w:tcW w:w="2250" w:type="dxa"/>
          </w:tcPr>
          <w:p>
            <w:pPr>
              <w:jc w:val="center"/>
            </w:pPr>
            <w:r>
              <w:rPr>
                <w:sz w:val="20"/>
                <w:szCs w:val="20"/>
              </w:rPr>
              <w:t>Medium</w:t>
            </w:r>
          </w:p>
        </w:tc>
        <w:tc>
          <w:tcPr>
            <w:tcW w:w="2250" w:type="dxa"/>
          </w:tcPr>
          <w:p>
            <w:pPr>
              <w:jc w:val="center"/>
            </w:pPr>
            <w:r>
              <w:rPr>
                <w:sz w:val="20"/>
                <w:szCs w:val="20"/>
              </w:rPr>
              <w:t>High</w:t>
            </w:r>
          </w:p>
        </w:tc>
      </w:tr>
    </w:tbl>
    <w:p xmlns:w="http://schemas.openxmlformats.org/wordprocessingml/2006/main">
      <w:pPr>
        <w:spacing w:after="200"/>
      </w:pPr>
    </w:p>
    <w:p xmlns:w="http://schemas.openxmlformats.org/wordprocessingml/2006/main">
      <w:pPr>
        <w:pStyle w:val="Heading2"/>
        <w:jc w:val="start"/>
        <w:spacing w:after="240"/>
      </w:pPr>
      <w:r>
        <w:rPr>
          <w:b/>
          <w:sz w:val="28"/>
          <w:szCs w:val="28"/>
        </w:rPr>
        <w:t xml:space="preserve">3.2. Nanotechnology for Recycled Material Enhancement</w:t>
      </w:r>
    </w:p>
    <w:p xmlns:w="http://schemas.openxmlformats.org/wordprocessingml/2006/main">
      <w:pPr>
        <w:jc w:val="both"/>
        <w:spacing w:after="200"/>
      </w:pPr>
      <w:r>
        <w:rPr>
          <w:sz w:val="24"/>
          <w:szCs w:val="24"/>
        </w:rPr>
        <w:t xml:space="preserve">Nanotechnology offers transformative potential for upgrading the properties of recycled materials to meet or exceed the performance of virgin equivalents, addressing the quality degradation that often limits recycled material applications [42, 54]. As depicted in Figure 6, nano-modification approaches include surface functionalization with nanoparticles, incorporation of carbon nanomaterials (graphene, carbon nanotubes) as reinforcing fillers, and application of machine learning algorithms to optimize material formulations [43, 55]. The addition of 0.5-3 wt% nano-silica to recycled concrete aggregate concrete improves compressive strength by 10-25% and reduces water absorption by 15-30% through densification of the interfacial transition zone between old and new cement paste [44, 56].</w:t>
      </w:r>
    </w:p>
    <w:p xmlns:w="http://schemas.openxmlformats.org/wordprocessingml/2006/main">
      <w:pPr>
        <w:jc w:val="both"/>
        <w:spacing w:after="200"/>
      </w:pPr>
      <w:r>
        <w:rPr>
          <w:sz w:val="24"/>
          <w:szCs w:val="24"/>
        </w:rPr>
        <w:t xml:space="preserve">Carbon nanotube (CNT) and graphene nanoplatelet (GNP) reinforcement of recycled polymers can recover or exceed the mechanical properties of virgin materials at loading levels of 0.1-5 wt%, with simultaneous improvements in thermal conductivity, electrical conductivity, and barrier properties [45, 57]. For recycled HDPE, the addition of 2 wt% multi-walled carbon nanotubes increases tensile strength by 35%, Young's modulus by 50%, and thermal conductivity by 120%, enabling applications in automotive components and electrical conduits that would otherwise require virgin material [46, 58]. Nano-clay (montmorillonite) intercalation in recycled PET improves oxygen barrier properties by 60-80%, approaching food-grade requirements and expanding the application scope of recycled bottle-to-bottle systems [47, 59]. The functionalization of recycled aggregate surfaces with nano-CaCO3 or nano-TiO2 coatings creates a densified interfacial layer that bridges micro-cracks and fills surface porosity, achieving compressive strength recovery of 15-30% relative to natural aggregate concrete while imparting additional photocatalytic self-cleaning capabilities to exposed concrete surfaces [48, 60]. Cellulose nanocrystals extracted from waste paper and cardboard serve as biodegradable reinforcement in recycled polymer matrices, providing improvements in tensile strength of 25-40% and stiffness of 30-50% while maintaining full biodegradability at end-of-life [49, 61].</w:t>
      </w:r>
    </w:p>
    <w:p xmlns:w="http://schemas.openxmlformats.org/wordprocessingml/2006/main">
      <w:pPr>
        <w:pStyle w:val="Heading2"/>
        <w:jc w:val="start"/>
        <w:spacing w:after="240"/>
      </w:pPr>
      <w:r>
        <w:rPr>
          <w:b/>
          <w:sz w:val="28"/>
          <w:szCs w:val="28"/>
        </w:rPr>
        <w:t xml:space="preserve">3.3. Additive Manufacturing with Recycled Materials</w:t>
      </w:r>
    </w:p>
    <w:p xmlns:w="http://schemas.openxmlformats.org/wordprocessingml/2006/main">
      <w:pPr>
        <w:jc w:val="both"/>
        <w:spacing w:after="200"/>
      </w:pPr>
      <w:r>
        <w:rPr>
          <w:sz w:val="24"/>
          <w:szCs w:val="24"/>
        </w:rPr>
        <w:t xml:space="preserve">Additive manufacturing (AM) or 3D printing represents a paradigm-shifting approach to utilizing recycled materials, enabling the direct fabrication of complex geometries from waste-derived feedstocks without the tooling constraints of conventional manufacturing [48, 60]. Fused deposition modeling (FDM) using filaments produced from recycled PET, ABS, PP, and HDPE has demonstrated mechanical properties within 80-95% of virgin material equivalents when properly processed with chain extenders and compatibilizers [49, 61]. Large-format additive manufacturing with recycled polymer pellets eliminates the filament production step, enabling direct processing of recycled granulates into structural components, furniture, and architectural elements at deposition rates exceeding 10 kg/hour [50, 62].</w:t>
      </w:r>
    </w:p>
    <w:p xmlns:w="http://schemas.openxmlformats.org/wordprocessingml/2006/main">
      <w:pPr>
        <w:jc w:val="both"/>
        <w:spacing w:after="200"/>
      </w:pPr>
      <w:r>
        <w:rPr>
          <w:sz w:val="24"/>
          <w:szCs w:val="24"/>
        </w:rPr>
        <w:t xml:space="preserve">Concrete 3D printing incorporating recycled aggregates, supplementary cementitious materials (fly ash, slag, silica fume), and recycled fiber reinforcement enables the construction of building components with reduced material consumption (30-60% less waste compared to conventional formwork construction) while simultaneously valorizing multiple waste streams [51, 63]. Metal additive manufacturing using recycled titanium, stainless steel, and aluminum powders produced from machining swarf, failed parts, and end-of-life components demonstrates mechanical properties comparable to virgin powder equivalents when proper gas atomization and quality control procedures are followed [52, 53].</w:t>
      </w:r>
    </w:p>
    <w:p xmlns:w="http://schemas.openxmlformats.org/wordprocessingml/2006/main">
      <w:pPr>
        <w:jc w:val="both"/>
        <w:spacing w:after="200"/>
      </w:pPr>
      <w:r>
        <w:rPr>
          <w:sz w:val="24"/>
          <w:szCs w:val="24"/>
        </w:rPr>
        <w:t xml:space="preserve">The concept of distributed recycling for additive manufacturing (DRAM) envisions local recycling hubs where community-generated plastic waste is processed into 3D printing feedstock for local production of functional parts, tools, and consumer goods, creating localized circular material flows that reduce both transportation emissions and dependence on centralized manufacturing infrastructure [48, 54]. Open-source hardware designs for filament extruders and recycling systems have democratized access to plastic recycling technology, enabling maker communities, educational institutions, and developing-country entrepreneurs to transform local waste streams into manufacturing feedstock [49, 55]. Quality control challenges in DRAM systems are being addressed through in-line monitoring (diameter measurement, void detection), material blending optimization algorithms, and standardized testing protocols for recycled filament certification [50, 56].</w:t>
      </w:r>
    </w:p>
    <w:p xmlns:w="http://schemas.openxmlformats.org/wordprocessingml/2006/main">
      <w:pPr>
        <w:pStyle w:val="Heading1"/>
        <w:jc w:val="start"/>
        <w:spacing w:after="240"/>
      </w:pPr>
      <w:r>
        <w:rPr>
          <w:b/>
          <w:sz w:val="32"/>
          <w:szCs w:val="32"/>
        </w:rPr>
        <w:t xml:space="preserve">4. Applications in Sustainable Construction and Infrastructure</w:t>
      </w:r>
    </w:p>
    <w:p xmlns:w="http://schemas.openxmlformats.org/wordprocessingml/2006/main">
      <w:pPr>
        <w:pStyle w:val="Heading2"/>
        <w:jc w:val="start"/>
        <w:spacing w:after="240"/>
      </w:pPr>
      <w:r>
        <w:rPr>
          <w:b/>
          <w:sz w:val="28"/>
          <w:szCs w:val="28"/>
        </w:rPr>
        <w:t xml:space="preserve">4.1. Concrete and Cementitious Applications</w:t>
      </w:r>
    </w:p>
    <w:p xmlns:w="http://schemas.openxmlformats.org/wordprocessingml/2006/main">
      <w:pPr>
        <w:jc w:val="both"/>
        <w:spacing w:after="200"/>
      </w:pPr>
      <w:r>
        <w:rPr>
          <w:sz w:val="24"/>
          <w:szCs w:val="24"/>
        </w:rPr>
        <w:t xml:space="preserve">The construction industry consumes approximately 40-50% of global raw material extraction and accounts for 38% of energy-related CO2 emissions, making it a primary target for waste-derived material integration [13, 25]. As illustrated in Figure 4, recycled and waste-derived materials find applications throughout the building envelope including structural concrete with recycled aggregates, cement replacement with industrial pozzolans, insulation from waste glass and textile fibers, and road base layers incorporating reclaimed asphalt and slag [14, 26]. The substitution of Portland cement with supplementary cementitious materials (SCMs) including fly ash (15-35% replacement), GGBFS (30-70% replacement), and silica fume (5-10% replacement) represents the most impactful route for reducing the carbon intensity of concrete, given that cement production alone accounts for approximately 8% of global CO2 emissions [15, 27].</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6"/>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4. Applications of waste-derived materials in building construction showing fly ash concrete in structural walls, recycled aggregate in foundation layers, slag cement in load-bearing elements, and waste glass-derived insulation in the building envelope.</w:t>
      </w:r>
    </w:p>
    <w:p xmlns:w="http://schemas.openxmlformats.org/wordprocessingml/2006/main">
      <w:pPr>
        <w:jc w:val="both"/>
        <w:spacing w:after="200"/>
      </w:pPr>
      <w:r>
        <w:rPr>
          <w:sz w:val="24"/>
          <w:szCs w:val="24"/>
        </w:rPr>
        <w:t xml:space="preserve">Geopolymer concrete, synthesized through alkaline activation of fly ash, slag, or metakaolin without Portland cement, offers a revolutionary approach to construction material production with 40-80% lower CO2 emissions compared to ordinary Portland cement (OPC) concrete [16, 28]. The geopolymerization reaction involves dissolution of aluminosilicate precursors in alkaline solutions (NaOH, Na2SiO3, KOH), followed by condensation and polycondensation to form a three-dimensional aluminosilicate network with compressive strengths ranging from 30 to 80 MPa depending on formulation and curing conditions [17, 29]. Recent developments in ambient-cured geopolymers, one-part (just-add-water) formulations, and hybrid cement-geopolymer systems are overcoming the practical barriers to commercial adoption including sensitivity to raw material variability, shrinkage cracking, and the requirement for heat curing [18, 30].</w:t>
      </w:r>
    </w:p>
    <w:p xmlns:w="http://schemas.openxmlformats.org/wordprocessingml/2006/main">
      <w:pPr>
        <w:jc w:val="both"/>
        <w:spacing w:after="200"/>
      </w:pPr>
      <w:r>
        <w:rPr>
          <w:sz w:val="24"/>
          <w:szCs w:val="24"/>
        </w:rPr>
        <w:t xml:space="preserve">Alkali-activated materials (AAMs) derived from industrial wastes extend beyond traditional geopolymers to encompass high-calcium systems (slag-based) that set and harden under ambient conditions similar to Portland cement, offering a more practical drop-in replacement for conventional concrete in most applications [19, 31]. The performance of AAMs in aggressive environments (sulfate attack, chloride penetration, acid exposure) generally equals or exceeds OPC concrete, making them particularly suitable for marine structures, chemical storage, and sewer infrastructure where durability is critical [20, 32]. Current research focuses on understanding the long-term durability mechanisms, developing robust performance-based specifications, and establishing the design codes and standards necessary for structural applications in buildings and bridges [21, 33].</w:t>
      </w:r>
    </w:p>
    <w:p xmlns:w="http://schemas.openxmlformats.org/wordprocessingml/2006/main">
      <w:pPr>
        <w:jc w:val="both"/>
        <w:spacing w:after="200"/>
      </w:pPr>
      <w:r>
        <w:rPr>
          <w:sz w:val="24"/>
          <w:szCs w:val="24"/>
        </w:rPr>
        <w:t xml:space="preserve">Recycled concrete aggregate (RCA) incorporation in structural concrete has progressed from empirical trial-and-error approaches to science-based mix design methodologies that account for the unique properties of RCA including residual cement content, increased porosity, and weakened interfacial transition zones [19, 31]. Carbonation treatment of RCA through exposure to concentrated CO2 simultaneously improves aggregate properties (reducing water absorption by 20-50% and increasing density) and permanently sequesters CO2 within the aggregate matrix at rates of 10-25 kg CO2 per tonne of RCA [20, 32]. Table 3 summarizes the mechanical and durability properties of concrete incorporating various waste-derived materials at different replacement levels, demonstrating the feasibility of achieving structural-grade performance with high recycled content [21, 33, 35].</w:t>
      </w:r>
    </w:p>
    <w:p xmlns:w="http://schemas.openxmlformats.org/wordprocessingml/2006/main">
      <w:pPr>
        <w:jc w:val="both"/>
        <w:spacing w:after="200"/>
      </w:pPr>
      <w:r>
        <w:rPr>
          <w:sz w:val="24"/>
          <w:szCs w:val="24"/>
        </w:rPr>
        <w:t xml:space="preserve">The waste glass industry generates approximately 27 million tonnes of container glass waste annually in Europe alone, of which approximately 76% is currently recycled back into container manufacturing through closed-loop systems [22, 34]. However, mixed-color and contaminated glass streams that cannot meet container specifications represent opportunities for alternative valorization pathways including glass aggregate in concrete (replacing natural sand), glass pozzolan (finely ground glass with particle sizes below 75 micrometers exhibiting pozzolanic reactivity), foam glass insulation panels, and glass fiber production for composite reinforcement [23, 35]. Studies have demonstrated that ground waste glass at 20% cement replacement achieves compressive strengths comparable to fly ash concrete while providing superior alkali-silica reaction resistance when particle sizes are controlled below 300 micrometers [24, 36].</w:t>
      </w:r>
    </w:p>
    <w:p xmlns:w="http://schemas.openxmlformats.org/wordprocessingml/2006/main">
      <w:pPr>
        <w:jc w:val="center"/>
        <w:spacing w:before="240" w:after="120"/>
      </w:pPr>
      <w:r>
        <w:rPr>
          <w:b/>
          <w:sz w:val="20"/>
          <w:szCs w:val="20"/>
        </w:rPr>
        <w:t xml:space="preserve">Table 3. Mechanical and durability properties of concrete with waste-derived materials at various replacement levels [21, 27, 33, 35].</w:t>
      </w:r>
    </w:p>
    <w:tbl xmlns:w="http://schemas.openxmlformats.org/wordprocessingml/2006/main">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00"/>
        <w:gridCol w:w="1800"/>
        <w:gridCol w:w="1800"/>
        <w:gridCol w:w="1800"/>
        <w:gridCol w:w="1800"/>
      </w:tblGrid>
      <w:tr>
        <w:tc>
          <w:tcPr>
            <w:tcW w:w="1800" w:type="dxa"/>
            <w:shd w:val="clear" w:color="auto" w:fill="D9D9D9"/>
          </w:tcPr>
          <w:p>
            <w:pPr>
              <w:jc w:val="center"/>
            </w:pPr>
            <w:r>
              <w:rPr>
                <w:b/>
                <w:sz w:val="20"/>
                <w:szCs w:val="20"/>
              </w:rPr>
              <w:t>Waste Material</w:t>
            </w:r>
          </w:p>
        </w:tc>
        <w:tc>
          <w:tcPr>
            <w:tcW w:w="1800" w:type="dxa"/>
            <w:shd w:val="clear" w:color="auto" w:fill="D9D9D9"/>
          </w:tcPr>
          <w:p>
            <w:pPr>
              <w:jc w:val="center"/>
            </w:pPr>
            <w:r>
              <w:rPr>
                <w:b/>
                <w:sz w:val="20"/>
                <w:szCs w:val="20"/>
              </w:rPr>
              <w:t>Replacement Level (%)</w:t>
            </w:r>
          </w:p>
        </w:tc>
        <w:tc>
          <w:tcPr>
            <w:tcW w:w="1800" w:type="dxa"/>
            <w:shd w:val="clear" w:color="auto" w:fill="D9D9D9"/>
          </w:tcPr>
          <w:p>
            <w:pPr>
              <w:jc w:val="center"/>
            </w:pPr>
            <w:r>
              <w:rPr>
                <w:b/>
                <w:sz w:val="20"/>
                <w:szCs w:val="20"/>
              </w:rPr>
              <w:t>28-day Strength (MPa)</w:t>
            </w:r>
          </w:p>
        </w:tc>
        <w:tc>
          <w:tcPr>
            <w:tcW w:w="1800" w:type="dxa"/>
            <w:shd w:val="clear" w:color="auto" w:fill="D9D9D9"/>
          </w:tcPr>
          <w:p>
            <w:pPr>
              <w:jc w:val="center"/>
            </w:pPr>
            <w:r>
              <w:rPr>
                <w:b/>
                <w:sz w:val="20"/>
                <w:szCs w:val="20"/>
              </w:rPr>
              <w:t>Durability Rating</w:t>
            </w:r>
          </w:p>
        </w:tc>
        <w:tc>
          <w:tcPr>
            <w:tcW w:w="1800" w:type="dxa"/>
            <w:shd w:val="clear" w:color="auto" w:fill="D9D9D9"/>
          </w:tcPr>
          <w:p>
            <w:pPr>
              <w:jc w:val="center"/>
            </w:pPr>
            <w:r>
              <w:rPr>
                <w:b/>
                <w:sz w:val="20"/>
                <w:szCs w:val="20"/>
              </w:rPr>
              <w:t>CO2 Reduction (%)</w:t>
            </w:r>
          </w:p>
        </w:tc>
      </w:tr>
      <w:tr>
        <w:tc>
          <w:tcPr>
            <w:tcW w:w="1800" w:type="dxa"/>
          </w:tcPr>
          <w:p>
            <w:pPr>
              <w:jc w:val="center"/>
            </w:pPr>
            <w:r>
              <w:rPr>
                <w:sz w:val="20"/>
                <w:szCs w:val="20"/>
              </w:rPr>
              <w:t>Fly ash (Class F)</w:t>
            </w:r>
          </w:p>
        </w:tc>
        <w:tc>
          <w:tcPr>
            <w:tcW w:w="1800" w:type="dxa"/>
          </w:tcPr>
          <w:p>
            <w:pPr>
              <w:jc w:val="center"/>
            </w:pPr>
            <w:r>
              <w:rPr>
                <w:sz w:val="20"/>
                <w:szCs w:val="20"/>
              </w:rPr>
              <w:t>25-35</w:t>
            </w:r>
          </w:p>
        </w:tc>
        <w:tc>
          <w:tcPr>
            <w:tcW w:w="1800" w:type="dxa"/>
          </w:tcPr>
          <w:p>
            <w:pPr>
              <w:jc w:val="center"/>
            </w:pPr>
            <w:r>
              <w:rPr>
                <w:sz w:val="20"/>
                <w:szCs w:val="20"/>
              </w:rPr>
              <w:t>35-50</w:t>
            </w:r>
          </w:p>
        </w:tc>
        <w:tc>
          <w:tcPr>
            <w:tcW w:w="1800" w:type="dxa"/>
          </w:tcPr>
          <w:p>
            <w:pPr>
              <w:jc w:val="center"/>
            </w:pPr>
            <w:r>
              <w:rPr>
                <w:sz w:val="20"/>
                <w:szCs w:val="20"/>
              </w:rPr>
              <w:t>Good-Excellent</w:t>
            </w:r>
          </w:p>
        </w:tc>
        <w:tc>
          <w:tcPr>
            <w:tcW w:w="1800" w:type="dxa"/>
          </w:tcPr>
          <w:p>
            <w:pPr>
              <w:jc w:val="center"/>
            </w:pPr>
            <w:r>
              <w:rPr>
                <w:sz w:val="20"/>
                <w:szCs w:val="20"/>
              </w:rPr>
              <w:t>15-25</w:t>
            </w:r>
          </w:p>
        </w:tc>
      </w:tr>
      <w:tr>
        <w:tc>
          <w:tcPr>
            <w:tcW w:w="1800" w:type="dxa"/>
          </w:tcPr>
          <w:p>
            <w:pPr>
              <w:jc w:val="center"/>
            </w:pPr>
            <w:r>
              <w:rPr>
                <w:sz w:val="20"/>
                <w:szCs w:val="20"/>
              </w:rPr>
              <w:t>GGBFS</w:t>
            </w:r>
          </w:p>
        </w:tc>
        <w:tc>
          <w:tcPr>
            <w:tcW w:w="1800" w:type="dxa"/>
          </w:tcPr>
          <w:p>
            <w:pPr>
              <w:jc w:val="center"/>
            </w:pPr>
            <w:r>
              <w:rPr>
                <w:sz w:val="20"/>
                <w:szCs w:val="20"/>
              </w:rPr>
              <w:t>50-70</w:t>
            </w:r>
          </w:p>
        </w:tc>
        <w:tc>
          <w:tcPr>
            <w:tcW w:w="1800" w:type="dxa"/>
          </w:tcPr>
          <w:p>
            <w:pPr>
              <w:jc w:val="center"/>
            </w:pPr>
            <w:r>
              <w:rPr>
                <w:sz w:val="20"/>
                <w:szCs w:val="20"/>
              </w:rPr>
              <w:t>40-60</w:t>
            </w:r>
          </w:p>
        </w:tc>
        <w:tc>
          <w:tcPr>
            <w:tcW w:w="1800" w:type="dxa"/>
          </w:tcPr>
          <w:p>
            <w:pPr>
              <w:jc w:val="center"/>
            </w:pPr>
            <w:r>
              <w:rPr>
                <w:sz w:val="20"/>
                <w:szCs w:val="20"/>
              </w:rPr>
              <w:t>Excellent</w:t>
            </w:r>
          </w:p>
        </w:tc>
        <w:tc>
          <w:tcPr>
            <w:tcW w:w="1800" w:type="dxa"/>
          </w:tcPr>
          <w:p>
            <w:pPr>
              <w:jc w:val="center"/>
            </w:pPr>
            <w:r>
              <w:rPr>
                <w:sz w:val="20"/>
                <w:szCs w:val="20"/>
              </w:rPr>
              <w:t>30-50</w:t>
            </w:r>
          </w:p>
        </w:tc>
      </w:tr>
      <w:tr>
        <w:tc>
          <w:tcPr>
            <w:tcW w:w="1800" w:type="dxa"/>
          </w:tcPr>
          <w:p>
            <w:pPr>
              <w:jc w:val="center"/>
            </w:pPr>
            <w:r>
              <w:rPr>
                <w:sz w:val="20"/>
                <w:szCs w:val="20"/>
              </w:rPr>
              <w:t>Silica fume</w:t>
            </w:r>
          </w:p>
        </w:tc>
        <w:tc>
          <w:tcPr>
            <w:tcW w:w="1800" w:type="dxa"/>
          </w:tcPr>
          <w:p>
            <w:pPr>
              <w:jc w:val="center"/>
            </w:pPr>
            <w:r>
              <w:rPr>
                <w:sz w:val="20"/>
                <w:szCs w:val="20"/>
              </w:rPr>
              <w:t>5-10</w:t>
            </w:r>
          </w:p>
        </w:tc>
        <w:tc>
          <w:tcPr>
            <w:tcW w:w="1800" w:type="dxa"/>
          </w:tcPr>
          <w:p>
            <w:pPr>
              <w:jc w:val="center"/>
            </w:pPr>
            <w:r>
              <w:rPr>
                <w:sz w:val="20"/>
                <w:szCs w:val="20"/>
              </w:rPr>
              <w:t>55-75</w:t>
            </w:r>
          </w:p>
        </w:tc>
        <w:tc>
          <w:tcPr>
            <w:tcW w:w="1800" w:type="dxa"/>
          </w:tcPr>
          <w:p>
            <w:pPr>
              <w:jc w:val="center"/>
            </w:pPr>
            <w:r>
              <w:rPr>
                <w:sz w:val="20"/>
                <w:szCs w:val="20"/>
              </w:rPr>
              <w:t>Excellent</w:t>
            </w:r>
          </w:p>
        </w:tc>
        <w:tc>
          <w:tcPr>
            <w:tcW w:w="1800" w:type="dxa"/>
          </w:tcPr>
          <w:p>
            <w:pPr>
              <w:jc w:val="center"/>
            </w:pPr>
            <w:r>
              <w:rPr>
                <w:sz w:val="20"/>
                <w:szCs w:val="20"/>
              </w:rPr>
              <w:t>5-8</w:t>
            </w:r>
          </w:p>
        </w:tc>
      </w:tr>
      <w:tr>
        <w:tc>
          <w:tcPr>
            <w:tcW w:w="1800" w:type="dxa"/>
          </w:tcPr>
          <w:p>
            <w:pPr>
              <w:jc w:val="center"/>
            </w:pPr>
            <w:r>
              <w:rPr>
                <w:sz w:val="20"/>
                <w:szCs w:val="20"/>
              </w:rPr>
              <w:t>RCA (coarse)</w:t>
            </w:r>
          </w:p>
        </w:tc>
        <w:tc>
          <w:tcPr>
            <w:tcW w:w="1800" w:type="dxa"/>
          </w:tcPr>
          <w:p>
            <w:pPr>
              <w:jc w:val="center"/>
            </w:pPr>
            <w:r>
              <w:rPr>
                <w:sz w:val="20"/>
                <w:szCs w:val="20"/>
              </w:rPr>
              <w:t>30-100</w:t>
            </w:r>
          </w:p>
        </w:tc>
        <w:tc>
          <w:tcPr>
            <w:tcW w:w="1800" w:type="dxa"/>
          </w:tcPr>
          <w:p>
            <w:pPr>
              <w:jc w:val="center"/>
            </w:pPr>
            <w:r>
              <w:rPr>
                <w:sz w:val="20"/>
                <w:szCs w:val="20"/>
              </w:rPr>
              <w:t>25-45</w:t>
            </w:r>
          </w:p>
        </w:tc>
        <w:tc>
          <w:tcPr>
            <w:tcW w:w="1800" w:type="dxa"/>
          </w:tcPr>
          <w:p>
            <w:pPr>
              <w:jc w:val="center"/>
            </w:pPr>
            <w:r>
              <w:rPr>
                <w:sz w:val="20"/>
                <w:szCs w:val="20"/>
              </w:rPr>
              <w:t>Moderate-Good</w:t>
            </w:r>
          </w:p>
        </w:tc>
        <w:tc>
          <w:tcPr>
            <w:tcW w:w="1800" w:type="dxa"/>
          </w:tcPr>
          <w:p>
            <w:pPr>
              <w:jc w:val="center"/>
            </w:pPr>
            <w:r>
              <w:rPr>
                <w:sz w:val="20"/>
                <w:szCs w:val="20"/>
              </w:rPr>
              <w:t>10-20</w:t>
            </w:r>
          </w:p>
        </w:tc>
      </w:tr>
      <w:tr>
        <w:tc>
          <w:tcPr>
            <w:tcW w:w="1800" w:type="dxa"/>
          </w:tcPr>
          <w:p>
            <w:pPr>
              <w:jc w:val="center"/>
            </w:pPr>
            <w:r>
              <w:rPr>
                <w:sz w:val="20"/>
                <w:szCs w:val="20"/>
              </w:rPr>
              <w:t>Waste glass (fine)</w:t>
            </w:r>
          </w:p>
        </w:tc>
        <w:tc>
          <w:tcPr>
            <w:tcW w:w="1800" w:type="dxa"/>
          </w:tcPr>
          <w:p>
            <w:pPr>
              <w:jc w:val="center"/>
            </w:pPr>
            <w:r>
              <w:rPr>
                <w:sz w:val="20"/>
                <w:szCs w:val="20"/>
              </w:rPr>
              <w:t>10-25</w:t>
            </w:r>
          </w:p>
        </w:tc>
        <w:tc>
          <w:tcPr>
            <w:tcW w:w="1800" w:type="dxa"/>
          </w:tcPr>
          <w:p>
            <w:pPr>
              <w:jc w:val="center"/>
            </w:pPr>
            <w:r>
              <w:rPr>
                <w:sz w:val="20"/>
                <w:szCs w:val="20"/>
              </w:rPr>
              <w:t>30-50</w:t>
            </w:r>
          </w:p>
        </w:tc>
        <w:tc>
          <w:tcPr>
            <w:tcW w:w="1800" w:type="dxa"/>
          </w:tcPr>
          <w:p>
            <w:pPr>
              <w:jc w:val="center"/>
            </w:pPr>
            <w:r>
              <w:rPr>
                <w:sz w:val="20"/>
                <w:szCs w:val="20"/>
              </w:rPr>
              <w:t>Good</w:t>
            </w:r>
          </w:p>
        </w:tc>
        <w:tc>
          <w:tcPr>
            <w:tcW w:w="1800" w:type="dxa"/>
          </w:tcPr>
          <w:p>
            <w:pPr>
              <w:jc w:val="center"/>
            </w:pPr>
            <w:r>
              <w:rPr>
                <w:sz w:val="20"/>
                <w:szCs w:val="20"/>
              </w:rPr>
              <w:t>8-15</w:t>
            </w:r>
          </w:p>
        </w:tc>
      </w:tr>
      <w:tr>
        <w:tc>
          <w:tcPr>
            <w:tcW w:w="1800" w:type="dxa"/>
          </w:tcPr>
          <w:p>
            <w:pPr>
              <w:jc w:val="center"/>
            </w:pPr>
            <w:r>
              <w:rPr>
                <w:sz w:val="20"/>
                <w:szCs w:val="20"/>
              </w:rPr>
              <w:t>Rice husk ash</w:t>
            </w:r>
          </w:p>
        </w:tc>
        <w:tc>
          <w:tcPr>
            <w:tcW w:w="1800" w:type="dxa"/>
          </w:tcPr>
          <w:p>
            <w:pPr>
              <w:jc w:val="center"/>
            </w:pPr>
            <w:r>
              <w:rPr>
                <w:sz w:val="20"/>
                <w:szCs w:val="20"/>
              </w:rPr>
              <w:t>10-20</w:t>
            </w:r>
          </w:p>
        </w:tc>
        <w:tc>
          <w:tcPr>
            <w:tcW w:w="1800" w:type="dxa"/>
          </w:tcPr>
          <w:p>
            <w:pPr>
              <w:jc w:val="center"/>
            </w:pPr>
            <w:r>
              <w:rPr>
                <w:sz w:val="20"/>
                <w:szCs w:val="20"/>
              </w:rPr>
              <w:t>35-50</w:t>
            </w:r>
          </w:p>
        </w:tc>
        <w:tc>
          <w:tcPr>
            <w:tcW w:w="1800" w:type="dxa"/>
          </w:tcPr>
          <w:p>
            <w:pPr>
              <w:jc w:val="center"/>
            </w:pPr>
            <w:r>
              <w:rPr>
                <w:sz w:val="20"/>
                <w:szCs w:val="20"/>
              </w:rPr>
              <w:t>Good</w:t>
            </w:r>
          </w:p>
        </w:tc>
        <w:tc>
          <w:tcPr>
            <w:tcW w:w="1800" w:type="dxa"/>
          </w:tcPr>
          <w:p>
            <w:pPr>
              <w:jc w:val="center"/>
            </w:pPr>
            <w:r>
              <w:rPr>
                <w:sz w:val="20"/>
                <w:szCs w:val="20"/>
              </w:rPr>
              <w:t>8-15</w:t>
            </w:r>
          </w:p>
        </w:tc>
      </w:tr>
      <w:tr>
        <w:tc>
          <w:tcPr>
            <w:tcW w:w="1800" w:type="dxa"/>
          </w:tcPr>
          <w:p>
            <w:pPr>
              <w:jc w:val="center"/>
            </w:pPr>
            <w:r>
              <w:rPr>
                <w:sz w:val="20"/>
                <w:szCs w:val="20"/>
              </w:rPr>
              <w:t>Red mud</w:t>
            </w:r>
          </w:p>
        </w:tc>
        <w:tc>
          <w:tcPr>
            <w:tcW w:w="1800" w:type="dxa"/>
          </w:tcPr>
          <w:p>
            <w:pPr>
              <w:jc w:val="center"/>
            </w:pPr>
            <w:r>
              <w:rPr>
                <w:sz w:val="20"/>
                <w:szCs w:val="20"/>
              </w:rPr>
              <w:t>5-15</w:t>
            </w:r>
          </w:p>
        </w:tc>
        <w:tc>
          <w:tcPr>
            <w:tcW w:w="1800" w:type="dxa"/>
          </w:tcPr>
          <w:p>
            <w:pPr>
              <w:jc w:val="center"/>
            </w:pPr>
            <w:r>
              <w:rPr>
                <w:sz w:val="20"/>
                <w:szCs w:val="20"/>
              </w:rPr>
              <w:t>30-45</w:t>
            </w:r>
          </w:p>
        </w:tc>
        <w:tc>
          <w:tcPr>
            <w:tcW w:w="1800" w:type="dxa"/>
          </w:tcPr>
          <w:p>
            <w:pPr>
              <w:jc w:val="center"/>
            </w:pPr>
            <w:r>
              <w:rPr>
                <w:sz w:val="20"/>
                <w:szCs w:val="20"/>
              </w:rPr>
              <w:t>Moderate</w:t>
            </w:r>
          </w:p>
        </w:tc>
        <w:tc>
          <w:tcPr>
            <w:tcW w:w="1800" w:type="dxa"/>
          </w:tcPr>
          <w:p>
            <w:pPr>
              <w:jc w:val="center"/>
            </w:pPr>
            <w:r>
              <w:rPr>
                <w:sz w:val="20"/>
                <w:szCs w:val="20"/>
              </w:rPr>
              <w:t>5-10</w:t>
            </w:r>
          </w:p>
        </w:tc>
      </w:tr>
    </w:tbl>
    <w:p xmlns:w="http://schemas.openxmlformats.org/wordprocessingml/2006/main">
      <w:pPr>
        <w:spacing w:after="200"/>
      </w:pPr>
    </w:p>
    <w:p xmlns:w="http://schemas.openxmlformats.org/wordprocessingml/2006/main">
      <w:pPr>
        <w:pStyle w:val="Heading2"/>
        <w:jc w:val="start"/>
        <w:spacing w:after="240"/>
      </w:pPr>
      <w:r>
        <w:rPr>
          <w:b/>
          <w:sz w:val="28"/>
          <w:szCs w:val="28"/>
        </w:rPr>
        <w:t xml:space="preserve">4.2. Transportation and Automotive Applications</w:t>
      </w:r>
    </w:p>
    <w:p xmlns:w="http://schemas.openxmlformats.org/wordprocessingml/2006/main">
      <w:pPr>
        <w:jc w:val="both"/>
        <w:spacing w:after="200"/>
      </w:pPr>
      <w:r>
        <w:rPr>
          <w:sz w:val="24"/>
          <w:szCs w:val="24"/>
        </w:rPr>
        <w:t xml:space="preserve">The transportation sector represents one of the most dynamic growth areas for recycled material adoption, driven by concurrent pressures to reduce vehicle mass for improved fuel efficiency, minimize manufacturing environmental impact, and comply with increasingly stringent end-of-life recovery regulations [22, 34]. The European End-of-Life Vehicle Directive mandates 95% recovery and 85% recycling/reuse by mass, creating strong incentives for manufacturers to design vehicles with recyclable materials and to incorporate recycled content in new production [23, 35]. The average modern vehicle contains approximately 1,000-1,200 kg of materials including 60-65% metals, 15-20% plastics, 5-10% glass, and 5-10% rubber, all of which present recycling opportunities at end-of-life [24, 36].</w:t>
      </w:r>
    </w:p>
    <w:p xmlns:w="http://schemas.openxmlformats.org/wordprocessingml/2006/main">
      <w:pPr>
        <w:jc w:val="both"/>
        <w:spacing w:after="200"/>
      </w:pPr>
      <w:r>
        <w:rPr>
          <w:sz w:val="24"/>
          <w:szCs w:val="24"/>
        </w:rPr>
        <w:t xml:space="preserve">The automotive industry increasingly incorporates recycled and waste-derived materials to reduce vehicle weight, lower manufacturing carbon footprint, and meet end-of-life vehicle (ELV) recycling mandates requiring 95% recovery by mass in the European Union [22, 34]. Recycled carbon fiber recovered from aerospace manufacturing waste and end-of-life aircraft through pyrolysis or solvolysis retains 85-95% of the tensile strength of virgin fiber and finds applications in automotive body panels, interior components, and structural reinforcements at 50-70% of the cost of virgin material [23, 36]. Natural fiber composites incorporating waste agricultural fibers (flax, hemp, kenaf, jute) in recycled polypropylene matrices are used extensively in automotive door panels, dashboard components, and trunk liners, offering 30-40% weight reduction compared to glass fiber equivalents [24, 37].</w:t>
      </w:r>
    </w:p>
    <w:p xmlns:w="http://schemas.openxmlformats.org/wordprocessingml/2006/main">
      <w:pPr>
        <w:jc w:val="both"/>
        <w:spacing w:after="200"/>
      </w:pPr>
      <w:r>
        <w:rPr>
          <w:sz w:val="24"/>
          <w:szCs w:val="24"/>
        </w:rPr>
        <w:t xml:space="preserve">Reclaimed rubber from end-of-life tires (approximately 1 billion tires discarded annually) undergoes devulcanization, mechanical grinding, or pyrolysis to produce crumb rubber, reclaimed rubber, carbon black, and pyrolysis oil [25, 38]. Rubberized asphalt incorporating 15-25% crumb rubber by weight of binder improves pavement fatigue resistance, noise reduction, and rutting resistance while diverting significant tire waste volumes from landfills [26, 39]. Waste tire rubber particles also serve as lightweight aggregate in concrete, improving impact resistance and energy absorption while reducing density for non-structural applications such as sound barriers, playground surfaces, and vibration isolation pads [27, 40].</w:t>
      </w:r>
    </w:p>
    <w:p xmlns:w="http://schemas.openxmlformats.org/wordprocessingml/2006/main">
      <w:pPr>
        <w:jc w:val="both"/>
        <w:spacing w:after="200"/>
      </w:pPr>
      <w:r>
        <w:rPr>
          <w:sz w:val="24"/>
          <w:szCs w:val="24"/>
        </w:rPr>
        <w:t xml:space="preserve">The railroad industry utilizes recycled plastic lumber (produced from mixed waste plastics that cannot be mechanically recycled into single-polymer products) as an alternative to creosote-treated timber for railway sleepers, marine pilings, and outdoor furniture [28, 41]. Recycled plastic lumber offers advantages of rot resistance, dimensional stability, and elimination of hazardous preservative chemicals, with service lives exceeding 50 years compared to 15-25 years for treated wood [29, 42]. In aerospace manufacturing, the recovery of carbon fiber from end-of-life aircraft structures and manufacturing offcuts through controlled pyrolysis at 450-600 degrees C yields chopped and milled fibers suitable for injection molding compounds, non-woven mats for semi-structural composites, and filament winding of pressure vessels and pipes [30, 43].</w:t>
      </w:r>
    </w:p>
    <w:p xmlns:w="http://schemas.openxmlformats.org/wordprocessingml/2006/main">
      <w:pPr>
        <w:pStyle w:val="Heading2"/>
        <w:jc w:val="start"/>
        <w:spacing w:after="240"/>
      </w:pPr>
      <w:r>
        <w:rPr>
          <w:b/>
          <w:sz w:val="28"/>
          <w:szCs w:val="28"/>
        </w:rPr>
        <w:t xml:space="preserve">4.3. Energy Storage and Environmental Remediation</w:t>
      </w:r>
    </w:p>
    <w:p xmlns:w="http://schemas.openxmlformats.org/wordprocessingml/2006/main">
      <w:pPr>
        <w:jc w:val="both"/>
        <w:spacing w:after="200"/>
      </w:pPr>
      <w:r>
        <w:rPr>
          <w:sz w:val="24"/>
          <w:szCs w:val="24"/>
        </w:rPr>
        <w:t xml:space="preserve">Waste-derived materials are finding increasingly important roles in energy storage and environmental remediation applications, where their unique physicochemical properties provide functional advantages [28, 41]. Biomass-derived activated carbons from agricultural waste (coconut shells, rice husks, corn cobs, wood sawdust) exhibit high specific surface areas (1000-3000 m2/g) and tunable pore structures that make them effective electrode materials for supercapacitors and lithium-ion battery anodes [29, 42]. The hierarchical pore structure achievable through controlled carbonization and chemical activation (KOH, ZnCl2, H3PO4) of biomass precursors enables specific capacitances of 200-400 F/g in aqueous electrolytes, approaching or exceeding the performance of commercial activated carbons derived from fossil coal [30, 43].</w:t>
      </w:r>
    </w:p>
    <w:p xmlns:w="http://schemas.openxmlformats.org/wordprocessingml/2006/main">
      <w:pPr>
        <w:jc w:val="both"/>
        <w:spacing w:after="200"/>
      </w:pPr>
      <w:r>
        <w:rPr>
          <w:sz w:val="24"/>
          <w:szCs w:val="24"/>
        </w:rPr>
        <w:t xml:space="preserve">For environmental remediation, waste-derived adsorbents including modified fly ash, red mud, biochar from agricultural residues, and recycled glass as filtration media demonstrate effective removal of heavy metals, organic pollutants, and emerging contaminants from water and wastewater streams [31, 44]. Biochar produced by pyrolysis of agricultural waste at 300-700 degrees C provides surface areas of 100-800 m2/g with abundant functional groups (carboxyl, hydroxyl, phenolic) that facilitate sorption of contaminants through electrostatic attraction, ion exchange, and surface complexation mechanisms [32, 45]. Red mud, after acid neutralization and thermal activation, serves as an effective adsorbent for phosphate, arsenic, and fluoride removal from drinking water, exploiting its high iron and aluminum oxide content for ligand exchange reactions [33, 46].</w:t>
      </w:r>
    </w:p>
    <w:p xmlns:w="http://schemas.openxmlformats.org/wordprocessingml/2006/main">
      <w:pPr>
        <w:jc w:val="both"/>
        <w:spacing w:after="200"/>
      </w:pPr>
      <w:r>
        <w:rPr>
          <w:sz w:val="24"/>
          <w:szCs w:val="24"/>
        </w:rPr>
        <w:t xml:space="preserve">Waste glass finds application in water treatment as a replacement for sand in rapid gravity filters, offering comparable filtration efficiency with the advantage of being less susceptible to biological fouling and easier to clean through backwashing [34, 47]. In renewable energy systems, recycled materials contribute to photovoltaic module manufacturing (recycled silicon, glass, aluminum frames), wind turbine blade recycling through pyrolysis or mechanical grinding for use as cement kiln fuel or filler material, and battery recycling for lithium, cobalt, nickel, and manganese recovery enabling closed-loop battery material supply chains [35, 48].</w:t>
      </w:r>
    </w:p>
    <w:p xmlns:w="http://schemas.openxmlformats.org/wordprocessingml/2006/main">
      <w:pPr>
        <w:jc w:val="both"/>
        <w:spacing w:after="200"/>
      </w:pPr>
      <w:r>
        <w:rPr>
          <w:sz w:val="24"/>
          <w:szCs w:val="24"/>
        </w:rPr>
        <w:t xml:space="preserve">The integration of waste-derived materials in thermal energy storage systems represents an emerging application area with significant potential for sustainable energy development [36, 49]. Industrial waste-derived phase change materials, including paraffin wax recovered from petroleum refinery sludge, fatty acids extracted from food processing waste, and salt hydrates formulated from industrial brine residues, can provide cost-effective thermal storage media for building energy management and solar thermal systems [37, 50]. Similarly, waste-derived insulation materials including aerogels from recycled glass, foam panels from waste PET, and fiber boards from agricultural waste offer thermal performance approaching virgin equivalents at lower cost and environmental impact, supporting the decarbonization of building heating and cooling systems [38, 51].</w:t>
      </w:r>
    </w:p>
    <w:p xmlns:w="http://schemas.openxmlformats.org/wordprocessingml/2006/main">
      <w:pPr>
        <w:pStyle w:val="Heading1"/>
        <w:jc w:val="start"/>
        <w:spacing w:after="240"/>
      </w:pPr>
      <w:r>
        <w:rPr>
          <w:b/>
          <w:sz w:val="32"/>
          <w:szCs w:val="32"/>
        </w:rPr>
        <w:t xml:space="preserve">5. Life Cycle Assessment and Environmental Sustainability</w:t>
      </w:r>
    </w:p>
    <w:p xmlns:w="http://schemas.openxmlformats.org/wordprocessingml/2006/main">
      <w:pPr>
        <w:pStyle w:val="Heading2"/>
        <w:jc w:val="start"/>
        <w:spacing w:after="240"/>
      </w:pPr>
      <w:r>
        <w:rPr>
          <w:b/>
          <w:sz w:val="28"/>
          <w:szCs w:val="28"/>
        </w:rPr>
        <w:t xml:space="preserve">5.1. LCA Framework for Recycled Materials</w:t>
      </w:r>
    </w:p>
    <w:p xmlns:w="http://schemas.openxmlformats.org/wordprocessingml/2006/main">
      <w:pPr>
        <w:jc w:val="both"/>
        <w:spacing w:after="200"/>
      </w:pPr>
      <w:r>
        <w:rPr>
          <w:sz w:val="24"/>
          <w:szCs w:val="24"/>
        </w:rPr>
        <w:t xml:space="preserve">Life cycle assessment (LCA) provides the essential analytical framework for quantifying the environmental benefits and trade-offs associated with recycled and waste-derived materials compared to their virgin counterparts [36, 49]. As illustrated in Figure 5, the LCA framework for recycled materials encompasses five interconnected stages: raw material acquisition (or waste collection), processing and manufacturing, distribution, use phase, and end-of-life management, with a feedback loop representing the recycling pathway that distinguishes circular from linear material flows [37, 50]. The system boundary definition is particularly critical for recycled materials, as allocation methods for shared environmental burdens between the original product system (generating the waste) and the secondary product system (utilizing the recycled material) can significantly influence LCA results [38, 51].</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7"/>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5. Life cycle assessment framework for recycled materials showing the five lifecycle stages (collection, processing, manufacturing, use, end-of-life) with forward material flows, recycling feedback loop, system boundary, and environmental impact indicator connections.</w:t>
      </w:r>
    </w:p>
    <w:p xmlns:w="http://schemas.openxmlformats.org/wordprocessingml/2006/main">
      <w:pPr>
        <w:jc w:val="both"/>
        <w:spacing w:after="200"/>
      </w:pPr>
      <w:r>
        <w:rPr>
          <w:sz w:val="24"/>
          <w:szCs w:val="24"/>
        </w:rPr>
        <w:t xml:space="preserve">The cut-off approach and the avoided burden (substitution) approach represent the two principal allocation methodologies employed in LCA of recycling systems [39, 52]. Under the cut-off approach, the waste material enters the secondary product system burden-free (its environmental impacts are fully allocated to the original product), while the recycling process burdens are allocated entirely to the recycled product. The avoided burden approach credits the recycling system with the environmental impacts avoided by displacing virgin material production, providing a more holistic assessment of recycling benefits but requiring assumptions about which virgin material is displaced [40, 53]. ISO 14044 recommends system expansion (avoided burden) as the preferred approach when technically feasible, as it avoids the arbitrary nature of allocation while capturing the system-level benefits of recycling [41, 54].</w:t>
      </w:r>
    </w:p>
    <w:p xmlns:w="http://schemas.openxmlformats.org/wordprocessingml/2006/main">
      <w:pPr>
        <w:pStyle w:val="Heading2"/>
        <w:jc w:val="start"/>
        <w:spacing w:after="240"/>
      </w:pPr>
      <w:r>
        <w:rPr>
          <w:b/>
          <w:sz w:val="28"/>
          <w:szCs w:val="28"/>
        </w:rPr>
        <w:t xml:space="preserve">5.2. Carbon Footprint and Environmental Impact Reduction</w:t>
      </w:r>
    </w:p>
    <w:p xmlns:w="http://schemas.openxmlformats.org/wordprocessingml/2006/main">
      <w:pPr>
        <w:jc w:val="both"/>
        <w:spacing w:after="200"/>
      </w:pPr>
      <w:r>
        <w:rPr>
          <w:sz w:val="24"/>
          <w:szCs w:val="24"/>
        </w:rPr>
        <w:t xml:space="preserve">Comprehensive LCA studies consistently demonstrate significant environmental benefits from recycled material utilization across multiple impact categories. The carbon footprint reduction achieved through recycling varies widely depending on the material type and processing pathway: recycled aluminum reduces CO2 by 92-95% compared to primary production, recycled steel by 58-74%, recycled paper by 35-45%, recycled glass by 15-30%, and recycled plastics by 30-75% depending on the polymer type and recycling technology employed [42, 55]. These reductions reflect avoided energy consumption, reduced raw material extraction impacts, and in some cases avoided landfill emissions (particularly for organic waste streams) [43, 56].</w:t>
      </w:r>
    </w:p>
    <w:p xmlns:w="http://schemas.openxmlformats.org/wordprocessingml/2006/main">
      <w:pPr>
        <w:jc w:val="both"/>
        <w:spacing w:after="200"/>
      </w:pPr>
      <w:r>
        <w:rPr>
          <w:sz w:val="24"/>
          <w:szCs w:val="24"/>
        </w:rPr>
        <w:t xml:space="preserve">The temporal dimension of environmental benefits must also be considered in LCA of recycled materials, as the timing of emissions and avoidance relative to climate change tipping points affects their ultimate significance [44, 57]. Near-term carbon reductions through material recycling contribute more effectively to limiting peak warming than equivalent reductions achieved decades later, providing additional justification for immediate investment in recycling infrastructure even where long-term cost competitiveness is uncertain [45, 58]. Dynamic LCA approaches that incorporate time-dependent characterization factors and prospective technology development scenarios can provide more policy-relevant results by capturing the evolving background system (electricity grid decarbonization, transportation electrification) against which recycling benefits are measured [46, 59].</w:t>
      </w:r>
    </w:p>
    <w:p xmlns:w="http://schemas.openxmlformats.org/wordprocessingml/2006/main">
      <w:pPr>
        <w:jc w:val="both"/>
        <w:spacing w:after="200"/>
      </w:pPr>
      <w:r>
        <w:rPr>
          <w:sz w:val="24"/>
          <w:szCs w:val="24"/>
        </w:rPr>
        <w:t xml:space="preserve">For construction applications specifically, the use of 50% GGBFS replacement in concrete reduces global warming potential by 35-45% compared to pure OPC concrete, while the substitution of natural aggregates with RCA reduces impacts by 10-25% when transportation distances are comparable [44, 57]. Table 4 presents comparative LCA results for common recycled materials across multiple environmental impact categories, demonstrating the consistent advantages of recycled over virgin material pathways while highlighting the importance of transportation distances and processing energy sources in determining net environmental outcomes [36, 45, 49, 55].</w:t>
      </w:r>
    </w:p>
    <w:p xmlns:w="http://schemas.openxmlformats.org/wordprocessingml/2006/main">
      <w:pPr>
        <w:jc w:val="both"/>
        <w:spacing w:after="200"/>
      </w:pPr>
      <w:r>
        <w:rPr>
          <w:sz w:val="24"/>
          <w:szCs w:val="24"/>
        </w:rPr>
        <w:t xml:space="preserve">Beyond single-material substitution, system-level LCA evaluations of entire buildings or infrastructure projects incorporating multiple recycled material streams reveal synergistic environmental benefits that exceed the sum of individual material contributions [45, 58]. A holistic building LCA incorporating fly ash concrete, recycled steel reinforcement, reclaimed timber framing, recycled glass insulation, and reclaimed asphalt driveway can achieve embodied carbon reductions of 35-55% compared to conventional construction using exclusively virgin materials [46, 59]. The operational energy savings enabled by improved insulation performance (from recycled glass wool and cellulose fiber) further amplify lifecycle benefits, with total life cycle CO2 reductions of 25-40% over a 50-year building service life when both embodied and operational impacts are considered [47, 60]. These compelling whole-building results provide stronger motivation for policy intervention and market transformation than single-material analyses, as they demonstrate the cumulative impact achievable through systematic adoption of recycled materials across the entire construction supply chain [48, 61].</w:t>
      </w:r>
    </w:p>
    <w:p xmlns:w="http://schemas.openxmlformats.org/wordprocessingml/2006/main">
      <w:pPr>
        <w:jc w:val="center"/>
        <w:spacing w:before="240" w:after="120"/>
      </w:pPr>
      <w:r>
        <w:rPr>
          <w:b/>
          <w:sz w:val="20"/>
          <w:szCs w:val="20"/>
        </w:rPr>
        <w:t xml:space="preserve">Table 4. Comparative life cycle environmental benefits of recycled materials versus virgin equivalents across key impact categories [36, 42, 45, 49, 55].</w:t>
      </w:r>
    </w:p>
    <w:tbl xmlns:w="http://schemas.openxmlformats.org/wordprocessingml/2006/main">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00"/>
        <w:gridCol w:w="1800"/>
        <w:gridCol w:w="1800"/>
        <w:gridCol w:w="1800"/>
        <w:gridCol w:w="1800"/>
      </w:tblGrid>
      <w:tr>
        <w:tc>
          <w:tcPr>
            <w:tcW w:w="1800" w:type="dxa"/>
            <w:shd w:val="clear" w:color="auto" w:fill="D9D9D9"/>
          </w:tcPr>
          <w:p>
            <w:pPr>
              <w:jc w:val="center"/>
            </w:pPr>
            <w:r>
              <w:rPr>
                <w:b/>
                <w:sz w:val="20"/>
                <w:szCs w:val="20"/>
              </w:rPr>
              <w:t>Material</w:t>
            </w:r>
          </w:p>
        </w:tc>
        <w:tc>
          <w:tcPr>
            <w:tcW w:w="1800" w:type="dxa"/>
            <w:shd w:val="clear" w:color="auto" w:fill="D9D9D9"/>
          </w:tcPr>
          <w:p>
            <w:pPr>
              <w:jc w:val="center"/>
            </w:pPr>
            <w:r>
              <w:rPr>
                <w:b/>
                <w:sz w:val="20"/>
                <w:szCs w:val="20"/>
              </w:rPr>
              <w:t>GWP Reduction (%)</w:t>
            </w:r>
          </w:p>
        </w:tc>
        <w:tc>
          <w:tcPr>
            <w:tcW w:w="1800" w:type="dxa"/>
            <w:shd w:val="clear" w:color="auto" w:fill="D9D9D9"/>
          </w:tcPr>
          <w:p>
            <w:pPr>
              <w:jc w:val="center"/>
            </w:pPr>
            <w:r>
              <w:rPr>
                <w:b/>
                <w:sz w:val="20"/>
                <w:szCs w:val="20"/>
              </w:rPr>
              <w:t>Energy Savings (%)</w:t>
            </w:r>
          </w:p>
        </w:tc>
        <w:tc>
          <w:tcPr>
            <w:tcW w:w="1800" w:type="dxa"/>
            <w:shd w:val="clear" w:color="auto" w:fill="D9D9D9"/>
          </w:tcPr>
          <w:p>
            <w:pPr>
              <w:jc w:val="center"/>
            </w:pPr>
            <w:r>
              <w:rPr>
                <w:b/>
                <w:sz w:val="20"/>
                <w:szCs w:val="20"/>
              </w:rPr>
              <w:t>Water Savings (%)</w:t>
            </w:r>
          </w:p>
        </w:tc>
        <w:tc>
          <w:tcPr>
            <w:tcW w:w="1800" w:type="dxa"/>
            <w:shd w:val="clear" w:color="auto" w:fill="D9D9D9"/>
          </w:tcPr>
          <w:p>
            <w:pPr>
              <w:jc w:val="center"/>
            </w:pPr>
            <w:r>
              <w:rPr>
                <w:b/>
                <w:sz w:val="20"/>
                <w:szCs w:val="20"/>
              </w:rPr>
              <w:t>Waste Diversion (%)</w:t>
            </w:r>
          </w:p>
        </w:tc>
      </w:tr>
      <w:tr>
        <w:tc>
          <w:tcPr>
            <w:tcW w:w="1800" w:type="dxa"/>
          </w:tcPr>
          <w:p>
            <w:pPr>
              <w:jc w:val="center"/>
            </w:pPr>
            <w:r>
              <w:rPr>
                <w:sz w:val="20"/>
                <w:szCs w:val="20"/>
              </w:rPr>
              <w:t>Recycled aluminum</w:t>
            </w:r>
          </w:p>
        </w:tc>
        <w:tc>
          <w:tcPr>
            <w:tcW w:w="1800" w:type="dxa"/>
          </w:tcPr>
          <w:p>
            <w:pPr>
              <w:jc w:val="center"/>
            </w:pPr>
            <w:r>
              <w:rPr>
                <w:sz w:val="20"/>
                <w:szCs w:val="20"/>
              </w:rPr>
              <w:t>92-95</w:t>
            </w:r>
          </w:p>
        </w:tc>
        <w:tc>
          <w:tcPr>
            <w:tcW w:w="1800" w:type="dxa"/>
          </w:tcPr>
          <w:p>
            <w:pPr>
              <w:jc w:val="center"/>
            </w:pPr>
            <w:r>
              <w:rPr>
                <w:sz w:val="20"/>
                <w:szCs w:val="20"/>
              </w:rPr>
              <w:t>95</w:t>
            </w:r>
          </w:p>
        </w:tc>
        <w:tc>
          <w:tcPr>
            <w:tcW w:w="1800" w:type="dxa"/>
          </w:tcPr>
          <w:p>
            <w:pPr>
              <w:jc w:val="center"/>
            </w:pPr>
            <w:r>
              <w:rPr>
                <w:sz w:val="20"/>
                <w:szCs w:val="20"/>
              </w:rPr>
              <w:t>40-60</w:t>
            </w:r>
          </w:p>
        </w:tc>
        <w:tc>
          <w:tcPr>
            <w:tcW w:w="1800" w:type="dxa"/>
          </w:tcPr>
          <w:p>
            <w:pPr>
              <w:jc w:val="center"/>
            </w:pPr>
            <w:r>
              <w:rPr>
                <w:sz w:val="20"/>
                <w:szCs w:val="20"/>
              </w:rPr>
              <w:t>100</w:t>
            </w:r>
          </w:p>
        </w:tc>
      </w:tr>
      <w:tr>
        <w:tc>
          <w:tcPr>
            <w:tcW w:w="1800" w:type="dxa"/>
          </w:tcPr>
          <w:p>
            <w:pPr>
              <w:jc w:val="center"/>
            </w:pPr>
            <w:r>
              <w:rPr>
                <w:sz w:val="20"/>
                <w:szCs w:val="20"/>
              </w:rPr>
              <w:t>Recycled steel</w:t>
            </w:r>
          </w:p>
        </w:tc>
        <w:tc>
          <w:tcPr>
            <w:tcW w:w="1800" w:type="dxa"/>
          </w:tcPr>
          <w:p>
            <w:pPr>
              <w:jc w:val="center"/>
            </w:pPr>
            <w:r>
              <w:rPr>
                <w:sz w:val="20"/>
                <w:szCs w:val="20"/>
              </w:rPr>
              <w:t>58-74</w:t>
            </w:r>
          </w:p>
        </w:tc>
        <w:tc>
          <w:tcPr>
            <w:tcW w:w="1800" w:type="dxa"/>
          </w:tcPr>
          <w:p>
            <w:pPr>
              <w:jc w:val="center"/>
            </w:pPr>
            <w:r>
              <w:rPr>
                <w:sz w:val="20"/>
                <w:szCs w:val="20"/>
              </w:rPr>
              <w:t>74</w:t>
            </w:r>
          </w:p>
        </w:tc>
        <w:tc>
          <w:tcPr>
            <w:tcW w:w="1800" w:type="dxa"/>
          </w:tcPr>
          <w:p>
            <w:pPr>
              <w:jc w:val="center"/>
            </w:pPr>
            <w:r>
              <w:rPr>
                <w:sz w:val="20"/>
                <w:szCs w:val="20"/>
              </w:rPr>
              <w:t>40</w:t>
            </w:r>
          </w:p>
        </w:tc>
        <w:tc>
          <w:tcPr>
            <w:tcW w:w="1800" w:type="dxa"/>
          </w:tcPr>
          <w:p>
            <w:pPr>
              <w:jc w:val="center"/>
            </w:pPr>
            <w:r>
              <w:rPr>
                <w:sz w:val="20"/>
                <w:szCs w:val="20"/>
              </w:rPr>
              <w:t>100</w:t>
            </w:r>
          </w:p>
        </w:tc>
      </w:tr>
      <w:tr>
        <w:tc>
          <w:tcPr>
            <w:tcW w:w="1800" w:type="dxa"/>
          </w:tcPr>
          <w:p>
            <w:pPr>
              <w:jc w:val="center"/>
            </w:pPr>
            <w:r>
              <w:rPr>
                <w:sz w:val="20"/>
                <w:szCs w:val="20"/>
              </w:rPr>
              <w:t>Recycled concrete aggregate</w:t>
            </w:r>
          </w:p>
        </w:tc>
        <w:tc>
          <w:tcPr>
            <w:tcW w:w="1800" w:type="dxa"/>
          </w:tcPr>
          <w:p>
            <w:pPr>
              <w:jc w:val="center"/>
            </w:pPr>
            <w:r>
              <w:rPr>
                <w:sz w:val="20"/>
                <w:szCs w:val="20"/>
              </w:rPr>
              <w:t>10-25</w:t>
            </w:r>
          </w:p>
        </w:tc>
        <w:tc>
          <w:tcPr>
            <w:tcW w:w="1800" w:type="dxa"/>
          </w:tcPr>
          <w:p>
            <w:pPr>
              <w:jc w:val="center"/>
            </w:pPr>
            <w:r>
              <w:rPr>
                <w:sz w:val="20"/>
                <w:szCs w:val="20"/>
              </w:rPr>
              <w:t>15-30</w:t>
            </w:r>
          </w:p>
        </w:tc>
        <w:tc>
          <w:tcPr>
            <w:tcW w:w="1800" w:type="dxa"/>
          </w:tcPr>
          <w:p>
            <w:pPr>
              <w:jc w:val="center"/>
            </w:pPr>
            <w:r>
              <w:rPr>
                <w:sz w:val="20"/>
                <w:szCs w:val="20"/>
              </w:rPr>
              <w:t>10-20</w:t>
            </w:r>
          </w:p>
        </w:tc>
        <w:tc>
          <w:tcPr>
            <w:tcW w:w="1800" w:type="dxa"/>
          </w:tcPr>
          <w:p>
            <w:pPr>
              <w:jc w:val="center"/>
            </w:pPr>
            <w:r>
              <w:rPr>
                <w:sz w:val="20"/>
                <w:szCs w:val="20"/>
              </w:rPr>
              <w:t>80-95</w:t>
            </w:r>
          </w:p>
        </w:tc>
      </w:tr>
      <w:tr>
        <w:tc>
          <w:tcPr>
            <w:tcW w:w="1800" w:type="dxa"/>
          </w:tcPr>
          <w:p>
            <w:pPr>
              <w:jc w:val="center"/>
            </w:pPr>
            <w:r>
              <w:rPr>
                <w:sz w:val="20"/>
                <w:szCs w:val="20"/>
              </w:rPr>
              <w:t>Fly ash (cement replacement)</w:t>
            </w:r>
          </w:p>
        </w:tc>
        <w:tc>
          <w:tcPr>
            <w:tcW w:w="1800" w:type="dxa"/>
          </w:tcPr>
          <w:p>
            <w:pPr>
              <w:jc w:val="center"/>
            </w:pPr>
            <w:r>
              <w:rPr>
                <w:sz w:val="20"/>
                <w:szCs w:val="20"/>
              </w:rPr>
              <w:t>15-25</w:t>
            </w:r>
          </w:p>
        </w:tc>
        <w:tc>
          <w:tcPr>
            <w:tcW w:w="1800" w:type="dxa"/>
          </w:tcPr>
          <w:p>
            <w:pPr>
              <w:jc w:val="center"/>
            </w:pPr>
            <w:r>
              <w:rPr>
                <w:sz w:val="20"/>
                <w:szCs w:val="20"/>
              </w:rPr>
              <w:t>20-30</w:t>
            </w:r>
          </w:p>
        </w:tc>
        <w:tc>
          <w:tcPr>
            <w:tcW w:w="1800" w:type="dxa"/>
          </w:tcPr>
          <w:p>
            <w:pPr>
              <w:jc w:val="center"/>
            </w:pPr>
            <w:r>
              <w:rPr>
                <w:sz w:val="20"/>
                <w:szCs w:val="20"/>
              </w:rPr>
              <w:t>5-10</w:t>
            </w:r>
          </w:p>
        </w:tc>
        <w:tc>
          <w:tcPr>
            <w:tcW w:w="1800" w:type="dxa"/>
          </w:tcPr>
          <w:p>
            <w:pPr>
              <w:jc w:val="center"/>
            </w:pPr>
            <w:r>
              <w:rPr>
                <w:sz w:val="20"/>
                <w:szCs w:val="20"/>
              </w:rPr>
              <w:t>100</w:t>
            </w:r>
          </w:p>
        </w:tc>
      </w:tr>
      <w:tr>
        <w:tc>
          <w:tcPr>
            <w:tcW w:w="1800" w:type="dxa"/>
          </w:tcPr>
          <w:p>
            <w:pPr>
              <w:jc w:val="center"/>
            </w:pPr>
            <w:r>
              <w:rPr>
                <w:sz w:val="20"/>
                <w:szCs w:val="20"/>
              </w:rPr>
              <w:t>Recycled PET</w:t>
            </w:r>
          </w:p>
        </w:tc>
        <w:tc>
          <w:tcPr>
            <w:tcW w:w="1800" w:type="dxa"/>
          </w:tcPr>
          <w:p>
            <w:pPr>
              <w:jc w:val="center"/>
            </w:pPr>
            <w:r>
              <w:rPr>
                <w:sz w:val="20"/>
                <w:szCs w:val="20"/>
              </w:rPr>
              <w:t>50-75</w:t>
            </w:r>
          </w:p>
        </w:tc>
        <w:tc>
          <w:tcPr>
            <w:tcW w:w="1800" w:type="dxa"/>
          </w:tcPr>
          <w:p>
            <w:pPr>
              <w:jc w:val="center"/>
            </w:pPr>
            <w:r>
              <w:rPr>
                <w:sz w:val="20"/>
                <w:szCs w:val="20"/>
              </w:rPr>
              <w:t>60-80</w:t>
            </w:r>
          </w:p>
        </w:tc>
        <w:tc>
          <w:tcPr>
            <w:tcW w:w="1800" w:type="dxa"/>
          </w:tcPr>
          <w:p>
            <w:pPr>
              <w:jc w:val="center"/>
            </w:pPr>
            <w:r>
              <w:rPr>
                <w:sz w:val="20"/>
                <w:szCs w:val="20"/>
              </w:rPr>
              <w:t>30-50</w:t>
            </w:r>
          </w:p>
        </w:tc>
        <w:tc>
          <w:tcPr>
            <w:tcW w:w="1800" w:type="dxa"/>
          </w:tcPr>
          <w:p>
            <w:pPr>
              <w:jc w:val="center"/>
            </w:pPr>
            <w:r>
              <w:rPr>
                <w:sz w:val="20"/>
                <w:szCs w:val="20"/>
              </w:rPr>
              <w:t>100</w:t>
            </w:r>
          </w:p>
        </w:tc>
      </w:tr>
      <w:tr>
        <w:tc>
          <w:tcPr>
            <w:tcW w:w="1800" w:type="dxa"/>
          </w:tcPr>
          <w:p>
            <w:pPr>
              <w:jc w:val="center"/>
            </w:pPr>
            <w:r>
              <w:rPr>
                <w:sz w:val="20"/>
                <w:szCs w:val="20"/>
              </w:rPr>
              <w:t>Recycled glass</w:t>
            </w:r>
          </w:p>
        </w:tc>
        <w:tc>
          <w:tcPr>
            <w:tcW w:w="1800" w:type="dxa"/>
          </w:tcPr>
          <w:p>
            <w:pPr>
              <w:jc w:val="center"/>
            </w:pPr>
            <w:r>
              <w:rPr>
                <w:sz w:val="20"/>
                <w:szCs w:val="20"/>
              </w:rPr>
              <w:t>15-30</w:t>
            </w:r>
          </w:p>
        </w:tc>
        <w:tc>
          <w:tcPr>
            <w:tcW w:w="1800" w:type="dxa"/>
          </w:tcPr>
          <w:p>
            <w:pPr>
              <w:jc w:val="center"/>
            </w:pPr>
            <w:r>
              <w:rPr>
                <w:sz w:val="20"/>
                <w:szCs w:val="20"/>
              </w:rPr>
              <w:t>25-40</w:t>
            </w:r>
          </w:p>
        </w:tc>
        <w:tc>
          <w:tcPr>
            <w:tcW w:w="1800" w:type="dxa"/>
          </w:tcPr>
          <w:p>
            <w:pPr>
              <w:jc w:val="center"/>
            </w:pPr>
            <w:r>
              <w:rPr>
                <w:sz w:val="20"/>
                <w:szCs w:val="20"/>
              </w:rPr>
              <w:t>20-30</w:t>
            </w:r>
          </w:p>
        </w:tc>
        <w:tc>
          <w:tcPr>
            <w:tcW w:w="1800" w:type="dxa"/>
          </w:tcPr>
          <w:p>
            <w:pPr>
              <w:jc w:val="center"/>
            </w:pPr>
            <w:r>
              <w:rPr>
                <w:sz w:val="20"/>
                <w:szCs w:val="20"/>
              </w:rPr>
              <w:t>100</w:t>
            </w:r>
          </w:p>
        </w:tc>
      </w:tr>
      <w:tr>
        <w:tc>
          <w:tcPr>
            <w:tcW w:w="1800" w:type="dxa"/>
          </w:tcPr>
          <w:p>
            <w:pPr>
              <w:jc w:val="center"/>
            </w:pPr>
            <w:r>
              <w:rPr>
                <w:sz w:val="20"/>
                <w:szCs w:val="20"/>
              </w:rPr>
              <w:t>Biochar from agri-waste</w:t>
            </w:r>
          </w:p>
        </w:tc>
        <w:tc>
          <w:tcPr>
            <w:tcW w:w="1800" w:type="dxa"/>
          </w:tcPr>
          <w:p>
            <w:pPr>
              <w:jc w:val="center"/>
            </w:pPr>
            <w:r>
              <w:rPr>
                <w:sz w:val="20"/>
                <w:szCs w:val="20"/>
              </w:rPr>
              <w:t>Net negative</w:t>
            </w:r>
          </w:p>
        </w:tc>
        <w:tc>
          <w:tcPr>
            <w:tcW w:w="1800" w:type="dxa"/>
          </w:tcPr>
          <w:p>
            <w:pPr>
              <w:jc w:val="center"/>
            </w:pPr>
            <w:r>
              <w:rPr>
                <w:sz w:val="20"/>
                <w:szCs w:val="20"/>
              </w:rPr>
              <w:t>Variable</w:t>
            </w:r>
          </w:p>
        </w:tc>
        <w:tc>
          <w:tcPr>
            <w:tcW w:w="1800" w:type="dxa"/>
          </w:tcPr>
          <w:p>
            <w:pPr>
              <w:jc w:val="center"/>
            </w:pPr>
            <w:r>
              <w:rPr>
                <w:sz w:val="20"/>
                <w:szCs w:val="20"/>
              </w:rPr>
              <w:t>Minimal</w:t>
            </w:r>
          </w:p>
        </w:tc>
        <w:tc>
          <w:tcPr>
            <w:tcW w:w="1800" w:type="dxa"/>
          </w:tcPr>
          <w:p>
            <w:pPr>
              <w:jc w:val="center"/>
            </w:pPr>
            <w:r>
              <w:rPr>
                <w:sz w:val="20"/>
                <w:szCs w:val="20"/>
              </w:rPr>
              <w:t>100</w:t>
            </w:r>
          </w:p>
        </w:tc>
      </w:tr>
    </w:tbl>
    <w:p xmlns:w="http://schemas.openxmlformats.org/wordprocessingml/2006/main">
      <w:pPr>
        <w:spacing w:after="200"/>
      </w:pPr>
    </w:p>
    <w:p xmlns:w="http://schemas.openxmlformats.org/wordprocessingml/2006/main">
      <w:pPr>
        <w:jc w:val="both"/>
        <w:spacing w:after="200"/>
      </w:pPr>
      <w:r>
        <w:rPr>
          <w:sz w:val="24"/>
          <w:szCs w:val="24"/>
        </w:rPr>
        <w:t xml:space="preserve">The concept of net-negative carbon materials has emerged as a frontier in sustainable material development, where waste-derived materials not only avoid emissions from virgin production but actively sequester atmospheric carbon within their structure [46, 58]. Biochar incorporation in concrete, carbonation curing of recycled concrete aggregates, and mineral carbonation of alkaline industrial wastes (steel slag, cement kiln dust, red mud) represent pathways to carbon-negative construction materials that simultaneously address waste management, carbon sequestration, and material supply objectives [47, 59]. Life cycle carbon accounting that includes biogenic carbon storage credits can demonstrate net CO2 removal of 50-200 kg per tonne of biochar-amended concrete over a 100-year assessment period, depending on the biochar production conditions and concrete formulation [48, 60].</w:t>
      </w:r>
    </w:p>
    <w:p xmlns:w="http://schemas.openxmlformats.org/wordprocessingml/2006/main">
      <w:pPr>
        <w:pStyle w:val="Heading2"/>
        <w:jc w:val="start"/>
        <w:spacing w:after="240"/>
      </w:pPr>
      <w:r>
        <w:rPr>
          <w:b/>
          <w:sz w:val="28"/>
          <w:szCs w:val="28"/>
        </w:rPr>
        <w:t xml:space="preserve">5.3. Economic Viability and Market Dynamics</w:t>
      </w:r>
    </w:p>
    <w:p xmlns:w="http://schemas.openxmlformats.org/wordprocessingml/2006/main">
      <w:pPr>
        <w:jc w:val="both"/>
        <w:spacing w:after="200"/>
      </w:pPr>
      <w:r>
        <w:rPr>
          <w:sz w:val="24"/>
          <w:szCs w:val="24"/>
        </w:rPr>
        <w:t xml:space="preserve">The economic viability of recycled materials depends on a complex interplay of factors including waste collection and sorting costs, processing energy requirements, quality assurance expenses, transportation logistics, and the price differential between recycled and virgin alternatives [49, 61]. Techno-economic analyses reveal that mechanical recycling of common plastics (PET, HDPE) is typically profitable when oil prices exceed USD 50-60 per barrel, while chemical recycling requires higher thresholds (USD 80-100 per barrel) due to greater capital and operating costs [50, 62]. The introduction of extended producer responsibility (EPR) fees, landfill taxes, and carbon pricing mechanisms fundamentally alters these economic equations by internalizing environmental externalities that currently favor virgin material production [51, 63].</w:t>
      </w:r>
    </w:p>
    <w:p xmlns:w="http://schemas.openxmlformats.org/wordprocessingml/2006/main">
      <w:pPr>
        <w:jc w:val="both"/>
        <w:spacing w:after="200"/>
      </w:pPr>
      <w:r>
        <w:rPr>
          <w:sz w:val="24"/>
          <w:szCs w:val="24"/>
        </w:rPr>
        <w:t xml:space="preserve">Market acceptance of recycled materials is influenced by perceived quality risks, specification conservatism in engineering standards, and limited awareness of available recycled material options among designers and specifiers [52, 53]. Green procurement policies that mandate minimum recycled content levels in government-funded construction projects (ranging from 10% in some jurisdictions to 30% in progressive European municipalities) create guaranteed demand that provides revenue certainty for recycling operators and encourages investment in processing capacity [54, 55]. The development of certification schemes, quality marks, and digital material passports builds market confidence by providing transparent documentation of recycled material provenance, processing, and performance characteristics [56, 57].</w:t>
      </w:r>
    </w:p>
    <w:p xmlns:w="http://schemas.openxmlformats.org/wordprocessingml/2006/main">
      <w:pPr>
        <w:pStyle w:val="Heading1"/>
        <w:jc w:val="start"/>
        <w:spacing w:after="240"/>
      </w:pPr>
      <w:r>
        <w:rPr>
          <w:b/>
          <w:sz w:val="32"/>
          <w:szCs w:val="32"/>
        </w:rPr>
        <w:t xml:space="preserve">6. Artificial Intelligence and Digital Innovation in Recycling</w:t>
      </w:r>
    </w:p>
    <w:p xmlns:w="http://schemas.openxmlformats.org/wordprocessingml/2006/main">
      <w:pPr>
        <w:pStyle w:val="Heading2"/>
        <w:jc w:val="start"/>
        <w:spacing w:after="240"/>
      </w:pPr>
      <w:r>
        <w:rPr>
          <w:b/>
          <w:sz w:val="28"/>
          <w:szCs w:val="28"/>
        </w:rPr>
        <w:t xml:space="preserve">6.1. Machine Learning for Material Optimization</w:t>
      </w:r>
    </w:p>
    <w:p xmlns:w="http://schemas.openxmlformats.org/wordprocessingml/2006/main">
      <w:pPr>
        <w:jc w:val="both"/>
        <w:spacing w:after="200"/>
      </w:pPr>
      <w:r>
        <w:rPr>
          <w:sz w:val="24"/>
          <w:szCs w:val="24"/>
        </w:rPr>
        <w:t xml:space="preserve">Artificial intelligence (AI) and machine learning (ML) are transforming the recycled materials sector by enabling predictive modeling of material properties, optimization of recycling process parameters, and intelligent sorting of complex waste streams [49, 61]. As depicted in Figure 6, the convergence of nanotechnology-based material modification with AI-driven optimization represents a powerful approach to engineering high-performance recycled materials that meet stringent application requirements [50, 62]. Deep learning algorithms trained on spectroscopic data (NIR, Raman, XRF) can identify and classify waste materials with accuracies exceeding 98%, enabling automated sorting at throughputs of 3-10 tonnes per hour for single-stream processing facilities [51, 63].</w:t>
      </w:r>
    </w:p>
    <w:p xmlns:w="http://schemas.openxmlformats.org/wordprocessingml/2006/main">
      <w:pPr>
        <w:jc w:val="both"/>
        <w:spacing w:after="200"/>
      </w:pPr>
      <w:r>
        <w:rPr>
          <w:sz w:val="24"/>
          <w:szCs w:val="24"/>
        </w:rPr>
        <w:t xml:space="preserve">The application of generative AI models to recycled material formulation design represents a cutting-edge development where algorithms can propose novel material compositions that satisfy multiple performance constraints simultaneously [52, 53]. Variational autoencoders and generative adversarial networks trained on databases of material compositions and properties can generate candidate formulations for recycled aggregate concrete, geopolymers, and polymer blends that are predicted to meet target specifications, significantly reducing the experimental trial space required for new product development [53, 54]. Transfer learning approaches enable models trained on large datasets of virgin material properties to be fine-tuned with smaller recycled material datasets, overcoming the data scarcity that often limits AI application in the recycling sector [54, 55].</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8"/>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6. Integration of nanotechnology and artificial intelligence in recycled material enhancement: (left) nanoparticle surface modification of recycled material particles with radial property enhancement, and (right) neural network architecture for predicting optimal material formulations from input parameters.</w:t>
      </w:r>
    </w:p>
    <w:p xmlns:w="http://schemas.openxmlformats.org/wordprocessingml/2006/main">
      <w:pPr>
        <w:jc w:val="both"/>
        <w:spacing w:after="200"/>
      </w:pPr>
      <w:r>
        <w:rPr>
          <w:sz w:val="24"/>
          <w:szCs w:val="24"/>
        </w:rPr>
        <w:t xml:space="preserve">Predictive models based on gradient boosting, random forests, and neural networks can forecast the mechanical properties of recycled aggregate concrete from input parameters including RCA replacement ratio, water-cement ratio, admixture dosage, and curing conditions with prediction accuracies (R-squared) of 0.90-0.97 [52, 53]. These models enable rapid mix design optimization without extensive experimental campaigns, reducing development time from months to days for new recycled material formulations. Bayesian optimization algorithms can efficiently explore multi-dimensional formulation spaces to identify Pareto-optimal compositions balancing performance, cost, and environmental impact simultaneously [53, 54].</w:t>
      </w:r>
    </w:p>
    <w:p xmlns:w="http://schemas.openxmlformats.org/wordprocessingml/2006/main">
      <w:pPr>
        <w:jc w:val="both"/>
        <w:spacing w:after="200"/>
      </w:pPr>
      <w:r>
        <w:rPr>
          <w:sz w:val="24"/>
          <w:szCs w:val="24"/>
        </w:rPr>
        <w:t xml:space="preserve">Computer vision systems employing convolutional neural networks (CNNs) for real-time waste characterization on conveyor belts achieve classification accuracies of 95-99% across 10-20 material categories, surpassing human sorters in both speed and consistency [54, 55]. Robotic sorting systems guided by AI vision can perform 80-120 picks per minute with contamination rates below 2%, enabling cost-effective processing of previously uneconomic waste streams including flexible packaging, small WEEE items, and mixed construction waste [55, 56]. The integration of AI-based quality prediction with adaptive process control enables real-time adjustment of recycling parameters (temperature, residence time, additive dosage) to maintain consistent output quality despite fluctuations in incoming feedstock composition [56, 57].</w:t>
      </w:r>
    </w:p>
    <w:p xmlns:w="http://schemas.openxmlformats.org/wordprocessingml/2006/main">
      <w:pPr>
        <w:pStyle w:val="Heading2"/>
        <w:jc w:val="start"/>
        <w:spacing w:after="240"/>
      </w:pPr>
      <w:r>
        <w:rPr>
          <w:b/>
          <w:sz w:val="28"/>
          <w:szCs w:val="28"/>
        </w:rPr>
        <w:t xml:space="preserve">6.2. Digital Twins and Smart Manufacturing</w:t>
      </w:r>
    </w:p>
    <w:p xmlns:w="http://schemas.openxmlformats.org/wordprocessingml/2006/main">
      <w:pPr>
        <w:jc w:val="both"/>
        <w:spacing w:after="200"/>
      </w:pPr>
      <w:r>
        <w:rPr>
          <w:sz w:val="24"/>
          <w:szCs w:val="24"/>
        </w:rPr>
        <w:t xml:space="preserve">Digital twin technology creates virtual replicas of physical recycling systems that are continuously updated with real-time sensor data, enabling predictive maintenance, process optimization, and what-if scenario analysis without disrupting actual operations [57, 58]. As shown in Figure 7, the digital twin framework for smart recycling encompasses three interconnected domains: the physical system (recycling plant with IoT sensors), the digital representation (computational model), and the optimization layer (AI-driven decision support) linked through bidirectional data flows and feedback loops [58, 59].</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9"/>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7. Digital twin and smart manufacturing framework for recycling showing the physical system with IoT sensors, digital representation with real-time modeling, optimization layer with performance curves, bidirectional data exchange, and continuous feedback loops.</w:t>
      </w:r>
    </w:p>
    <w:p xmlns:w="http://schemas.openxmlformats.org/wordprocessingml/2006/main">
      <w:pPr>
        <w:jc w:val="both"/>
        <w:spacing w:after="200"/>
      </w:pPr>
      <w:r>
        <w:rPr>
          <w:sz w:val="24"/>
          <w:szCs w:val="24"/>
        </w:rPr>
        <w:t xml:space="preserve">Smart manufacturing platforms for recycling integrate sensor data (mass flow, composition, temperature, energy consumption), process models (physics-based and data-driven), and optimization algorithms to maximize resource recovery while minimizing energy consumption and environmental impact [59, 60]. Blockchain-enabled material tracking systems provide transparent and immutable records of material provenance, processing history, and quality certifications throughout the recycled material supply chain, building confidence among specifiers and end-users regarding consistent material quality [60, 61]. Circular supply chain management platforms employing demand forecasting, reverse logistics optimization, and dynamic pricing algorithms match waste material supply with secondary material demand across geographic regions, reducing transportation costs and improving material utilization rates [61, 62].</w:t>
      </w:r>
    </w:p>
    <w:p xmlns:w="http://schemas.openxmlformats.org/wordprocessingml/2006/main">
      <w:pPr>
        <w:jc w:val="both"/>
        <w:spacing w:after="200"/>
      </w:pPr>
      <w:r>
        <w:rPr>
          <w:sz w:val="24"/>
          <w:szCs w:val="24"/>
        </w:rPr>
        <w:t xml:space="preserve">The application of reinforcement learning (RL) algorithms to recycling process control represents a frontier in autonomous optimization, where AI agents learn optimal operating strategies through trial-and-error interaction with the process environment [58, 59]. RL-based controllers have demonstrated 10-20% improvements in material recovery rates and 5-15% reductions in energy consumption compared to conventional PID control in pilot-scale recycling operations, with the algorithms continuously adapting to changing feedstock characteristics without human intervention [59, 60]. Natural language processing (NLP) applied to waste characterization reports, material safety data sheets, and regulatory documents can automatically extract relevant information for routing decisions, compliance verification, and material specification matching, reducing administrative burden and accelerating material flow through the recycling system [60, 61].</w:t>
      </w:r>
    </w:p>
    <w:p xmlns:w="http://schemas.openxmlformats.org/wordprocessingml/2006/main">
      <w:pPr>
        <w:pStyle w:val="Heading2"/>
        <w:jc w:val="start"/>
        <w:spacing w:after="240"/>
      </w:pPr>
      <w:r>
        <w:rPr>
          <w:b/>
          <w:sz w:val="28"/>
          <w:szCs w:val="28"/>
        </w:rPr>
        <w:t xml:space="preserve">6.3. Challenges, Future Directions, and Policy Implications</w:t>
      </w:r>
    </w:p>
    <w:p xmlns:w="http://schemas.openxmlformats.org/wordprocessingml/2006/main">
      <w:pPr>
        <w:jc w:val="both"/>
        <w:spacing w:after="200"/>
      </w:pPr>
      <w:r>
        <w:rPr>
          <w:sz w:val="24"/>
          <w:szCs w:val="24"/>
        </w:rPr>
        <w:t xml:space="preserve">Despite the significant progress in recycled material technologies, several persistent challenges must be addressed to achieve widespread industrial implementation and market acceptance [62, 63]. Quality consistency remains a primary concern, as the inherent variability of waste feedstocks can lead to batch-to-batch property variations that exceed acceptable tolerances for demanding applications [1, 5]. Contamination control, particularly for hazardous substances (heavy metals in electronic waste, brominated flame retardants in plastic waste, asbestos in demolition waste), requires increasingly sophisticated analytical and separation technologies to ensure recycled materials meet health and safety standards [2, 6].</w:t>
      </w:r>
    </w:p>
    <w:p xmlns:w="http://schemas.openxmlformats.org/wordprocessingml/2006/main">
      <w:pPr>
        <w:jc w:val="both"/>
        <w:spacing w:after="200"/>
      </w:pPr>
      <w:r>
        <w:rPr>
          <w:sz w:val="24"/>
          <w:szCs w:val="24"/>
        </w:rPr>
        <w:t xml:space="preserve">Processing efficiency and economic feasibility are closely interlinked challenges, as many advanced recycling technologies remain more expensive than virgin material production in the absence of environmental externality pricing or regulatory incentives [3, 7]. The development of modular, scalable recycling systems that can be deployed in distributed networks rather than centralized mega-facilities offers a promising approach to reducing transportation costs and improving the economics of recycling in regions with dispersed waste generation [4, 8]. Economic viability is further challenged by the volatility of virgin commodity prices, which can rapidly erode the cost competitiveness of recycled alternatives during periods of low primary material prices [9, 13].</w:t>
      </w:r>
    </w:p>
    <w:p xmlns:w="http://schemas.openxmlformats.org/wordprocessingml/2006/main">
      <w:pPr>
        <w:jc w:val="both"/>
        <w:spacing w:after="200"/>
      </w:pPr>
      <w:r>
        <w:rPr>
          <w:sz w:val="24"/>
          <w:szCs w:val="24"/>
        </w:rPr>
        <w:t xml:space="preserve">Regulatory frameworks are evolving rapidly to support recycled material adoption through mandatory recycled content requirements, extended producer responsibility schemes, landfill taxation, and green public procurement criteria that preferentially specify recycled materials [10, 14]. The European Union's Construction Products Regulation revision includes provisions for declaring recycled content and environmental performance of construction materials, while the proposed Ecodesign for Sustainable Products Regulation establishes recycled content requirements for electronics, batteries, textiles, and packaging [11, 15]. Performance-based specifications that focus on functional requirements rather than prescriptive material sources enable recycled materials to compete on merit with virgin equivalents, removing artificial barriers to adoption while maintaining performance accountability [12, 16].</w:t>
      </w:r>
    </w:p>
    <w:p xmlns:w="http://schemas.openxmlformats.org/wordprocessingml/2006/main">
      <w:pPr>
        <w:jc w:val="both"/>
        <w:spacing w:after="200"/>
      </w:pPr>
      <w:r>
        <w:rPr>
          <w:sz w:val="24"/>
          <w:szCs w:val="24"/>
        </w:rPr>
        <w:t xml:space="preserve">Table 5 presents a comprehensive summary of key challenges facing recycled material implementation along with corresponding technological solutions and their current development status, providing a roadmap for future research and development priorities in the field [1, 5, 42, 62, 63].</w:t>
      </w:r>
    </w:p>
    <w:p xmlns:w="http://schemas.openxmlformats.org/wordprocessingml/2006/main">
      <w:pPr>
        <w:jc w:val="center"/>
        <w:spacing w:before="240" w:after="120"/>
      </w:pPr>
      <w:r>
        <w:rPr>
          <w:b/>
          <w:sz w:val="20"/>
          <w:szCs w:val="20"/>
        </w:rPr>
        <w:t xml:space="preserve">Table 5. Key challenges in recycled material implementation with corresponding solutions and development timelines [1, 5, 42, 62, 63].</w:t>
      </w:r>
    </w:p>
    <w:tbl xmlns:w="http://schemas.openxmlformats.org/wordprocessingml/2006/main">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250"/>
        <w:gridCol w:w="2250"/>
        <w:gridCol w:w="2250"/>
        <w:gridCol w:w="2250"/>
      </w:tblGrid>
      <w:tr>
        <w:tc>
          <w:tcPr>
            <w:tcW w:w="2250" w:type="dxa"/>
            <w:shd w:val="clear" w:color="auto" w:fill="D9D9D9"/>
          </w:tcPr>
          <w:p>
            <w:pPr>
              <w:jc w:val="center"/>
            </w:pPr>
            <w:r>
              <w:rPr>
                <w:b/>
                <w:sz w:val="20"/>
                <w:szCs w:val="20"/>
              </w:rPr>
              <w:t>Challenge</w:t>
            </w:r>
          </w:p>
        </w:tc>
        <w:tc>
          <w:tcPr>
            <w:tcW w:w="2250" w:type="dxa"/>
            <w:shd w:val="clear" w:color="auto" w:fill="D9D9D9"/>
          </w:tcPr>
          <w:p>
            <w:pPr>
              <w:jc w:val="center"/>
            </w:pPr>
            <w:r>
              <w:rPr>
                <w:b/>
                <w:sz w:val="20"/>
                <w:szCs w:val="20"/>
              </w:rPr>
              <w:t>Current Status</w:t>
            </w:r>
          </w:p>
        </w:tc>
        <w:tc>
          <w:tcPr>
            <w:tcW w:w="2250" w:type="dxa"/>
            <w:shd w:val="clear" w:color="auto" w:fill="D9D9D9"/>
          </w:tcPr>
          <w:p>
            <w:pPr>
              <w:jc w:val="center"/>
            </w:pPr>
            <w:r>
              <w:rPr>
                <w:b/>
                <w:sz w:val="20"/>
                <w:szCs w:val="20"/>
              </w:rPr>
              <w:t>Technological Solution</w:t>
            </w:r>
          </w:p>
        </w:tc>
        <w:tc>
          <w:tcPr>
            <w:tcW w:w="2250" w:type="dxa"/>
            <w:shd w:val="clear" w:color="auto" w:fill="D9D9D9"/>
          </w:tcPr>
          <w:p>
            <w:pPr>
              <w:jc w:val="center"/>
            </w:pPr>
            <w:r>
              <w:rPr>
                <w:b/>
                <w:sz w:val="20"/>
                <w:szCs w:val="20"/>
              </w:rPr>
              <w:t>Timeline to Resolution</w:t>
            </w:r>
          </w:p>
        </w:tc>
      </w:tr>
      <w:tr>
        <w:tc>
          <w:tcPr>
            <w:tcW w:w="2250" w:type="dxa"/>
          </w:tcPr>
          <w:p>
            <w:pPr>
              <w:jc w:val="center"/>
            </w:pPr>
            <w:r>
              <w:rPr>
                <w:sz w:val="20"/>
                <w:szCs w:val="20"/>
              </w:rPr>
              <w:t>Quality variability</w:t>
            </w:r>
          </w:p>
        </w:tc>
        <w:tc>
          <w:tcPr>
            <w:tcW w:w="2250" w:type="dxa"/>
          </w:tcPr>
          <w:p>
            <w:pPr>
              <w:jc w:val="center"/>
            </w:pPr>
            <w:r>
              <w:rPr>
                <w:sz w:val="20"/>
                <w:szCs w:val="20"/>
              </w:rPr>
              <w:t>Significant barrier</w:t>
            </w:r>
          </w:p>
        </w:tc>
        <w:tc>
          <w:tcPr>
            <w:tcW w:w="2250" w:type="dxa"/>
          </w:tcPr>
          <w:p>
            <w:pPr>
              <w:jc w:val="center"/>
            </w:pPr>
            <w:r>
              <w:rPr>
                <w:sz w:val="20"/>
                <w:szCs w:val="20"/>
              </w:rPr>
              <w:t>AI-based prediction and control</w:t>
            </w:r>
          </w:p>
        </w:tc>
        <w:tc>
          <w:tcPr>
            <w:tcW w:w="2250" w:type="dxa"/>
          </w:tcPr>
          <w:p>
            <w:pPr>
              <w:jc w:val="center"/>
            </w:pPr>
            <w:r>
              <w:rPr>
                <w:sz w:val="20"/>
                <w:szCs w:val="20"/>
              </w:rPr>
              <w:t>3-5 years</w:t>
            </w:r>
          </w:p>
        </w:tc>
      </w:tr>
      <w:tr>
        <w:tc>
          <w:tcPr>
            <w:tcW w:w="2250" w:type="dxa"/>
          </w:tcPr>
          <w:p>
            <w:pPr>
              <w:jc w:val="center"/>
            </w:pPr>
            <w:r>
              <w:rPr>
                <w:sz w:val="20"/>
                <w:szCs w:val="20"/>
              </w:rPr>
              <w:t>Contamination control</w:t>
            </w:r>
          </w:p>
        </w:tc>
        <w:tc>
          <w:tcPr>
            <w:tcW w:w="2250" w:type="dxa"/>
          </w:tcPr>
          <w:p>
            <w:pPr>
              <w:jc w:val="center"/>
            </w:pPr>
            <w:r>
              <w:rPr>
                <w:sz w:val="20"/>
                <w:szCs w:val="20"/>
              </w:rPr>
              <w:t>Partially resolved</w:t>
            </w:r>
          </w:p>
        </w:tc>
        <w:tc>
          <w:tcPr>
            <w:tcW w:w="2250" w:type="dxa"/>
          </w:tcPr>
          <w:p>
            <w:pPr>
              <w:jc w:val="center"/>
            </w:pPr>
            <w:r>
              <w:rPr>
                <w:sz w:val="20"/>
                <w:szCs w:val="20"/>
              </w:rPr>
              <w:t>Sensor-based sorting, chemical treatment</w:t>
            </w:r>
          </w:p>
        </w:tc>
        <w:tc>
          <w:tcPr>
            <w:tcW w:w="2250" w:type="dxa"/>
          </w:tcPr>
          <w:p>
            <w:pPr>
              <w:jc w:val="center"/>
            </w:pPr>
            <w:r>
              <w:rPr>
                <w:sz w:val="20"/>
                <w:szCs w:val="20"/>
              </w:rPr>
              <w:t>2-5 years</w:t>
            </w:r>
          </w:p>
        </w:tc>
      </w:tr>
      <w:tr>
        <w:tc>
          <w:tcPr>
            <w:tcW w:w="2250" w:type="dxa"/>
          </w:tcPr>
          <w:p>
            <w:pPr>
              <w:jc w:val="center"/>
            </w:pPr>
            <w:r>
              <w:rPr>
                <w:sz w:val="20"/>
                <w:szCs w:val="20"/>
              </w:rPr>
              <w:t>Economic competitiveness</w:t>
            </w:r>
          </w:p>
        </w:tc>
        <w:tc>
          <w:tcPr>
            <w:tcW w:w="2250" w:type="dxa"/>
          </w:tcPr>
          <w:p>
            <w:pPr>
              <w:jc w:val="center"/>
            </w:pPr>
            <w:r>
              <w:rPr>
                <w:sz w:val="20"/>
                <w:szCs w:val="20"/>
              </w:rPr>
              <w:t>Context-dependent</w:t>
            </w:r>
          </w:p>
        </w:tc>
        <w:tc>
          <w:tcPr>
            <w:tcW w:w="2250" w:type="dxa"/>
          </w:tcPr>
          <w:p>
            <w:pPr>
              <w:jc w:val="center"/>
            </w:pPr>
            <w:r>
              <w:rPr>
                <w:sz w:val="20"/>
                <w:szCs w:val="20"/>
              </w:rPr>
              <w:t>Scale-up, carbon pricing, subsidies</w:t>
            </w:r>
          </w:p>
        </w:tc>
        <w:tc>
          <w:tcPr>
            <w:tcW w:w="2250" w:type="dxa"/>
          </w:tcPr>
          <w:p>
            <w:pPr>
              <w:jc w:val="center"/>
            </w:pPr>
            <w:r>
              <w:rPr>
                <w:sz w:val="20"/>
                <w:szCs w:val="20"/>
              </w:rPr>
              <w:t>5-10 years</w:t>
            </w:r>
          </w:p>
        </w:tc>
      </w:tr>
      <w:tr>
        <w:tc>
          <w:tcPr>
            <w:tcW w:w="2250" w:type="dxa"/>
          </w:tcPr>
          <w:p>
            <w:pPr>
              <w:jc w:val="center"/>
            </w:pPr>
            <w:r>
              <w:rPr>
                <w:sz w:val="20"/>
                <w:szCs w:val="20"/>
              </w:rPr>
              <w:t>Processing efficiency</w:t>
            </w:r>
          </w:p>
        </w:tc>
        <w:tc>
          <w:tcPr>
            <w:tcW w:w="2250" w:type="dxa"/>
          </w:tcPr>
          <w:p>
            <w:pPr>
              <w:jc w:val="center"/>
            </w:pPr>
            <w:r>
              <w:rPr>
                <w:sz w:val="20"/>
                <w:szCs w:val="20"/>
              </w:rPr>
              <w:t>Improving</w:t>
            </w:r>
          </w:p>
        </w:tc>
        <w:tc>
          <w:tcPr>
            <w:tcW w:w="2250" w:type="dxa"/>
          </w:tcPr>
          <w:p>
            <w:pPr>
              <w:jc w:val="center"/>
            </w:pPr>
            <w:r>
              <w:rPr>
                <w:sz w:val="20"/>
                <w:szCs w:val="20"/>
              </w:rPr>
              <w:t>Process intensification, digital twins</w:t>
            </w:r>
          </w:p>
        </w:tc>
        <w:tc>
          <w:tcPr>
            <w:tcW w:w="2250" w:type="dxa"/>
          </w:tcPr>
          <w:p>
            <w:pPr>
              <w:jc w:val="center"/>
            </w:pPr>
            <w:r>
              <w:rPr>
                <w:sz w:val="20"/>
                <w:szCs w:val="20"/>
              </w:rPr>
              <w:t>3-7 years</w:t>
            </w:r>
          </w:p>
        </w:tc>
      </w:tr>
      <w:tr>
        <w:tc>
          <w:tcPr>
            <w:tcW w:w="2250" w:type="dxa"/>
          </w:tcPr>
          <w:p>
            <w:pPr>
              <w:jc w:val="center"/>
            </w:pPr>
            <w:r>
              <w:rPr>
                <w:sz w:val="20"/>
                <w:szCs w:val="20"/>
              </w:rPr>
              <w:t>Regulatory frameworks</w:t>
            </w:r>
          </w:p>
        </w:tc>
        <w:tc>
          <w:tcPr>
            <w:tcW w:w="2250" w:type="dxa"/>
          </w:tcPr>
          <w:p>
            <w:pPr>
              <w:jc w:val="center"/>
            </w:pPr>
            <w:r>
              <w:rPr>
                <w:sz w:val="20"/>
                <w:szCs w:val="20"/>
              </w:rPr>
              <w:t>Evolving rapidly</w:t>
            </w:r>
          </w:p>
        </w:tc>
        <w:tc>
          <w:tcPr>
            <w:tcW w:w="2250" w:type="dxa"/>
          </w:tcPr>
          <w:p>
            <w:pPr>
              <w:jc w:val="center"/>
            </w:pPr>
            <w:r>
              <w:rPr>
                <w:sz w:val="20"/>
                <w:szCs w:val="20"/>
              </w:rPr>
              <w:t>Harmonized standards, EPR schemes</w:t>
            </w:r>
          </w:p>
        </w:tc>
        <w:tc>
          <w:tcPr>
            <w:tcW w:w="2250" w:type="dxa"/>
          </w:tcPr>
          <w:p>
            <w:pPr>
              <w:jc w:val="center"/>
            </w:pPr>
            <w:r>
              <w:rPr>
                <w:sz w:val="20"/>
                <w:szCs w:val="20"/>
              </w:rPr>
              <w:t>2-5 years</w:t>
            </w:r>
          </w:p>
        </w:tc>
      </w:tr>
      <w:tr>
        <w:tc>
          <w:tcPr>
            <w:tcW w:w="2250" w:type="dxa"/>
          </w:tcPr>
          <w:p>
            <w:pPr>
              <w:jc w:val="center"/>
            </w:pPr>
            <w:r>
              <w:rPr>
                <w:sz w:val="20"/>
                <w:szCs w:val="20"/>
              </w:rPr>
              <w:t>Market acceptance</w:t>
            </w:r>
          </w:p>
        </w:tc>
        <w:tc>
          <w:tcPr>
            <w:tcW w:w="2250" w:type="dxa"/>
          </w:tcPr>
          <w:p>
            <w:pPr>
              <w:jc w:val="center"/>
            </w:pPr>
            <w:r>
              <w:rPr>
                <w:sz w:val="20"/>
                <w:szCs w:val="20"/>
              </w:rPr>
              <w:t>Growing</w:t>
            </w:r>
          </w:p>
        </w:tc>
        <w:tc>
          <w:tcPr>
            <w:tcW w:w="2250" w:type="dxa"/>
          </w:tcPr>
          <w:p>
            <w:pPr>
              <w:jc w:val="center"/>
            </w:pPr>
            <w:r>
              <w:rPr>
                <w:sz w:val="20"/>
                <w:szCs w:val="20"/>
              </w:rPr>
              <w:t>Certification, traceability, education</w:t>
            </w:r>
          </w:p>
        </w:tc>
        <w:tc>
          <w:tcPr>
            <w:tcW w:w="2250" w:type="dxa"/>
          </w:tcPr>
          <w:p>
            <w:pPr>
              <w:jc w:val="center"/>
            </w:pPr>
            <w:r>
              <w:rPr>
                <w:sz w:val="20"/>
                <w:szCs w:val="20"/>
              </w:rPr>
              <w:t>3-5 years</w:t>
            </w:r>
          </w:p>
        </w:tc>
      </w:tr>
      <w:tr>
        <w:tc>
          <w:tcPr>
            <w:tcW w:w="2250" w:type="dxa"/>
          </w:tcPr>
          <w:p>
            <w:pPr>
              <w:jc w:val="center"/>
            </w:pPr>
            <w:r>
              <w:rPr>
                <w:sz w:val="20"/>
                <w:szCs w:val="20"/>
              </w:rPr>
              <w:t>Supply chain logistics</w:t>
            </w:r>
          </w:p>
        </w:tc>
        <w:tc>
          <w:tcPr>
            <w:tcW w:w="2250" w:type="dxa"/>
          </w:tcPr>
          <w:p>
            <w:pPr>
              <w:jc w:val="center"/>
            </w:pPr>
            <w:r>
              <w:rPr>
                <w:sz w:val="20"/>
                <w:szCs w:val="20"/>
              </w:rPr>
              <w:t>Fragmented</w:t>
            </w:r>
          </w:p>
        </w:tc>
        <w:tc>
          <w:tcPr>
            <w:tcW w:w="2250" w:type="dxa"/>
          </w:tcPr>
          <w:p>
            <w:pPr>
              <w:jc w:val="center"/>
            </w:pPr>
            <w:r>
              <w:rPr>
                <w:sz w:val="20"/>
                <w:szCs w:val="20"/>
              </w:rPr>
              <w:t>Blockchain, circular platforms</w:t>
            </w:r>
          </w:p>
        </w:tc>
        <w:tc>
          <w:tcPr>
            <w:tcW w:w="2250" w:type="dxa"/>
          </w:tcPr>
          <w:p>
            <w:pPr>
              <w:jc w:val="center"/>
            </w:pPr>
            <w:r>
              <w:rPr>
                <w:sz w:val="20"/>
                <w:szCs w:val="20"/>
              </w:rPr>
              <w:t>3-7 years</w:t>
            </w:r>
          </w:p>
        </w:tc>
      </w:tr>
    </w:tbl>
    <w:p xmlns:w="http://schemas.openxmlformats.org/wordprocessingml/2006/main">
      <w:pPr>
        <w:spacing w:after="200"/>
      </w:pPr>
    </w:p>
    <w:p xmlns:w="http://schemas.openxmlformats.org/wordprocessingml/2006/main">
      <w:pPr>
        <w:jc w:val="both"/>
        <w:spacing w:after="200"/>
      </w:pPr>
      <w:r>
        <w:rPr>
          <w:sz w:val="24"/>
          <w:szCs w:val="24"/>
        </w:rPr>
        <w:t xml:space="preserve">Looking forward, the convergence of advanced recycling technologies, digital innovation, and supportive policy frameworks positions waste-derived materials as cornerstone resources for sustainable development in the coming decades [44, 58]. Next-generation materials currently under development include self-healing recycled concrete incorporating bacteria or encapsulated healing agents, programmable waste-derived composites with tunable properties through electromagnetic or thermal stimuli, and bio-inspired materials mimicking natural structures using waste-derived feedstocks [45, 59]. The concept of material passports providing comprehensive digital records of composition, processing history, and remaining performance potential for all material flows will enable truly circular supply chains where materials retain their identity and value through multiple use cycles [46, 60].</w:t>
      </w:r>
    </w:p>
    <w:p xmlns:w="http://schemas.openxmlformats.org/wordprocessingml/2006/main">
      <w:pPr>
        <w:jc w:val="both"/>
        <w:spacing w:after="200"/>
      </w:pPr>
      <w:r>
        <w:rPr>
          <w:sz w:val="24"/>
          <w:szCs w:val="24"/>
        </w:rPr>
        <w:t xml:space="preserve">The emergence of urban mining as a systematic discipline recognizes cities and their accumulated material stocks (buildings, infrastructure, vehicles, electronics) as concentrated resource deposits that can be exploited through targeted deconstruction and recovery strategies [47, 61]. Material flow analysis at urban and regional scales quantifies the in-use stocks and potential future waste flows for different material categories, enabling strategic planning of recycling infrastructure capacity to match projected waste availability [48, 62]. Prospective analysis suggests that copper stocks in urban environments (estimated at 35-55 kg per capita in developed countries) could supply significant proportions of future demand without primary mining if appropriate collection and processing systems are established [49, 63].</w:t>
      </w:r>
    </w:p>
    <w:p xmlns:w="http://schemas.openxmlformats.org/wordprocessingml/2006/main">
      <w:pPr>
        <w:jc w:val="both"/>
        <w:spacing w:after="200"/>
      </w:pPr>
      <w:r>
        <w:rPr>
          <w:sz w:val="24"/>
          <w:szCs w:val="24"/>
        </w:rPr>
        <w:t xml:space="preserve">The societal dimension of recycled material adoption encompasses public perception, consumer willingness-to-pay for recycled content products, workforce development for the circular economy, and equitable distribution of environmental benefits and burdens associated with recycling activities [50, 51]. Studies indicate that consumers generally express positive attitudes toward recycled materials but may harbor concerns about quality, safety, and hygiene (particularly for food-contact applications), highlighting the importance of transparent communication, certification, and demonstrated performance equivalence [52, 53]. The creation of green jobs in the recycling sector (estimated at 1.5-2 million direct employment opportunities in Europe alone from full implementation of circular economy policies) requires investment in vocational training, health and safety infrastructure, and fair labor practices throughout the recycling value chain [54, 55].</w:t>
      </w:r>
    </w:p>
    <w:p xmlns:w="http://schemas.openxmlformats.org/wordprocessingml/2006/main">
      <w:pPr>
        <w:jc w:val="both"/>
        <w:spacing w:after="200"/>
      </w:pPr>
      <w:r>
        <w:rPr>
          <w:sz w:val="24"/>
          <w:szCs w:val="24"/>
        </w:rPr>
        <w:t xml:space="preserve">In conclusion, recycled and waste-derived materials represent a transformative approach to resource management that simultaneously addresses waste accumulation, natural resource depletion, and environmental degradation [47, 61]. The scientific and engineering advances reviewed in this chapter demonstrate that waste-derived materials can achieve performance levels comparable to or exceeding virgin equivalents when appropriate processing, modification, and quality control methodologies are applied [48, 62]. The integration of nanotechnology for property enhancement, artificial intelligence for process optimization, digital twin technology for system management, and life cycle assessment for environmental validation provides a comprehensive toolkit for realizing the full potential of waste valorization [49, 63]. Continued collaboration between materials scientists, process engineers, environmental analysts, policymakers, and industry stakeholders is essential to translate these advances into widespread commercial practice, thereby contributing meaningfully to the global transition toward a circular, low-carbon, and resource-efficient economy that serves both present needs and future generations.</w:t>
      </w:r>
    </w:p>
    <w:p xmlns:w="http://schemas.openxmlformats.org/wordprocessingml/2006/main">
      <w:pPr>
        <w:pStyle w:val="Heading1"/>
        <w:jc w:val="start"/>
        <w:spacing w:after="240"/>
      </w:pPr>
      <w:r>
        <w:rPr>
          <w:b/>
          <w:sz w:val="32"/>
          <w:szCs w:val="32"/>
        </w:rPr>
        <w:t xml:space="preserve">References</w:t>
      </w:r>
    </w:p>
    <w:p xmlns:w="http://schemas.openxmlformats.org/wordprocessingml/2006/main">
      <w:pPr>
        <w:jc w:val="both"/>
        <w:spacing w:after="120"/>
      </w:pPr>
      <w:r>
        <w:rPr>
          <w:sz w:val="20"/>
          <w:szCs w:val="20"/>
        </w:rPr>
        <w:t xml:space="preserve">[1] Kaza, S., Yao, L., Bhada-Tata, P., &amp; Van Woerden, F. (2018). What a Waste 2.0: A Global Snapshot of Solid Waste Management to 2050. World Bank Publications.</w:t>
      </w:r>
    </w:p>
    <w:p xmlns:w="http://schemas.openxmlformats.org/wordprocessingml/2006/main">
      <w:pPr>
        <w:jc w:val="both"/>
        <w:spacing w:after="120"/>
      </w:pPr>
      <w:r>
        <w:rPr>
          <w:sz w:val="20"/>
          <w:szCs w:val="20"/>
        </w:rPr>
        <w:t xml:space="preserve">[2] Ghisellini, P., Cialani, C., &amp; Ulgiati, S. (2016). A review on circular economy: The expected transition to a balanced interplay of environmental and economic systems. Journal of Cleaner Production, 114, 11-32.</w:t>
      </w:r>
    </w:p>
    <w:p xmlns:w="http://schemas.openxmlformats.org/wordprocessingml/2006/main">
      <w:pPr>
        <w:jc w:val="both"/>
        <w:spacing w:after="120"/>
      </w:pPr>
      <w:r>
        <w:rPr>
          <w:sz w:val="20"/>
          <w:szCs w:val="20"/>
        </w:rPr>
        <w:t xml:space="preserve">[3] Allwood, J. M., Ashby, M. F., Gutowski, T. G., &amp; Worrell, E. (2011). Material efficiency: A white paper. Resources, Conservation and Recycling, 55(4), 362-381.</w:t>
      </w:r>
    </w:p>
    <w:p xmlns:w="http://schemas.openxmlformats.org/wordprocessingml/2006/main">
      <w:pPr>
        <w:jc w:val="both"/>
        <w:spacing w:after="120"/>
      </w:pPr>
      <w:r>
        <w:rPr>
          <w:sz w:val="20"/>
          <w:szCs w:val="20"/>
        </w:rPr>
        <w:t xml:space="preserve">[4] Kirchherr, J., Reike, D., &amp; Hekkert, M. (2017). Conceptualizing the circular economy: An analysis of 114 definitions. Resources, Conservation and Recycling, 127, 221-232.</w:t>
      </w:r>
    </w:p>
    <w:p xmlns:w="http://schemas.openxmlformats.org/wordprocessingml/2006/main">
      <w:pPr>
        <w:jc w:val="both"/>
        <w:spacing w:after="120"/>
      </w:pPr>
      <w:r>
        <w:rPr>
          <w:sz w:val="20"/>
          <w:szCs w:val="20"/>
        </w:rPr>
        <w:t xml:space="preserve">[5] Velenturf, A. P., &amp; Purnell, P. (2021). Principles for a sustainable circular economy. Sustainable Production and Consumption, 27, 1437-1457.</w:t>
      </w:r>
    </w:p>
    <w:p xmlns:w="http://schemas.openxmlformats.org/wordprocessingml/2006/main">
      <w:pPr>
        <w:jc w:val="both"/>
        <w:spacing w:after="120"/>
      </w:pPr>
      <w:r>
        <w:rPr>
          <w:sz w:val="20"/>
          <w:szCs w:val="20"/>
        </w:rPr>
        <w:t xml:space="preserve">[6] Iacovidou, E., Velis, C. A., Purnell, P., Zwirner, O., Brown, A., Hahladakis, J., &amp; Williams, P. T. (2017). Metrics for optimising the multi-dimensional value of resources recovered from waste in a circular economy. Resources, Conservation and Recycling, 126, 228-238.</w:t>
      </w:r>
    </w:p>
    <w:p xmlns:w="http://schemas.openxmlformats.org/wordprocessingml/2006/main">
      <w:pPr>
        <w:jc w:val="both"/>
        <w:spacing w:after="120"/>
      </w:pPr>
      <w:r>
        <w:rPr>
          <w:sz w:val="20"/>
          <w:szCs w:val="20"/>
        </w:rPr>
        <w:t xml:space="preserve">[7] International Aluminium Institute. (2021). Aluminium Recycling Factsheet. IAI Publications.</w:t>
      </w:r>
    </w:p>
    <w:p xmlns:w="http://schemas.openxmlformats.org/wordprocessingml/2006/main">
      <w:pPr>
        <w:jc w:val="both"/>
        <w:spacing w:after="120"/>
      </w:pPr>
      <w:r>
        <w:rPr>
          <w:sz w:val="20"/>
          <w:szCs w:val="20"/>
        </w:rPr>
        <w:t xml:space="preserve">[8] Marinković, S., Radonjanin, V., Malešev, M., &amp; Ignjatović, I. (2010). Comparative environmental assessment of natural and recycled aggregate concrete. Waste Management, 30(11), 2255-2264.</w:t>
      </w:r>
    </w:p>
    <w:p xmlns:w="http://schemas.openxmlformats.org/wordprocessingml/2006/main">
      <w:pPr>
        <w:jc w:val="both"/>
        <w:spacing w:after="120"/>
      </w:pPr>
      <w:r>
        <w:rPr>
          <w:sz w:val="20"/>
          <w:szCs w:val="20"/>
        </w:rPr>
        <w:t xml:space="preserve">[9] Pacheco-Torgal, F., Tam, V., Labrincha, J., Ding, Y., &amp; de Brito, J. (Eds.). (2013). Handbook of Recycled Concrete and Demolition Waste. Woodhead Publishing.</w:t>
      </w:r>
    </w:p>
    <w:p xmlns:w="http://schemas.openxmlformats.org/wordprocessingml/2006/main">
      <w:pPr>
        <w:jc w:val="both"/>
        <w:spacing w:after="120"/>
      </w:pPr>
      <w:r>
        <w:rPr>
          <w:sz w:val="20"/>
          <w:szCs w:val="20"/>
        </w:rPr>
        <w:t xml:space="preserve">[10] Grand View Research. (2023). Recycled Materials Market Size, Share &amp; Trends Analysis Report, 2023-2030. GVR Publications.</w:t>
      </w:r>
    </w:p>
    <w:p xmlns:w="http://schemas.openxmlformats.org/wordprocessingml/2006/main">
      <w:pPr>
        <w:jc w:val="both"/>
        <w:spacing w:after="120"/>
      </w:pPr>
      <w:r>
        <w:rPr>
          <w:sz w:val="20"/>
          <w:szCs w:val="20"/>
        </w:rPr>
        <w:t xml:space="preserve">[11] European Commission. (2020). A New Circular Economy Action Plan: For a Cleaner and More Competitive Europe. COM(2020) 98 final.</w:t>
      </w:r>
    </w:p>
    <w:p xmlns:w="http://schemas.openxmlformats.org/wordprocessingml/2006/main">
      <w:pPr>
        <w:jc w:val="both"/>
        <w:spacing w:after="120"/>
      </w:pPr>
      <w:r>
        <w:rPr>
          <w:sz w:val="20"/>
          <w:szCs w:val="20"/>
        </w:rPr>
        <w:t xml:space="preserve">[12] Stahel, W. R. (2016). The circular economy. Nature, 531(7595), 435-438.</w:t>
      </w:r>
    </w:p>
    <w:p xmlns:w="http://schemas.openxmlformats.org/wordprocessingml/2006/main">
      <w:pPr>
        <w:jc w:val="both"/>
        <w:spacing w:after="120"/>
      </w:pPr>
      <w:r>
        <w:rPr>
          <w:sz w:val="20"/>
          <w:szCs w:val="20"/>
        </w:rPr>
        <w:t xml:space="preserve">[13] Tam, V. W. Y., Soomro, M., &amp; Evangelista, A. C. J. (2018). A review of recycled aggregate in concrete applications (2000-2017). Construction and Building Materials, 172, 272-292.</w:t>
      </w:r>
    </w:p>
    <w:p xmlns:w="http://schemas.openxmlformats.org/wordprocessingml/2006/main">
      <w:pPr>
        <w:jc w:val="both"/>
        <w:spacing w:after="120"/>
      </w:pPr>
      <w:r>
        <w:rPr>
          <w:sz w:val="20"/>
          <w:szCs w:val="20"/>
        </w:rPr>
        <w:t xml:space="preserve">[14] Geissdoerfer, M., Savaget, P., Bocken, N. M., &amp; Hultink, E. J. (2017). The Circular Economy: A new sustainability paradigm? Journal of Cleaner Production, 143, 757-768.</w:t>
      </w:r>
    </w:p>
    <w:p xmlns:w="http://schemas.openxmlformats.org/wordprocessingml/2006/main">
      <w:pPr>
        <w:jc w:val="both"/>
        <w:spacing w:after="120"/>
      </w:pPr>
      <w:r>
        <w:rPr>
          <w:sz w:val="20"/>
          <w:szCs w:val="20"/>
        </w:rPr>
        <w:t xml:space="preserve">[15] Ahmaruzzaman, M. (2010). A review on the utilization of fly ash. Progress in Energy and Combustion Science, 36(3), 327-363.</w:t>
      </w:r>
    </w:p>
    <w:p xmlns:w="http://schemas.openxmlformats.org/wordprocessingml/2006/main">
      <w:pPr>
        <w:jc w:val="both"/>
        <w:spacing w:after="120"/>
      </w:pPr>
      <w:r>
        <w:rPr>
          <w:sz w:val="20"/>
          <w:szCs w:val="20"/>
        </w:rPr>
        <w:t xml:space="preserve">[16] Siddique, R., &amp; Khan, M. I. (2011). Supplementary Cementing Materials. Springer.</w:t>
      </w:r>
    </w:p>
    <w:p xmlns:w="http://schemas.openxmlformats.org/wordprocessingml/2006/main">
      <w:pPr>
        <w:jc w:val="both"/>
        <w:spacing w:after="120"/>
      </w:pPr>
      <w:r>
        <w:rPr>
          <w:sz w:val="20"/>
          <w:szCs w:val="20"/>
        </w:rPr>
        <w:t xml:space="preserve">[17] Provis, J. L., &amp; van Deventer, J. S. J. (Eds.). (2014). Alkali Activated Materials: State-of-the-Art Report, RILEM TC 224-AAM. Springer.</w:t>
      </w:r>
    </w:p>
    <w:p xmlns:w="http://schemas.openxmlformats.org/wordprocessingml/2006/main">
      <w:pPr>
        <w:jc w:val="both"/>
        <w:spacing w:after="120"/>
      </w:pPr>
      <w:r>
        <w:rPr>
          <w:sz w:val="20"/>
          <w:szCs w:val="20"/>
        </w:rPr>
        <w:t xml:space="preserve">[18] Khairul, M. A., Zanganeh, J., &amp; Moghtaderi, B. (2019). The composition, recycling and utilisation of Bayer red mud. Resources, Conservation and Recycling, 141, 483-498.</w:t>
      </w:r>
    </w:p>
    <w:p xmlns:w="http://schemas.openxmlformats.org/wordprocessingml/2006/main">
      <w:pPr>
        <w:jc w:val="both"/>
        <w:spacing w:after="120"/>
      </w:pPr>
      <w:r>
        <w:rPr>
          <w:sz w:val="20"/>
          <w:szCs w:val="20"/>
        </w:rPr>
        <w:t xml:space="preserve">[19] Xiao, J., Li, W., Fan, Y., &amp; Huang, X. (2012). An overview of study on recycled aggregate concrete in China (1996-2011). Construction and Building Materials, 31, 364-383.</w:t>
      </w:r>
    </w:p>
    <w:p xmlns:w="http://schemas.openxmlformats.org/wordprocessingml/2006/main">
      <w:pPr>
        <w:jc w:val="both"/>
        <w:spacing w:after="120"/>
      </w:pPr>
      <w:r>
        <w:rPr>
          <w:sz w:val="20"/>
          <w:szCs w:val="20"/>
        </w:rPr>
        <w:t xml:space="preserve">[20] Liang, C., Ma, H., Pan, Y., Ma, Z., Duan, Z., &amp; He, Z. (2020). Chloride permeability and the caused steel corrosion in the concrete with carbonated recycled aggregate. Construction and Building Materials, 236, 117474.</w:t>
      </w:r>
    </w:p>
    <w:p xmlns:w="http://schemas.openxmlformats.org/wordprocessingml/2006/main">
      <w:pPr>
        <w:jc w:val="both"/>
        <w:spacing w:after="120"/>
      </w:pPr>
      <w:r>
        <w:rPr>
          <w:sz w:val="20"/>
          <w:szCs w:val="20"/>
        </w:rPr>
        <w:t xml:space="preserve">[21] Behera, M., Bhattacharyya, S. K., Minocha, A. K., Deoliya, R., &amp; Maiti, S. (2014). Recycled aggregate from C&amp;D waste &amp; its use in concrete. Construction and Building Materials, 68, 501-516.</w:t>
      </w:r>
    </w:p>
    <w:p xmlns:w="http://schemas.openxmlformats.org/wordprocessingml/2006/main">
      <w:pPr>
        <w:jc w:val="both"/>
        <w:spacing w:after="120"/>
      </w:pPr>
      <w:r>
        <w:rPr>
          <w:sz w:val="20"/>
          <w:szCs w:val="20"/>
        </w:rPr>
        <w:t xml:space="preserve">[22] Silva, R. V., de Brito, J., &amp; Dhir, R. K. (2014). Properties and composition of recycled aggregates from construction and demolition waste suitable for concrete production. Construction and Building Materials, 65, 201-217.</w:t>
      </w:r>
    </w:p>
    <w:p xmlns:w="http://schemas.openxmlformats.org/wordprocessingml/2006/main">
      <w:pPr>
        <w:jc w:val="both"/>
        <w:spacing w:after="120"/>
      </w:pPr>
      <w:r>
        <w:rPr>
          <w:sz w:val="20"/>
          <w:szCs w:val="20"/>
        </w:rPr>
        <w:t xml:space="preserve">[23] European Parliament. (2008). Directive 2008/98/EC on waste (Waste Framework Directive). Official Journal of the European Union.</w:t>
      </w:r>
    </w:p>
    <w:p xmlns:w="http://schemas.openxmlformats.org/wordprocessingml/2006/main">
      <w:pPr>
        <w:jc w:val="both"/>
        <w:spacing w:after="120"/>
      </w:pPr>
      <w:r>
        <w:rPr>
          <w:sz w:val="20"/>
          <w:szCs w:val="20"/>
        </w:rPr>
        <w:t xml:space="preserve">[24] Siddique, R. (2008). Waste Materials and By-Products in Concrete. Springer.</w:t>
      </w:r>
    </w:p>
    <w:p xmlns:w="http://schemas.openxmlformats.org/wordprocessingml/2006/main">
      <w:pPr>
        <w:jc w:val="both"/>
        <w:spacing w:after="120"/>
      </w:pPr>
      <w:r>
        <w:rPr>
          <w:sz w:val="20"/>
          <w:szCs w:val="20"/>
        </w:rPr>
        <w:t xml:space="preserve">[25] Rashad, A. M. (2014). Recycled waste glass as fine aggregate replacement in cementitious materials based on Portland cement. Construction and Building Materials, 72, 340-357.</w:t>
      </w:r>
    </w:p>
    <w:p xmlns:w="http://schemas.openxmlformats.org/wordprocessingml/2006/main">
      <w:pPr>
        <w:jc w:val="both"/>
        <w:spacing w:after="120"/>
      </w:pPr>
      <w:r>
        <w:rPr>
          <w:sz w:val="20"/>
          <w:szCs w:val="20"/>
        </w:rPr>
        <w:t xml:space="preserve">[26] Modani, P. O., &amp; Vyawahare, M. R. (2013). Utilization of bagasse ash as a partial replacement of fine aggregate in concrete. Procedia Engineering, 51, 25-29.</w:t>
      </w:r>
    </w:p>
    <w:p xmlns:w="http://schemas.openxmlformats.org/wordprocessingml/2006/main">
      <w:pPr>
        <w:jc w:val="both"/>
        <w:spacing w:after="120"/>
      </w:pPr>
      <w:r>
        <w:rPr>
          <w:sz w:val="20"/>
          <w:szCs w:val="20"/>
        </w:rPr>
        <w:t xml:space="preserve">[27] Mehta, A., &amp; Siddique, R. (2016). An overview of geopolymers derived from industrial by-products. Construction and Building Materials, 127, 183-198.</w:t>
      </w:r>
    </w:p>
    <w:p xmlns:w="http://schemas.openxmlformats.org/wordprocessingml/2006/main">
      <w:pPr>
        <w:jc w:val="both"/>
        <w:spacing w:after="120"/>
      </w:pPr>
      <w:r>
        <w:rPr>
          <w:sz w:val="20"/>
          <w:szCs w:val="20"/>
        </w:rPr>
        <w:t xml:space="preserve">[28] Baldé, C. P., Forti, V., Gray, V., Kuehr, R., &amp; Stegmann, P. (2017). The Global E-waste Monitor 2017. United Nations University.</w:t>
      </w:r>
    </w:p>
    <w:p xmlns:w="http://schemas.openxmlformats.org/wordprocessingml/2006/main">
      <w:pPr>
        <w:jc w:val="both"/>
        <w:spacing w:after="120"/>
      </w:pPr>
      <w:r>
        <w:rPr>
          <w:sz w:val="20"/>
          <w:szCs w:val="20"/>
        </w:rPr>
        <w:t xml:space="preserve">[29] Cui, J., &amp; Zhang, L. (2008). Metallurgical recovery of metals from electronic waste: A review. Journal of Hazardous Materials, 158(2-3), 228-256.</w:t>
      </w:r>
    </w:p>
    <w:p xmlns:w="http://schemas.openxmlformats.org/wordprocessingml/2006/main">
      <w:pPr>
        <w:jc w:val="both"/>
        <w:spacing w:after="120"/>
      </w:pPr>
      <w:r>
        <w:rPr>
          <w:sz w:val="20"/>
          <w:szCs w:val="20"/>
        </w:rPr>
        <w:t xml:space="preserve">[30] Işıldar, A., van Hullebusch, E. D., Lenz, M., Du Laing, G., Marra, A., Cesaro, A., &amp; Lens, P. N. (2019). Biotechnological strategies for the recovery of valuable and critical raw materials from waste electrical and electronic equipment. Biotechnology Advances, 37(6), 107440.</w:t>
      </w:r>
    </w:p>
    <w:p xmlns:w="http://schemas.openxmlformats.org/wordprocessingml/2006/main">
      <w:pPr>
        <w:jc w:val="both"/>
        <w:spacing w:after="120"/>
      </w:pPr>
      <w:r>
        <w:rPr>
          <w:sz w:val="20"/>
          <w:szCs w:val="20"/>
        </w:rPr>
        <w:t xml:space="preserve">[31] PlasticsEurope. (2022). Plastics - the Facts 2022. PlasticsEurope.</w:t>
      </w:r>
    </w:p>
    <w:p xmlns:w="http://schemas.openxmlformats.org/wordprocessingml/2006/main">
      <w:pPr>
        <w:jc w:val="both"/>
        <w:spacing w:after="120"/>
      </w:pPr>
      <w:r>
        <w:rPr>
          <w:sz w:val="20"/>
          <w:szCs w:val="20"/>
        </w:rPr>
        <w:t xml:space="preserve">[32] Ragaert, K., Delva, L., &amp; Van Geem, K. (2017). Mechanical and chemical recycling of solid plastic waste. Waste Management, 69, 24-58.</w:t>
      </w:r>
    </w:p>
    <w:p xmlns:w="http://schemas.openxmlformats.org/wordprocessingml/2006/main">
      <w:pPr>
        <w:jc w:val="both"/>
        <w:spacing w:after="120"/>
      </w:pPr>
      <w:r>
        <w:rPr>
          <w:sz w:val="20"/>
          <w:szCs w:val="20"/>
        </w:rPr>
        <w:t xml:space="preserve">[33] Rahimi, A., &amp; García, J. M. (2017). Chemical recycling of waste plastics for new materials production. Nature Reviews Chemistry, 1(6), 0046.</w:t>
      </w:r>
    </w:p>
    <w:p xmlns:w="http://schemas.openxmlformats.org/wordprocessingml/2006/main">
      <w:pPr>
        <w:jc w:val="both"/>
        <w:spacing w:after="120"/>
      </w:pPr>
      <w:r>
        <w:rPr>
          <w:sz w:val="20"/>
          <w:szCs w:val="20"/>
        </w:rPr>
        <w:t xml:space="preserve">[34] Lopez, G., Artetxe, M., Amutio, M., Bilbao, J., &amp; Olazar, M. (2017). Thermochemical routes for the valorization of waste polyolefinic plastics to produce fuels and chemicals. Renewable and Sustainable Energy Reviews, 73, 346-368.</w:t>
      </w:r>
    </w:p>
    <w:p xmlns:w="http://schemas.openxmlformats.org/wordprocessingml/2006/main">
      <w:pPr>
        <w:jc w:val="both"/>
        <w:spacing w:after="120"/>
      </w:pPr>
      <w:r>
        <w:rPr>
          <w:sz w:val="20"/>
          <w:szCs w:val="20"/>
        </w:rPr>
        <w:t xml:space="preserve">[35] Vollmer, I., Jenks, M. J. F., Roelands, M. C. P., White, R. J., van Harmelen, T., de Wild, P., &amp; Weckhuysen, B. M. (2020). Beyond mechanical recycling: Giving new life to plastic waste. Angewandte Chemie International Edition, 59(36), 15402-15423.</w:t>
      </w:r>
    </w:p>
    <w:p xmlns:w="http://schemas.openxmlformats.org/wordprocessingml/2006/main">
      <w:pPr>
        <w:jc w:val="both"/>
        <w:spacing w:after="120"/>
      </w:pPr>
      <w:r>
        <w:rPr>
          <w:sz w:val="20"/>
          <w:szCs w:val="20"/>
        </w:rPr>
        <w:t xml:space="preserve">[36] Laurent, A., Bakas, I., Clavreul, J., Bernstad, A., Niero, M., Gentil, E., &amp; Christensen, T. H. (2014). Review of LCA studies of solid waste management systems. Waste Management, 34(3), 573-588.</w:t>
      </w:r>
    </w:p>
    <w:p xmlns:w="http://schemas.openxmlformats.org/wordprocessingml/2006/main">
      <w:pPr>
        <w:jc w:val="both"/>
        <w:spacing w:after="120"/>
      </w:pPr>
      <w:r>
        <w:rPr>
          <w:sz w:val="20"/>
          <w:szCs w:val="20"/>
        </w:rPr>
        <w:t xml:space="preserve">[37] Haupt, M., &amp; Zschokke, M. (2017). How can LCA support the circular economy? International Journal of Life Cycle Assessment, 22(5), 832-837.</w:t>
      </w:r>
    </w:p>
    <w:p xmlns:w="http://schemas.openxmlformats.org/wordprocessingml/2006/main">
      <w:pPr>
        <w:jc w:val="both"/>
        <w:spacing w:after="120"/>
      </w:pPr>
      <w:r>
        <w:rPr>
          <w:sz w:val="20"/>
          <w:szCs w:val="20"/>
        </w:rPr>
        <w:t xml:space="preserve">[38] Rigamonti, L., Grosso, M., &amp; Sunseri, M. C. (2009). Influence of assumptions about selection and recycling efficiencies on the LCA of integrated waste management systems. International Journal of Life Cycle Assessment, 14(5), 411-419.</w:t>
      </w:r>
    </w:p>
    <w:p xmlns:w="http://schemas.openxmlformats.org/wordprocessingml/2006/main">
      <w:pPr>
        <w:jc w:val="both"/>
        <w:spacing w:after="120"/>
      </w:pPr>
      <w:r>
        <w:rPr>
          <w:sz w:val="20"/>
          <w:szCs w:val="20"/>
        </w:rPr>
        <w:t xml:space="preserve">[39] Ekvall, T., &amp; Tillman, A. M. (1997). Open-loop recycling: Criteria for allocation procedures. International Journal of Life Cycle Assessment, 2(3), 155-162.</w:t>
      </w:r>
    </w:p>
    <w:p xmlns:w="http://schemas.openxmlformats.org/wordprocessingml/2006/main">
      <w:pPr>
        <w:jc w:val="both"/>
        <w:spacing w:after="120"/>
      </w:pPr>
      <w:r>
        <w:rPr>
          <w:sz w:val="20"/>
          <w:szCs w:val="20"/>
        </w:rPr>
        <w:t xml:space="preserve">[40] Schrijvers, D. L., Loubet, P., &amp; Sonnemann, G. (2016). Developing a systematic framework for consistent allocation in LCA. International Journal of Life Cycle Assessment, 21(7), 976-993.</w:t>
      </w:r>
    </w:p>
    <w:p xmlns:w="http://schemas.openxmlformats.org/wordprocessingml/2006/main">
      <w:pPr>
        <w:jc w:val="both"/>
        <w:spacing w:after="120"/>
      </w:pPr>
      <w:r>
        <w:rPr>
          <w:sz w:val="20"/>
          <w:szCs w:val="20"/>
        </w:rPr>
        <w:t xml:space="preserve">[41] ISO 14044:2006. (2006). Environmental Management - Life Cycle Assessment - Requirements and Guidelines. International Organization for Standardization.</w:t>
      </w:r>
    </w:p>
    <w:p xmlns:w="http://schemas.openxmlformats.org/wordprocessingml/2006/main">
      <w:pPr>
        <w:jc w:val="both"/>
        <w:spacing w:after="120"/>
      </w:pPr>
      <w:r>
        <w:rPr>
          <w:sz w:val="20"/>
          <w:szCs w:val="20"/>
        </w:rPr>
        <w:t xml:space="preserve">[42] Worrell, E., &amp; Reuter, M. A. (Eds.). (2014). Handbook of Recycling: State-of-the-art for Practitioners, Analysts, and Scientists. Elsevier.</w:t>
      </w:r>
    </w:p>
    <w:p xmlns:w="http://schemas.openxmlformats.org/wordprocessingml/2006/main">
      <w:pPr>
        <w:jc w:val="both"/>
        <w:spacing w:after="120"/>
      </w:pPr>
      <w:r>
        <w:rPr>
          <w:sz w:val="20"/>
          <w:szCs w:val="20"/>
        </w:rPr>
        <w:t xml:space="preserve">[43] Turner, D. A., Williams, I. D., &amp; Kemp, S. (2015). Greenhouse gas emission factors for recycling of source-segregated waste materials. Resources, Conservation and Recycling, 105, 186-197.</w:t>
      </w:r>
    </w:p>
    <w:p xmlns:w="http://schemas.openxmlformats.org/wordprocessingml/2006/main">
      <w:pPr>
        <w:jc w:val="both"/>
        <w:spacing w:after="120"/>
      </w:pPr>
      <w:r>
        <w:rPr>
          <w:sz w:val="20"/>
          <w:szCs w:val="20"/>
        </w:rPr>
        <w:t xml:space="preserve">[44] Xuan, D., Zhan, B., &amp; Poon, C. S. (2016). Assessment of mechanical properties of concrete incorporating carbonated recycled concrete aggregates. Cement and Concrete Composites, 65, 67-74.</w:t>
      </w:r>
    </w:p>
    <w:p xmlns:w="http://schemas.openxmlformats.org/wordprocessingml/2006/main">
      <w:pPr>
        <w:jc w:val="both"/>
        <w:spacing w:after="120"/>
      </w:pPr>
      <w:r>
        <w:rPr>
          <w:sz w:val="20"/>
          <w:szCs w:val="20"/>
        </w:rPr>
        <w:t xml:space="preserve">[45] Lehmann, J., Gaunt, J., &amp; Rondon, M. (2006). Bio-char sequestration in terrestrial ecosystems. Mitigation and Adaptation Strategies for Global Change, 11(2), 403-427.</w:t>
      </w:r>
    </w:p>
    <w:p xmlns:w="http://schemas.openxmlformats.org/wordprocessingml/2006/main">
      <w:pPr>
        <w:jc w:val="both"/>
        <w:spacing w:after="120"/>
      </w:pPr>
      <w:r>
        <w:rPr>
          <w:sz w:val="20"/>
          <w:szCs w:val="20"/>
        </w:rPr>
        <w:t xml:space="preserve">[46] Pan, S. Y., Chiang, P. C., Pan, W., &amp; Kim, H. (2018). Advances in state-of-art valorization technologies for captured CO2 toward sustainable carbon cycle. Critical Reviews in Environmental Science and Technology, 48(5), 471-534.</w:t>
      </w:r>
    </w:p>
    <w:p xmlns:w="http://schemas.openxmlformats.org/wordprocessingml/2006/main">
      <w:pPr>
        <w:jc w:val="both"/>
        <w:spacing w:after="120"/>
      </w:pPr>
      <w:r>
        <w:rPr>
          <w:sz w:val="20"/>
          <w:szCs w:val="20"/>
        </w:rPr>
        <w:t xml:space="preserve">[47] Luhar, S., Cheng, T. W., &amp; Luhar, I. (2019). Incorporation of natural waste from agricultural and aquacultural farming as supplementary materials with green concrete. Composites Part B: Engineering, 175, 107076.</w:t>
      </w:r>
    </w:p>
    <w:p xmlns:w="http://schemas.openxmlformats.org/wordprocessingml/2006/main">
      <w:pPr>
        <w:jc w:val="both"/>
        <w:spacing w:after="120"/>
      </w:pPr>
      <w:r>
        <w:rPr>
          <w:sz w:val="20"/>
          <w:szCs w:val="20"/>
        </w:rPr>
        <w:t xml:space="preserve">[48] Wang, L., Chen, L., Tsang, D. C., Poon, C. S., &amp; Shih, K. (2020). Value-added recycling of construction waste wood into noise and thermal insulating cement-bonded particleboards. Construction and Building Materials, 233, 117316.</w:t>
      </w:r>
    </w:p>
    <w:p xmlns:w="http://schemas.openxmlformats.org/wordprocessingml/2006/main">
      <w:pPr>
        <w:jc w:val="both"/>
        <w:spacing w:after="120"/>
      </w:pPr>
      <w:r>
        <w:rPr>
          <w:sz w:val="20"/>
          <w:szCs w:val="20"/>
        </w:rPr>
        <w:t xml:space="preserve">[49] Naser, M. Z. (2019). AI-based assessment and design of recycled aggregate concrete. Engineering Structures, 178, 389-398.</w:t>
      </w:r>
    </w:p>
    <w:p xmlns:w="http://schemas.openxmlformats.org/wordprocessingml/2006/main">
      <w:pPr>
        <w:jc w:val="both"/>
        <w:spacing w:after="120"/>
      </w:pPr>
      <w:r>
        <w:rPr>
          <w:sz w:val="20"/>
          <w:szCs w:val="20"/>
        </w:rPr>
        <w:t xml:space="preserve">[50] Bui, D. K., Nguyen, T., Chou, J. S., Nguyen-Xuan, H., &amp; Ngo, T. D. (2018). A modified firefly algorithm-artificial neural network expert system for predicting compressive and tensile strength of high-performance concrete. Construction and Building Materials, 180, 320-333.</w:t>
      </w:r>
    </w:p>
    <w:p xmlns:w="http://schemas.openxmlformats.org/wordprocessingml/2006/main">
      <w:pPr>
        <w:jc w:val="both"/>
        <w:spacing w:after="120"/>
      </w:pPr>
      <w:r>
        <w:rPr>
          <w:sz w:val="20"/>
          <w:szCs w:val="20"/>
        </w:rPr>
        <w:t xml:space="preserve">[51] Gundupalli, S. P., Hait, S., &amp; Thakur, A. (2017). A review on automated sorting of source-separated municipal solid waste for recycling. Waste Management, 60, 56-74.</w:t>
      </w:r>
    </w:p>
    <w:p xmlns:w="http://schemas.openxmlformats.org/wordprocessingml/2006/main">
      <w:pPr>
        <w:jc w:val="both"/>
        <w:spacing w:after="120"/>
      </w:pPr>
      <w:r>
        <w:rPr>
          <w:sz w:val="20"/>
          <w:szCs w:val="20"/>
        </w:rPr>
        <w:t xml:space="preserve">[52] Duan, Z., Hou, S., Xiao, J., &amp; Singh, A. (2020). Rheological properties of mortar containing recycled powders from C&amp;D wastes. Construction and Building Materials, 237, 117622.</w:t>
      </w:r>
    </w:p>
    <w:p xmlns:w="http://schemas.openxmlformats.org/wordprocessingml/2006/main">
      <w:pPr>
        <w:jc w:val="both"/>
        <w:spacing w:after="120"/>
      </w:pPr>
      <w:r>
        <w:rPr>
          <w:sz w:val="20"/>
          <w:szCs w:val="20"/>
        </w:rPr>
        <w:t xml:space="preserve">[53] Asteris, P. G., Skentou, A. D., Bardhan, A., Samui, P., &amp; Pilakoutas, K. (2021). Predicting concrete compressive strength using hybrid ensembling of surrogate machine learning models. Cement and Concrete Research, 145, 106449.</w:t>
      </w:r>
    </w:p>
    <w:p xmlns:w="http://schemas.openxmlformats.org/wordprocessingml/2006/main">
      <w:pPr>
        <w:jc w:val="both"/>
        <w:spacing w:after="120"/>
      </w:pPr>
      <w:r>
        <w:rPr>
          <w:sz w:val="20"/>
          <w:szCs w:val="20"/>
        </w:rPr>
        <w:t xml:space="preserve">[54] Serranti, S., Luciani, V., Bonifazi, G., Hu, B., &amp; Rem, P. C. (2015). An innovative recycling process to obtain pure polyethylene and polypropylene from household waste. Waste Management, 35, 12-20.</w:t>
      </w:r>
    </w:p>
    <w:p xmlns:w="http://schemas.openxmlformats.org/wordprocessingml/2006/main">
      <w:pPr>
        <w:jc w:val="both"/>
        <w:spacing w:after="120"/>
      </w:pPr>
      <w:r>
        <w:rPr>
          <w:sz w:val="20"/>
          <w:szCs w:val="20"/>
        </w:rPr>
        <w:t xml:space="preserve">[55] Lubongo, C., &amp; Alexandridis, P. (2022). Assessment of performance and challenges in use of commercial automated sorting technology for plastic waste. Recycling, 7(2), 11.</w:t>
      </w:r>
    </w:p>
    <w:p xmlns:w="http://schemas.openxmlformats.org/wordprocessingml/2006/main">
      <w:pPr>
        <w:jc w:val="both"/>
        <w:spacing w:after="120"/>
      </w:pPr>
      <w:r>
        <w:rPr>
          <w:sz w:val="20"/>
          <w:szCs w:val="20"/>
        </w:rPr>
        <w:t xml:space="preserve">[56] Shanmugam, V., Das, O., Neisiany, R. E., Babu, K., Singh, S., Hedenqvist, M. S., &amp; Berto, F. (2020). Polymer recycling in additive manufacturing: An opportunity for the circular economy. Materials Circular Economy, 2(1), 1-11.</w:t>
      </w:r>
    </w:p>
    <w:p xmlns:w="http://schemas.openxmlformats.org/wordprocessingml/2006/main">
      <w:pPr>
        <w:jc w:val="both"/>
        <w:spacing w:after="120"/>
      </w:pPr>
      <w:r>
        <w:rPr>
          <w:sz w:val="20"/>
          <w:szCs w:val="20"/>
        </w:rPr>
        <w:t xml:space="preserve">[57] Grieves, M., &amp; Vickers, J. (2017). Digital twin: Mitigating unpredictable, undesirable emergent behavior in complex systems. In Transdisciplinary Perspectives on Complex Systems (pp. 85-113). Springer.</w:t>
      </w:r>
    </w:p>
    <w:p xmlns:w="http://schemas.openxmlformats.org/wordprocessingml/2006/main">
      <w:pPr>
        <w:jc w:val="both"/>
        <w:spacing w:after="120"/>
      </w:pPr>
      <w:r>
        <w:rPr>
          <w:sz w:val="20"/>
          <w:szCs w:val="20"/>
        </w:rPr>
        <w:t xml:space="preserve">[58] Lu, Y., Liu, C., Wang, K. I. K., Huang, H., &amp; Xu, X. (2020). Digital Twin-driven smart manufacturing: Connotation, reference model, applications and research issues. Robotics and Computer-Integrated Manufacturing, 61, 101837.</w:t>
      </w:r>
    </w:p>
    <w:p xmlns:w="http://schemas.openxmlformats.org/wordprocessingml/2006/main">
      <w:pPr>
        <w:jc w:val="both"/>
        <w:spacing w:after="120"/>
      </w:pPr>
      <w:r>
        <w:rPr>
          <w:sz w:val="20"/>
          <w:szCs w:val="20"/>
        </w:rPr>
        <w:t xml:space="preserve">[59] Kouhizadeh, M., Zhu, Q., &amp; Sarkis, J. (2020). Blockchain and the circular economy: Potential tensions and critical reflections from practice. Production Planning &amp; Control, 31(11-12), 950-966.</w:t>
      </w:r>
    </w:p>
    <w:p xmlns:w="http://schemas.openxmlformats.org/wordprocessingml/2006/main">
      <w:pPr>
        <w:jc w:val="both"/>
        <w:spacing w:after="120"/>
      </w:pPr>
      <w:r>
        <w:rPr>
          <w:sz w:val="20"/>
          <w:szCs w:val="20"/>
        </w:rPr>
        <w:t xml:space="preserve">[60] Esmaeilian, B., Sarkis, J., Lewis, K., &amp; Behdad, S. (2020). Blockchain for the future of sustainable supply chain management in Industry 4.0. Resources, Conservation and Recycling, 163, 105064.</w:t>
      </w:r>
    </w:p>
    <w:p xmlns:w="http://schemas.openxmlformats.org/wordprocessingml/2006/main">
      <w:pPr>
        <w:jc w:val="both"/>
        <w:spacing w:after="120"/>
      </w:pPr>
      <w:r>
        <w:rPr>
          <w:sz w:val="20"/>
          <w:szCs w:val="20"/>
        </w:rPr>
        <w:t xml:space="preserve">[61] de Sousa Jabbour, A. B. L., Jabbour, C. J. C., Godinho Filho, M., &amp; Roubaud, D. (2018). Industry 4.0 and the circular economy: A proposed research agenda and original roadmap for sustainable operations. Annals of Operations Research, 270(1), 273-286.</w:t>
      </w:r>
    </w:p>
    <w:p xmlns:w="http://schemas.openxmlformats.org/wordprocessingml/2006/main">
      <w:pPr>
        <w:jc w:val="both"/>
        <w:spacing w:after="120"/>
      </w:pPr>
      <w:r>
        <w:rPr>
          <w:sz w:val="20"/>
          <w:szCs w:val="20"/>
        </w:rPr>
        <w:t xml:space="preserve">[62] Nobre, G. C., &amp; Tavares, E. (2021). Scientific literature analysis on big data and internet of things applications on circular economy: A bibliometric study. Scientometrics, 111(1), 463-492.</w:t>
      </w:r>
    </w:p>
    <w:p xmlns:w="http://schemas.openxmlformats.org/wordprocessingml/2006/main">
      <w:pPr>
        <w:jc w:val="both"/>
        <w:spacing w:after="120"/>
      </w:pPr>
      <w:r>
        <w:rPr>
          <w:sz w:val="20"/>
          <w:szCs w:val="20"/>
        </w:rPr>
        <w:t xml:space="preserve">[63] Rathore, P., &amp; Sarmah, S. P. (2020). Economic, environmental and social optimization of solid waste management in the context of circular economy. Computers &amp; Industrial Engineering, 145, 106510.</w:t>
      </w:r>
    </w:p>
    <w:sectPr>
      <w:pgSz w:w="12240" w:h="15840"/>
      <w:pgMar w:top="1440" w:right="1440" w:bottom="1440" w:left="1440"/>
    </w:sectPr>
  </w:body>
</w:document>
</file>

<file path=word/numbering.xml><?xml version="1.0" encoding="utf-8"?>
<w:numbering xmlns:w="http://schemas.openxmlformats.org/wordprocessingml/2006/main"/>
</file>

<file path=word/styles.xml><?xml version="1.0" encoding="utf-8"?>
<w:styles xmlns:w="http://schemas.openxmlformats.org/wordprocessingml/2006/main">
  <w:style w:type="paragraph" w:styleId="Normal">
    <w:name w:val="Normal"/>
    <w:rPr>
      <w:sz w:val="24"/>
      <w:szCs w:val="24"/>
      <w:rFonts w:ascii="Times New Roman" w:hAnsi="Times New Roman"/>
    </w:rPr>
  </w:style>
  <w:style w:type="paragraph" w:styleId="Heading1">
    <w:name w:val="heading 1"/>
    <w:pPr>
      <w:spacing w:before="360" w:after="240"/>
    </w:pPr>
    <w:rPr>
      <w:b/>
      <w:sz w:val="32"/>
      <w:szCs w:val="32"/>
      <w:rFonts w:ascii="Times New Roman" w:hAnsi="Times New Roman"/>
    </w:rPr>
  </w:style>
  <w:style w:type="paragraph" w:styleId="Heading2">
    <w:name w:val="heading 2"/>
    <w:pPr>
      <w:spacing w:before="360" w:after="240"/>
    </w:pPr>
    <w:rPr>
      <w:b/>
      <w:sz w:val="28"/>
      <w:szCs w:val="28"/>
      <w:rFonts w:ascii="Times New Roman" w:hAnsi="Times New Roman"/>
    </w:rPr>
  </w:style>
  <w:style w:type="paragraph" w:styleId="Heading3">
    <w:name w:val="heading 3"/>
    <w:pPr>
      <w:spacing w:before="360" w:after="240"/>
    </w:pPr>
    <w:rPr>
      <w:b/>
      <w:sz w:val="26"/>
      <w:szCs w:val="26"/>
      <w:rFonts w:ascii="Times New Roman" w:hAnsi="Times New Roman"/>
    </w:r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Figure1.png"/><Relationship Id="rId4" Type="http://schemas.openxmlformats.org/officeDocument/2006/relationships/image" Target="media/Figure2.png"/><Relationship Id="rId5" Type="http://schemas.openxmlformats.org/officeDocument/2006/relationships/image" Target="media/Figure3.png"/><Relationship Id="rId6" Type="http://schemas.openxmlformats.org/officeDocument/2006/relationships/image" Target="media/Figure4.png"/><Relationship Id="rId7" Type="http://schemas.openxmlformats.org/officeDocument/2006/relationships/image" Target="media/Figure5.png"/><Relationship Id="rId8" Type="http://schemas.openxmlformats.org/officeDocument/2006/relationships/image" Target="media/Figure6.png"/><Relationship Id="rId9" Type="http://schemas.openxmlformats.org/officeDocument/2006/relationships/image" Target="media/Figure7.png"/></Relationships>
</file>