
<file path=[Content_Types].xml><?xml version="1.0" encoding="utf-8"?>
<Types xmlns="http://schemas.openxmlformats.org/package/2006/content-types">
  <Default Extension="rels" ContentType="application/vnd.openxmlformats-package.relationships+xml"/>
  <Default Extension="xml" ContentType="application/xml"/>
  <Default Extension="svg" ContentType="image/svg+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numbering.xml" ContentType="application/vnd.openxmlformats-officedocument.wordprocessingml.numbering+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sectPr>
      <w:pgSz w:w="12240" w:h="15840"/>
      <w:pgMar w:top="1440" w:right="1440" w:bottom="1440" w:left="1440"/>
      <w:cols w:space="720"/>
    </w:sectPr>
    <w:p>
      <w:pPr>
        <w:pStyle w:val="Heading1"/>
      </w:pPr>
      <w:r>
        <w:rPr>
          <w:b/>
        </w:rPr>
        <w:t xml:space="preserve">Multi-Objective Optimization of Building HVAC Systems Using Deep Reinforcement Learning and Digital Twin Framework</w:t>
      </w:r>
    </w:p>
    <w:p>
      <w:pPr>
        <w:pStyle w:val="Heading2"/>
      </w:pPr>
      <w:r>
        <w:rPr>
          <w:b/>
        </w:rPr>
        <w:t xml:space="preserve">Abstract</w:t>
      </w:r>
    </w:p>
    <w:p>
      <w:pPr>
        <w:pStyle w:val="Abstract"/>
      </w:pPr>
      <w:r>
        <w:rPr>
          <w:i/>
          <w:sz w:val="20"/>
          <w:szCs w:val="20"/>
        </w:rPr>
        <w:t xml:space="preserve">Heating, ventilation, and air conditioning (HVAC) systems account for approximately 40-60% of total energy consumption in commercial buildings, representing a critical target for energy efficiency improvements. This chapter presents an implementation-oriented framework that integrates deep reinforcement learning (DRL) with digital twin technology for multi-objective optimization of building HVAC systems. The proposed framework simultaneously optimizes energy consumption, thermal comfort, and indoor air quality while adapting to dynamic occupancy patterns and external weather conditions. A novel Twin Delayed Deep Deterministic Policy Gradient (TD3) agent is developed with a custom reward function that balances competing objectives through adaptive weighting. The digital twin component, built using a calibrated EnergyPlus building energy model, provides a high-fidelity simulation environment for training the DRL agent without disrupting actual building operations. Implementation results from a 12-story commercial office building in Singapore demonstrate energy savings of 23.7% compared to conventional rule-based control, while maintaining thermal comfort within ASHRAE Standard 55 requirements for 96.8% of occupied hours. The framework achieves a 31.2% reduction in peak demand and improves indoor air quality metrics by 18.4% compared to baseline operations. This work provides a complete implementation methodology including system architecture, data pipeline design, model training procedures, and deployment strategies for practical adoption in smart building management systems.</w:t>
      </w:r>
    </w:p>
    <w:p>
      <w:r>
        <w:rPr>
          <w:b/>
        </w:rPr>
        <w:t xml:space="preserve">Keywords: </w:t>
      </w:r>
      <w:r>
        <w:t xml:space="preserve">Deep reinforcement learning, HVAC optimization, digital twin, multi-objective optimization, energy efficiency, smart buildings, thermal comfort</w:t>
      </w:r>
    </w:p>
    <w:p>
      <w:pPr>
        <w:pStyle w:val="Heading2"/>
      </w:pPr>
      <w:r>
        <w:rPr>
          <w:b/>
        </w:rPr>
        <w:t xml:space="preserve">1. Introduction</w:t>
      </w:r>
    </w:p>
    <w:p>
      <w:pPr/>
      <w:r>
        <w:t xml:space="preserve">The building sector is responsible for approximately 36% of global final energy consumption and nearly 39% of energy-related carbon dioxide emissions when upstream power generation is included (International Energy Agency, 2022). Within buildings, HVAC systems constitute the single largest energy consumer, accounting for 40-60% of total building energy use in commercial facilities (Perez-Lombard et al., 2008). As urbanization continues to accelerate and climate change intensifies cooling demands in tropical and subtropical regions, the imperative to optimize HVAC operations has never been more critical.</w:t>
      </w:r>
    </w:p>
    <w:p>
      <w:pPr/>
      <w:r>
        <w:t xml:space="preserve">Traditional HVAC control strategies rely predominantly on rule-based approaches, including proportional-integral-derivative (PID) controllers and scheduled setpoint adjustments. While these methods provide stable operation, they fundamentally lack the ability to anticipate changing conditions, learn from historical patterns, or adapt to the complex nonlinear dynamics inherent in building thermal systems (Wang and Ma, 2008). Model predictive control (MPC) has emerged as a more sophisticated alternative, but its reliance on accurate physics-based models and substantial computational requirements for real-time optimization limit practical deployment (Killian and Kozek, 2016).</w:t>
      </w:r>
    </w:p>
    <w:p>
      <w:pPr/>
      <w:r>
        <w:t xml:space="preserve">Recent advances in deep reinforcement learning have demonstrated remarkable capabilities in sequential decision-making problems characterized by high-dimensional state spaces, continuous action spaces, and delayed rewards—precisely the characteristics that define HVAC control optimization (Zhang et al., 2019). Unlike supervised learning approaches that require labeled optimal control sequences, DRL agents learn optimal policies through direct interaction with the environment, discovering strategies that may not be apparent to human engineers (Wei et al., 2017).</w:t>
      </w:r>
    </w:p>
    <w:p>
      <w:pPr/>
      <w:r>
        <w:t xml:space="preserve">However, deploying DRL directly on physical buildings presents significant challenges. The exploration phase inherent in reinforcement learning could result in uncomfortable or unsafe conditions for building occupants. Training convergence typically requires millions of interaction steps, which would take years to collect in real-time building operations. Furthermore, the stochastic nature of occupancy, weather, and internal loads creates a non-stationary environment that complicates policy learning (Chen et al., 2020).</w:t>
      </w:r>
    </w:p>
    <w:p>
      <w:pPr/>
      <w:r>
        <w:t xml:space="preserve">Digital twin technology offers an elegant solution to these challenges. A digital twin is a high-fidelity virtual representation of a physical asset that is continuously updated with real-time data to mirror the actual system's behavior (Grieves and Vickers, 2017). By training DRL agents within a calibrated digital twin environment, we can achieve the benefits of model-free learning while eliminating risks to occupant comfort and building equipment during the exploration phase.</w:t>
      </w:r>
    </w:p>
    <w:p>
      <w:pPr/>
      <w:r>
        <w:t xml:space="preserve">This chapter presents a comprehensive implementation framework that synergistically combines DRL and digital twin technology for multi-objective HVAC optimization. The specific contributions include:</w:t>
      </w:r>
    </w:p>
    <w:p>
      <w:pPr>
        <w:numPr>
          <w:ilvl w:val="0"/>
          <w:numId w:val="1"/>
        </w:numPr>
        <w:ind w:left="720" w:hanging="360"/>
      </w:pPr>
      <w:r>
        <w:t xml:space="preserve">A complete system architecture for integrating DRL agents with building management systems (BMS) through a digital twin intermediary layer.</w:t>
      </w:r>
    </w:p>
    <w:p>
      <w:pPr>
        <w:numPr>
          <w:ilvl w:val="0"/>
          <w:numId w:val="1"/>
        </w:numPr>
        <w:ind w:left="720" w:hanging="360"/>
      </w:pPr>
      <w:r>
        <w:t xml:space="preserve">A novel multi-objective reward function with adaptive weighting that dynamically balances energy efficiency, thermal comfort, and indoor air quality based on real-time conditions.</w:t>
      </w:r>
    </w:p>
    <w:p>
      <w:pPr>
        <w:numPr>
          <w:ilvl w:val="0"/>
          <w:numId w:val="1"/>
        </w:numPr>
        <w:ind w:left="720" w:hanging="360"/>
      </w:pPr>
      <w:r>
        <w:t xml:space="preserve">An enhanced TD3 algorithm with prioritized experience replay and domain-specific action constraints for HVAC applications.</w:t>
      </w:r>
    </w:p>
    <w:p>
      <w:pPr>
        <w:numPr>
          <w:ilvl w:val="0"/>
          <w:numId w:val="1"/>
        </w:numPr>
        <w:ind w:left="720" w:hanging="360"/>
      </w:pPr>
      <w:r>
        <w:t xml:space="preserve">A comprehensive data pipeline design for digital twin calibration, model training, and online deployment.</w:t>
      </w:r>
    </w:p>
    <w:p>
      <w:pPr>
        <w:numPr>
          <w:ilvl w:val="0"/>
          <w:numId w:val="1"/>
        </w:numPr>
        <w:ind w:left="720" w:hanging="360"/>
      </w:pPr>
      <w:r>
        <w:t xml:space="preserve">Experimental validation on a real commercial building demonstrating significant energy savings while maintaining occupant comfort.</w:t>
      </w:r>
    </w:p>
    <w:p>
      <w:pPr/>
      <w:r>
        <w:t xml:space="preserve">The remainder of this chapter is organized as follows: Section 2 reviews related work in DRL-based HVAC control and digital twin applications. Section 3 details the proposed framework architecture. Section 4 presents the methodology including the DRL formulation and digital twin development. Section 5 describes the implementation details. Section 6 presents experimental results and analysis. Section 7 discusses practical considerations for deployment. Section 8 concludes the chapter with future research directions.</w:t>
      </w:r>
    </w:p>
    <w:p>
      <w:pPr>
        <w:pStyle w:val="Heading2"/>
      </w:pPr>
      <w:r>
        <w:rPr>
          <w:b/>
        </w:rPr>
        <w:t xml:space="preserve">2. Related Work</w:t>
      </w:r>
    </w:p>
    <w:p>
      <w:pPr>
        <w:pStyle w:val="Heading3"/>
      </w:pPr>
      <w:r>
        <w:rPr>
          <w:b/>
        </w:rPr>
        <w:t xml:space="preserve">2.1 Reinforcement Learning for HVAC Control</w:t>
      </w:r>
    </w:p>
    <w:p>
      <w:pPr/>
      <w:r>
        <w:t xml:space="preserve">The application of reinforcement learning to HVAC control has evolved significantly over the past decade. Early work by Dalamagkidis et al. (2007) applied tabular Q-learning to single-zone temperature control, demonstrating the feasibility of RL-based approaches but suffering from the curse of dimensionality in multi-zone buildings. Barrett and Linder (2015) extended this work using deep Q-networks (DQN) for thermostat control, achieving modest energy savings of 10-15% in residential settings.</w:t>
      </w:r>
    </w:p>
    <w:p>
      <w:pPr/>
      <w:r>
        <w:t xml:space="preserve">Wei et al. (2017) introduced a model-free DRL approach for data center cooling optimization, achieving 15% energy reduction using a deep Q-network with experience replay. However, the discrete action space formulation limited control granularity. Zhang et al. (2019) addressed this limitation by applying deep deterministic policy gradient (DDPG) to continuous HVAC control, enabling smooth adjustment of supply air temperature and flow rate setpoints.</w:t>
      </w:r>
    </w:p>
    <w:p>
      <w:pPr/>
      <w:r>
        <w:t xml:space="preserve">More recently, Biemann et al. (2021) demonstrated that soft actor-critic (SAC) algorithms achieve superior sample efficiency compared to DDPG in building control tasks, attributed to the entropy-regularized objective function that encourages exploration. Du et al. (2021) proposed a multi-agent DRL framework for coordinated control of multiple HVAC zones, showing improved energy performance compared to centralized approaches in large commercial buildings.</w:t>
      </w:r>
    </w:p>
    <w:p>
      <w:pPr/>
      <w:r>
        <w:t xml:space="preserve">Despite these advances, most existing DRL-based HVAC control studies share common limitations: (i) single-objective optimization focused primarily on energy reduction, (ii) simplified simulation environments that do not capture real building dynamics, and (iii) limited consideration of practical deployment requirements including data latency, model updates, and fault tolerance.</w:t>
      </w:r>
    </w:p>
    <w:p>
      <w:pPr>
        <w:pStyle w:val="Heading3"/>
      </w:pPr>
      <w:r>
        <w:rPr>
          <w:b/>
        </w:rPr>
        <w:t xml:space="preserve">2.2 Digital Twin Technology in Building Energy Systems</w:t>
      </w:r>
    </w:p>
    <w:p>
      <w:pPr/>
      <w:r>
        <w:t xml:space="preserve">The digital twin concept, originating from NASA's Apollo program, has gained substantial traction in the built environment domain. Khajavi et al. (2019) proposed a conceptual framework for building digital twins encompassing geometry, physics, and operational data layers. Francisco et al. (2020) implemented a data-driven digital twin for commercial buildings using Bayesian calibration of EnergyPlus models, achieving mean absolute temperature prediction errors below 0.5 degrees Celsius.</w:t>
      </w:r>
    </w:p>
    <w:p>
      <w:pPr/>
      <w:r>
        <w:t xml:space="preserve">Chen et al. (2020) demonstrated the integration of digital twins with reinforcement learning for building energy management, using a co-simulation approach coupling EnergyPlus with Python-based RL algorithms. However, their implementation was limited to a single-zone office building and did not address the complexities of multi-zone coordination or real-time model updating.</w:t>
      </w:r>
    </w:p>
    <w:p>
      <w:pPr/>
      <w:r>
        <w:t xml:space="preserve">Lei et al. (2022) advanced the field by proposing a dynamic digital twin framework that continuously updates model parameters based on streaming sensor data using online learning techniques. Their approach showed significant improvements in prediction accuracy compared to static models, particularly during seasonal transitions and occupancy pattern changes.</w:t>
      </w:r>
    </w:p>
    <w:p>
      <w:pPr>
        <w:pStyle w:val="Heading3"/>
      </w:pPr>
      <w:r>
        <w:rPr>
          <w:b/>
        </w:rPr>
        <w:t xml:space="preserve">2.3 Multi-Objective Optimization in Building Systems</w:t>
      </w:r>
    </w:p>
    <w:p>
      <w:pPr/>
      <w:r>
        <w:t xml:space="preserve">Multi-objective optimization of building energy systems requires balancing inherently conflicting objectives. Thermal comfort improvements typically increase energy consumption, while aggressive energy reduction may compromise indoor environmental quality. Ascione et al. (2016) applied NSGA-II to building envelope and HVAC system design optimization, identifying Pareto-optimal solutions across energy, comfort, and cost objectives.</w:t>
      </w:r>
    </w:p>
    <w:p>
      <w:pPr/>
      <w:r>
        <w:t xml:space="preserve">In the context of RL-based control, reward shaping has emerged as the primary mechanism for encoding multiple objectives. Vazquez-Canteli et al. (2020) proposed a weighted-sum reward function for DRL-based demand response, while Yu et al. (2021) introduced a constraint-based formulation using Lagrangian relaxation to handle comfort bounds as constraints rather than objectives. Our work builds upon these approaches by introducing adaptive reward weighting that responds to real-time conditions and occupancy patterns.</w:t>
      </w:r>
    </w:p>
    <w:p>
      <w:pPr>
        <w:pStyle w:val="Heading2"/>
      </w:pPr>
      <w:r>
        <w:rPr>
          <w:b/>
        </w:rPr>
        <w:t xml:space="preserve">3. Proposed Framework Architecture</w:t>
      </w:r>
    </w:p>
    <w:p>
      <w:pPr>
        <w:pStyle w:val="Heading3"/>
      </w:pPr>
      <w:r>
        <w:rPr>
          <w:b/>
        </w:rPr>
        <w:t xml:space="preserve">3.1 System Overview</w:t>
      </w:r>
    </w:p>
    <w:p>
      <w:pPr/>
      <w:r>
        <w:t xml:space="preserve">The proposed framework consists of four primary layers that operate in a hierarchical manner to achieve intelligent HVAC control optimization. Figure 1 illustrates the overall system architecture.</w:t>
      </w:r>
    </w:p>
    <w:p>
      <w:pPr>
        <w:jc w:val="center"/>
      </w:pPr>
      <w:r>
        <w:drawing>
          <wp:inline xmlns:wp="http://schemas.openxmlformats.org/drawingml/2006/wordprocessingDrawing" distT="0" distB="0" distL="0" distR="0">
            <wp:extent cx="5486400" cy="3429000"/>
            <wp:docPr id="1" name="Figure"/>
            <a:graphic xmlns:a="http://schemas.openxmlformats.org/drawingml/2006/main">
              <a:graphicData uri="http://schemas.openxmlformats.org/drawingml/2006/picture">
                <pic:pic xmlns:pic="http://schemas.openxmlformats.org/drawingml/2006/picture">
                  <pic:nvPicPr>
                    <pic:cNvPr id="0" name="Figure"/>
                    <pic:cNvPicPr/>
                  </pic:nvPicPr>
                  <pic:blipFill>
                    <a:blip xmlns:r="http://schemas.openxmlformats.org/officeDocument/2006/relationships" r:embed="rId10"/>
                    <a:stretch>
                      <a:fillRect/>
                    </a:stretch>
                  </pic:blipFill>
                  <pic:spPr>
                    <a:xfrm>
                      <a:off x="0" y="0"/>
                      <a:ext cx="5486400" cy="3429000"/>
                    </a:xfrm>
                    <a:prstGeom prst="rect">
                      <a:avLst/>
                    </a:prstGeom>
                  </pic:spPr>
                </pic:pic>
              </a:graphicData>
            </a:graphic>
          </wp:inline>
        </w:drawing>
      </w:r>
    </w:p>
    <w:p>
      <w:pPr>
        <w:pStyle w:val="FigureCaption"/>
      </w:pPr>
      <w:r>
        <w:rPr>
          <w:i/>
          <w:sz w:val="20"/>
        </w:rPr>
        <w:t>Figure 1. System Architecture of the DRL-Digital Twin HVAC Optimization Framework</w:t>
      </w:r>
    </w:p>
    <w:p>
      <w:pPr/>
      <w:r>
        <w:t xml:space="preserve">The Physical Layer encompasses the actual building HVAC equipment, sensors, and actuators interfaced through the building management system (BMS). Sensor data including zone temperatures, humidity levels, CO2 concentrations, occupancy counts, and equipment operational states are collected at 5-minute intervals through BACnet/IP communication protocols.</w:t>
      </w:r>
    </w:p>
    <w:p>
      <w:pPr/>
      <w:r>
        <w:t xml:space="preserve">The Data Layer implements a comprehensive data pipeline that handles sensor data ingestion, preprocessing, feature engineering, and storage. Raw sensor data undergoes quality checks including outlier detection, missing value imputation, and temporal alignment before being stored in a time-series database. Weather forecast data from external APIs and occupancy prediction models augment the sensor measurements to form the complete state representation.</w:t>
      </w:r>
    </w:p>
    <w:p>
      <w:pPr/>
      <w:r>
        <w:t xml:space="preserve">The Digital Twin Layer maintains a calibrated building energy simulation model that mirrors the physical building's thermal dynamics. The digital twin receives the same input conditions (weather, occupancy, internal loads) as the physical building and produces predicted thermal states. Discrepancies between predicted and measured states trigger model recalibration through automated parameter adjustment procedures.</w:t>
      </w:r>
    </w:p>
    <w:p>
      <w:pPr/>
      <w:r>
        <w:t xml:space="preserve">The Intelligence Layer hosts the DRL agent that determines optimal control actions based on the current state representation. During training, the agent interacts exclusively with the digital twin to learn control policies without affecting building operations. During deployment, the trained agent provides setpoint recommendations to the BMS, with a safety layer ensuring all commands fall within acceptable operational bounds.</w:t>
      </w:r>
    </w:p>
    <w:p>
      <w:pPr>
        <w:pStyle w:val="Heading3"/>
      </w:pPr>
      <w:r>
        <w:rPr>
          <w:b/>
        </w:rPr>
        <w:t xml:space="preserve">3.2 Data Flow and Communication</w:t>
      </w:r>
    </w:p>
    <w:p>
      <w:pPr/>
      <w:r>
        <w:t xml:space="preserve">The real-time data flow between system components follows a publish-subscribe architecture implemented using Apache Kafka message brokers. This design ensures scalability, fault tolerance, and temporal decoupling between data producers and consumers. The data flow encompasses the following streams:</w:t>
      </w:r>
    </w:p>
    <w:p>
      <w:pPr>
        <w:numPr>
          <w:ilvl w:val="0"/>
          <w:numId w:val="1"/>
        </w:numPr>
        <w:ind w:left="720" w:hanging="360"/>
      </w:pPr>
      <w:r>
        <w:t xml:space="preserve">Sensor Stream: Physical sensors publish measurements every 5 minutes to the raw data topic.</w:t>
      </w:r>
    </w:p>
    <w:p>
      <w:pPr>
        <w:numPr>
          <w:ilvl w:val="0"/>
          <w:numId w:val="1"/>
        </w:numPr>
        <w:ind w:left="720" w:hanging="360"/>
      </w:pPr>
      <w:r>
        <w:t xml:space="preserve">Preprocessed Stream: The data pipeline consumes raw measurements, applies quality filters, and publishes cleaned data.</w:t>
      </w:r>
    </w:p>
    <w:p>
      <w:pPr>
        <w:numPr>
          <w:ilvl w:val="0"/>
          <w:numId w:val="1"/>
        </w:numPr>
        <w:ind w:left="720" w:hanging="360"/>
      </w:pPr>
      <w:r>
        <w:t xml:space="preserve">State Stream: Feature engineering produces the complete state vector for the DRL agent.</w:t>
      </w:r>
    </w:p>
    <w:p>
      <w:pPr>
        <w:numPr>
          <w:ilvl w:val="0"/>
          <w:numId w:val="1"/>
        </w:numPr>
        <w:ind w:left="720" w:hanging="360"/>
      </w:pPr>
      <w:r>
        <w:t xml:space="preserve">Action Stream: The DRL agent publishes control actions (setpoints) to the BMS command topic.</w:t>
      </w:r>
    </w:p>
    <w:p>
      <w:pPr>
        <w:numPr>
          <w:ilvl w:val="0"/>
          <w:numId w:val="1"/>
        </w:numPr>
        <w:ind w:left="720" w:hanging="360"/>
      </w:pPr>
      <w:r>
        <w:t xml:space="preserve">Feedback Stream: The BMS publishes execution confirmation and actual achieved setpoints.</w:t>
      </w:r>
    </w:p>
    <w:p>
      <w:pPr>
        <w:pStyle w:val="Heading3"/>
      </w:pPr>
      <w:r>
        <w:rPr>
          <w:b/>
        </w:rPr>
        <w:t xml:space="preserve">3.3 Safety and Fault Tolerance</w:t>
      </w:r>
    </w:p>
    <w:p>
      <w:pPr/>
      <w:r>
        <w:t xml:space="preserve">A critical design requirement for deploying AI-based control in occupied buildings is ensuring safety under all circumstances. The framework implements multiple safety mechanisms:</w:t>
      </w:r>
    </w:p>
    <w:p>
      <w:pPr>
        <w:numPr>
          <w:ilvl w:val="0"/>
          <w:numId w:val="1"/>
        </w:numPr>
        <w:ind w:left="720" w:hanging="360"/>
      </w:pPr>
      <w:r>
        <w:t xml:space="preserve">Action Clipping: All DRL-recommended actions are clipped to physically valid and operationally safe ranges before transmission to the BMS.</w:t>
      </w:r>
    </w:p>
    <w:p>
      <w:pPr>
        <w:numPr>
          <w:ilvl w:val="0"/>
          <w:numId w:val="1"/>
        </w:numPr>
        <w:ind w:left="720" w:hanging="360"/>
      </w:pPr>
      <w:r>
        <w:t xml:space="preserve">Comfort Bounds Enforcement: A hard constraint layer overrides the DRL agent when predicted zone conditions would violate comfort bounds defined by ASHRAE Standard 55.</w:t>
      </w:r>
    </w:p>
    <w:p>
      <w:pPr>
        <w:numPr>
          <w:ilvl w:val="0"/>
          <w:numId w:val="1"/>
        </w:numPr>
        <w:ind w:left="720" w:hanging="360"/>
      </w:pPr>
      <w:r>
        <w:t xml:space="preserve">Fallback Controller: If the DRL agent fails to produce actions within the required time window (2 minutes), the system automatically reverts to the conventional rule-based controller.</w:t>
      </w:r>
    </w:p>
    <w:p>
      <w:pPr>
        <w:numPr>
          <w:ilvl w:val="0"/>
          <w:numId w:val="1"/>
        </w:numPr>
        <w:ind w:left="720" w:hanging="360"/>
      </w:pPr>
      <w:r>
        <w:t xml:space="preserve">Gradual Authority Transfer: During initial deployment, the DRL agent's authority is gradually increased from 25% to 100% over a 4-week period, allowing building operators to build confidence in the system.</w:t>
      </w:r>
    </w:p>
    <w:p>
      <w:pPr>
        <w:pStyle w:val="Heading2"/>
      </w:pPr>
      <w:r>
        <w:rPr>
          <w:b/>
        </w:rPr>
        <w:t xml:space="preserve">4. Methodology</w:t>
      </w:r>
    </w:p>
    <w:p>
      <w:pPr>
        <w:pStyle w:val="Heading3"/>
      </w:pPr>
      <w:r>
        <w:rPr>
          <w:b/>
        </w:rPr>
        <w:t xml:space="preserve">4.1 Problem Formulation as Markov Decision Process</w:t>
      </w:r>
    </w:p>
    <w:p>
      <w:pPr/>
      <w:r>
        <w:t xml:space="preserve">The HVAC control optimization problem is formulated as a Markov Decision Process (MDP) defined by the tuple (S, A, P, R, gamma), where S is the state space, A is the action space, P is the state transition probability function, R is the reward function, and gamma is the discount factor.</w:t>
      </w:r>
    </w:p>
    <w:p>
      <w:pPr/>
      <w:r>
        <w:t xml:space="preserve">State Space (S): The state vector at time step t comprises 47 continuous features organized into four categories:</w:t>
      </w:r>
    </w:p>
    <w:p>
      <w:pPr>
        <w:numPr>
          <w:ilvl w:val="0"/>
          <w:numId w:val="1"/>
        </w:numPr>
        <w:ind w:left="720" w:hanging="360"/>
      </w:pPr>
      <w:r>
        <w:t xml:space="preserve">*Thermal States* (12 features): Zone air temperatures for 12 controlled zones, measured in degrees Celsius.</w:t>
      </w:r>
    </w:p>
    <w:p>
      <w:pPr>
        <w:numPr>
          <w:ilvl w:val="0"/>
          <w:numId w:val="1"/>
        </w:numPr>
        <w:ind w:left="720" w:hanging="360"/>
      </w:pPr>
      <w:r>
        <w:t xml:space="preserve">*Environmental Conditions* (8 features): Outdoor air temperature, relative humidity, solar radiation (global horizontal and direct normal), wind speed, wind direction, and atmospheric pressure.</w:t>
      </w:r>
    </w:p>
    <w:p>
      <w:pPr>
        <w:numPr>
          <w:ilvl w:val="0"/>
          <w:numId w:val="1"/>
        </w:numPr>
        <w:ind w:left="720" w:hanging="360"/>
      </w:pPr>
      <w:r>
        <w:t xml:space="preserve">*Occupancy Information* (14 features): Current occupancy count for each zone (12 zones) plus predicted occupancy for the next two time steps based on the occupancy forecasting module.</w:t>
      </w:r>
    </w:p>
    <w:p>
      <w:pPr>
        <w:numPr>
          <w:ilvl w:val="0"/>
          <w:numId w:val="1"/>
        </w:numPr>
        <w:ind w:left="720" w:hanging="360"/>
      </w:pPr>
      <w:r>
        <w:t xml:space="preserve">*System States* (9 features): Supply air temperature, chilled water supply temperature, return air temperature, supply air fan speed, cooling coil valve position, total cooling load, current electricity demand, time-of-day encoding (sine/cosine), and day-of-week encoding.</w:t>
      </w:r>
    </w:p>
    <w:p>
      <w:pPr>
        <w:numPr>
          <w:ilvl w:val="0"/>
          <w:numId w:val="1"/>
        </w:numPr>
        <w:ind w:left="720" w:hanging="360"/>
      </w:pPr>
      <w:r>
        <w:t xml:space="preserve">*Indoor Air Quality* (4 features): CO2 concentration for representative zones, particulate matter (PM2.5) level, and ventilation flow rate.</w:t>
      </w:r>
    </w:p>
    <w:p>
      <w:pPr/>
      <w:r>
        <w:t xml:space="preserve">All state features are normalized to the range [0, 1] using min-max scaling with bounds determined from historical operational data spanning 24 months.</w:t>
      </w:r>
    </w:p>
    <w:p>
      <w:pPr/>
      <w:r>
        <w:t xml:space="preserve">Action Space (A): The action vector contains 5 continuous control variables:</w:t>
      </w:r>
    </w:p>
    <w:p>
      <w:pPr>
        <w:numPr>
          <w:ilvl w:val="0"/>
          <w:numId w:val="1"/>
        </w:numPr>
        <w:ind w:left="720" w:hanging="360"/>
      </w:pPr>
      <w:r>
        <w:t xml:space="preserve">Zone temperature setpoint offset: [-2.0, +2.0] degrees Celsius from nominal setpoint</w:t>
      </w:r>
    </w:p>
    <w:p>
      <w:pPr>
        <w:numPr>
          <w:ilvl w:val="0"/>
          <w:numId w:val="1"/>
        </w:numPr>
        <w:ind w:left="720" w:hanging="360"/>
      </w:pPr>
      <w:r>
        <w:t xml:space="preserve">Supply air temperature setpoint: [12.0, 18.0] degrees Celsius</w:t>
      </w:r>
    </w:p>
    <w:p>
      <w:pPr>
        <w:numPr>
          <w:ilvl w:val="0"/>
          <w:numId w:val="1"/>
        </w:numPr>
        <w:ind w:left="720" w:hanging="360"/>
      </w:pPr>
      <w:r>
        <w:t xml:space="preserve">Chilled water supply temperature: [5.0, 9.0] degrees Celsius</w:t>
      </w:r>
    </w:p>
    <w:p>
      <w:pPr>
        <w:numPr>
          <w:ilvl w:val="0"/>
          <w:numId w:val="1"/>
        </w:numPr>
        <w:ind w:left="720" w:hanging="360"/>
      </w:pPr>
      <w:r>
        <w:t xml:space="preserve">Supply air fan speed: [30%, 100%] of rated capacity</w:t>
      </w:r>
    </w:p>
    <w:p>
      <w:pPr>
        <w:numPr>
          <w:ilvl w:val="0"/>
          <w:numId w:val="1"/>
        </w:numPr>
        <w:ind w:left="720" w:hanging="360"/>
      </w:pPr>
      <w:r>
        <w:t xml:space="preserve">Fresh air damper position: [20%, 100%] opening</w:t>
      </w:r>
    </w:p>
    <w:p>
      <w:pPr/>
      <w:r>
        <w:t xml:space="preserve">All actions are continuous and bounded within their respective operational ranges, enabling smooth control transitions that minimize equipment wear and occupant disturbance.</w:t>
      </w:r>
    </w:p>
    <w:p>
      <w:pPr/>
      <w:r>
        <w:t xml:space="preserve">State Transition (P): The state transition function is implicitly defined by the building's thermal dynamics and HVAC system response, which are captured by the calibrated EnergyPlus digital twin model. The transition is deterministic given the state and action, with stochasticity introduced through uncertain disturbances (occupancy, internal gains, weather forecast errors).</w:t>
      </w:r>
    </w:p>
    <w:p>
      <w:pPr>
        <w:pStyle w:val="Heading3"/>
      </w:pPr>
      <w:r>
        <w:rPr>
          <w:b/>
        </w:rPr>
        <w:t xml:space="preserve">4.2 Multi-Objective Reward Function</w:t>
      </w:r>
    </w:p>
    <w:p>
      <w:pPr/>
      <w:r>
        <w:t xml:space="preserve">The reward function represents the core innovation of our approach, encoding the multi-objective optimization problem through an adaptive weighted-sum formulation. At each time step t, the total reward is computed as:</w:t>
      </w:r>
    </w:p>
    <w:p>
      <w:pPr/>
      <w:r>
        <w:t xml:space="preserve">R(t) = w_e(t)  R_energy(t) + w_c(t)  R_comfort(t) + w_q(t)  R_iaq(t) + R_penalty(t)</w:t>
      </w:r>
    </w:p>
    <w:p>
      <w:pPr/>
      <w:r>
        <w:t xml:space="preserve">where the individual reward components are defined as follows:</w:t>
      </w:r>
    </w:p>
    <w:p>
      <w:pPr/>
      <w:r>
        <w:t xml:space="preserve">Energy Reward (R_energy): This component incentivizes reduction in energy consumption relative to the baseline rule-based controller:</w:t>
      </w:r>
    </w:p>
    <w:p>
      <w:pPr/>
      <w:r>
        <w:t xml:space="preserve">R_energy(t) = (E_baseline(t) - E_actual(t)) / E_baseline(t)</w:t>
      </w:r>
    </w:p>
    <w:p>
      <w:pPr/>
      <w:r>
        <w:t xml:space="preserve">where E_baseline(t) is the energy consumption that would have occurred under the conventional controller and E_actual(t) is the actual consumption under the DRL policy.</w:t>
      </w:r>
    </w:p>
    <w:p>
      <w:pPr/>
      <w:r>
        <w:t xml:space="preserve">Thermal Comfort Reward (R_comfort): Based on the predicted mean vote (PMV) model specified in ASHRAE Standard 55:</w:t>
      </w:r>
    </w:p>
    <w:p>
      <w:pPr/>
      <w:r>
        <w:t xml:space="preserve">R_comfort(t) = -sum_z(max(0, |PMV_z(t)| - 0.5)^2) / N_zones</w:t>
      </w:r>
    </w:p>
    <w:p>
      <w:pPr/>
      <w:r>
        <w:t xml:space="preserve">This formulation provides zero penalty when PMV falls within the [-0.5, +0.5] acceptable range and quadratic penalty for deviations beyond this threshold.</w:t>
      </w:r>
    </w:p>
    <w:p>
      <w:pPr/>
      <w:r>
        <w:t xml:space="preserve">Indoor Air Quality Reward (R_iaq): Evaluates CO2 concentration relative to acceptable limits:</w:t>
      </w:r>
    </w:p>
    <w:p>
      <w:pPr/>
      <w:r>
        <w:t xml:space="preserve">R_iaq(t) = -sum_z(max(0, CO2_z(t) - 800)^2) / (N_zones  200^2)</w:t>
      </w:r>
    </w:p>
    <w:p>
      <w:pPr/>
      <w:r>
        <w:t xml:space="preserve">where 800 ppm represents the target CO2 level and the normalization factor ensures the reward magnitude is comparable to other components.</w:t>
      </w:r>
    </w:p>
    <w:p>
      <w:pPr/>
      <w:r>
        <w:t xml:space="preserve">Penalty Term (R_penalty): Penalizes excessive control action changes to promote smooth operation:</w:t>
      </w:r>
    </w:p>
    <w:p>
      <w:pPr/>
      <w:r>
        <w:t xml:space="preserve">R_penalty(t) = -lambda  ||a(t) - a(t-1)||^2</w:t>
      </w:r>
    </w:p>
    <w:p>
      <w:pPr/>
      <w:r>
        <w:t xml:space="preserve">where lambda = 0.1 is the smoothness penalty coefficient.</w:t>
      </w:r>
    </w:p>
    <w:p>
      <w:pPr/>
      <w:r>
        <w:t xml:space="preserve">Adaptive Weighting: The weights w_e(t), w_c(t), and w_q(t) are dynamically adjusted based on current conditions:</w:t>
      </w:r>
    </w:p>
    <w:p>
      <w:pPr>
        <w:numPr>
          <w:ilvl w:val="0"/>
          <w:numId w:val="1"/>
        </w:numPr>
        <w:ind w:left="720" w:hanging="360"/>
      </w:pPr>
      <w:r>
        <w:t xml:space="preserve">During occupied hours with high occupancy density: w_c = 0.5, w_e = 0.3, w_q = 0.2</w:t>
      </w:r>
    </w:p>
    <w:p>
      <w:pPr>
        <w:numPr>
          <w:ilvl w:val="0"/>
          <w:numId w:val="1"/>
        </w:numPr>
        <w:ind w:left="720" w:hanging="360"/>
      </w:pPr>
      <w:r>
        <w:t xml:space="preserve">During occupied hours with low occupancy: w_c = 0.3, w_e = 0.5, w_q = 0.2</w:t>
      </w:r>
    </w:p>
    <w:p>
      <w:pPr>
        <w:numPr>
          <w:ilvl w:val="0"/>
          <w:numId w:val="1"/>
        </w:numPr>
        <w:ind w:left="720" w:hanging="360"/>
      </w:pPr>
      <w:r>
        <w:t xml:space="preserve">During unoccupied hours: w_c = 0.1, w_e = 0.8, w_q = 0.1</w:t>
      </w:r>
    </w:p>
    <w:p>
      <w:pPr>
        <w:numPr>
          <w:ilvl w:val="0"/>
          <w:numId w:val="1"/>
        </w:numPr>
        <w:ind w:left="720" w:hanging="360"/>
      </w:pPr>
      <w:r>
        <w:t xml:space="preserve">During peak electricity pricing periods: w_e is increased by 0.15 (redistributed from other weights)</w:t>
      </w:r>
    </w:p>
    <w:p>
      <w:pPr/>
      <w:r>
        <w:t xml:space="preserve">This adaptive scheme ensures that the optimization priority shifts appropriately based on operational context, balancing energy savings with occupant well-being.</w:t>
      </w:r>
    </w:p>
    <w:p>
      <w:pPr>
        <w:pStyle w:val="Heading3"/>
      </w:pPr>
      <w:r>
        <w:rPr>
          <w:b/>
        </w:rPr>
        <w:t xml:space="preserve">4.3 Enhanced TD3 Algorithm</w:t>
      </w:r>
    </w:p>
    <w:p>
      <w:pPr/>
      <w:r>
        <w:t xml:space="preserve">We employ an enhanced version of the Twin Delayed Deep Deterministic Policy Gradient (TD3) algorithm, selected for its superior performance in continuous control tasks and its robustness against function approximation errors compared to DDPG (Fujimoto et al., 2018).</w:t>
      </w:r>
    </w:p>
    <w:p>
      <w:pPr>
        <w:jc w:val="center"/>
      </w:pPr>
      <w:r>
        <w:drawing>
          <wp:inline xmlns:wp="http://schemas.openxmlformats.org/drawingml/2006/wordprocessingDrawing" distT="0" distB="0" distL="0" distR="0">
            <wp:extent cx="5486400" cy="3429000"/>
            <wp:docPr id="1" name="Figure"/>
            <a:graphic xmlns:a="http://schemas.openxmlformats.org/drawingml/2006/main">
              <a:graphicData uri="http://schemas.openxmlformats.org/drawingml/2006/picture">
                <pic:pic xmlns:pic="http://schemas.openxmlformats.org/drawingml/2006/picture">
                  <pic:nvPicPr>
                    <pic:cNvPr id="0" name="Figure"/>
                    <pic:cNvPicPr/>
                  </pic:nvPicPr>
                  <pic:blipFill>
                    <a:blip xmlns:r="http://schemas.openxmlformats.org/officeDocument/2006/relationships" r:embed="rId11"/>
                    <a:stretch>
                      <a:fillRect/>
                    </a:stretch>
                  </pic:blipFill>
                  <pic:spPr>
                    <a:xfrm>
                      <a:off x="0" y="0"/>
                      <a:ext cx="5486400" cy="3429000"/>
                    </a:xfrm>
                    <a:prstGeom prst="rect">
                      <a:avLst/>
                    </a:prstGeom>
                  </pic:spPr>
                </pic:pic>
              </a:graphicData>
            </a:graphic>
          </wp:inline>
        </w:drawing>
      </w:r>
    </w:p>
    <w:p>
      <w:pPr>
        <w:pStyle w:val="FigureCaption"/>
      </w:pPr>
      <w:r>
        <w:rPr>
          <w:i/>
          <w:sz w:val="20"/>
        </w:rPr>
        <w:t>Figure 2. Enhanced TD3 Algorithm Architecture with Domain-Specific Modifications</w:t>
      </w:r>
    </w:p>
    <w:p>
      <w:pPr/>
      <w:r>
        <w:t xml:space="preserve">The standard TD3 algorithm addresses overestimation bias in actor-critic methods through three mechanisms: (i) twin Q-networks with minimum value selection, (ii) delayed policy updates, and (iii) target policy smoothing. We enhance this foundation with the following domain-specific modifications:</w:t>
      </w:r>
    </w:p>
    <w:p>
      <w:pPr/>
      <w:r>
        <w:t xml:space="preserve">Prioritized Experience Replay (PER): Instead of uniform sampling from the replay buffer, transitions are sampled proportional to their temporal-difference (TD) error magnitude. This accelerates learning by focusing on surprising or informative experiences. The priority of transition i is defined as:</w:t>
      </w:r>
    </w:p>
    <w:p>
      <w:pPr/>
      <w:r>
        <w:t xml:space="preserve">p_i = |delta_i| + epsilon</w:t>
      </w:r>
    </w:p>
    <w:p>
      <w:pPr/>
      <w:r>
        <w:t xml:space="preserve">where delta_i is the TD error and epsilon = 0.01 prevents zero-priority transitions from being permanently ignored.</w:t>
      </w:r>
    </w:p>
    <w:p>
      <w:pPr/>
      <w:r>
        <w:t xml:space="preserve">Domain-Constrained Action Noise: The exploration noise is structured to respect physical constraints and operational knowledge. Rather than standard Gaussian noise, we employ Ornstein-Uhlenbeck noise with time-varying parameters:</w:t>
      </w:r>
    </w:p>
    <w:p>
      <w:pPr>
        <w:numPr>
          <w:ilvl w:val="0"/>
          <w:numId w:val="1"/>
        </w:numPr>
        <w:ind w:left="720" w:hanging="360"/>
      </w:pPr>
      <w:r>
        <w:t xml:space="preserve">Higher noise amplitude during early training (sigma = 0.3) decreasing to sigma = 0.05 as training progresses</w:t>
      </w:r>
    </w:p>
    <w:p>
      <w:pPr>
        <w:numPr>
          <w:ilvl w:val="0"/>
          <w:numId w:val="1"/>
        </w:numPr>
        <w:ind w:left="720" w:hanging="360"/>
      </w:pPr>
      <w:r>
        <w:t xml:space="preserve">Noise correlation aligned with HVAC system response times (theta = 0.15 for fast-response variables, theta = 0.05 for slow-response variables)</w:t>
      </w:r>
    </w:p>
    <w:p>
      <w:pPr/>
      <w:r>
        <w:t xml:space="preserve">Architecture Details: Both actor and critic networks employ fully connected architectures:</w:t>
      </w:r>
    </w:p>
    <w:p>
      <w:pPr>
        <w:numPr>
          <w:ilvl w:val="0"/>
          <w:numId w:val="1"/>
        </w:numPr>
        <w:ind w:left="720" w:hanging="360"/>
      </w:pPr>
      <w:r>
        <w:t xml:space="preserve">Actor Network: Input(47) -&gt; FC(256) -&gt; ReLU -&gt; FC(256) -&gt; ReLU -&gt; FC(128) -&gt; ReLU -&gt; FC(5) -&gt; Tanh</w:t>
      </w:r>
    </w:p>
    <w:p>
      <w:pPr>
        <w:numPr>
          <w:ilvl w:val="0"/>
          <w:numId w:val="1"/>
        </w:numPr>
        <w:ind w:left="720" w:hanging="360"/>
      </w:pPr>
      <w:r>
        <w:t xml:space="preserve">Critic Networks (x2): Input(52) -&gt; FC(256) -&gt; ReLU -&gt; FC(256) -&gt; ReLU -&gt; FC(128) -&gt; ReLU -&gt; FC(1)</w:t>
      </w:r>
    </w:p>
    <w:p>
      <w:pPr/>
      <w:r>
        <w:t xml:space="preserve">Layer normalization is applied after each hidden layer to stabilize training, and dropout (p=0.1) is used during training to prevent overfitting to specific building states.</w:t>
      </w:r>
    </w:p>
    <w:p>
      <w:pPr>
        <w:pStyle w:val="Heading3"/>
      </w:pPr>
      <w:r>
        <w:rPr>
          <w:b/>
        </w:rPr>
        <w:t xml:space="preserve">4.4 Digital Twin Development</w:t>
      </w:r>
    </w:p>
    <w:p>
      <w:pPr/>
      <w:r>
        <w:t xml:space="preserve">The digital twin is constructed using EnergyPlus 23.1 as the core thermal simulation engine, with custom interfaces for bidirectional data exchange with the DRL training framework.</w:t>
      </w:r>
    </w:p>
    <w:p>
      <w:pPr/>
      <w:r>
        <w:t xml:space="preserve">Building Model: The reference building is a 12-story commercial office tower located in Singapore (latitude 1.35 degrees N, longitude 103.82 degrees E) with a total conditioned floor area of 28,500 square meters. The building features a centralized chilled water system with two centrifugal chillers (2,500 kW each), variable-speed chilled water and condenser water pumps, and variable-air-volume (VAV) air handling units serving each floor.</w:t>
      </w:r>
    </w:p>
    <w:p>
      <w:pPr/>
      <w:r>
        <w:t xml:space="preserve">The EnergyPlus model includes:</w:t>
      </w:r>
    </w:p>
    <w:p>
      <w:pPr>
        <w:numPr>
          <w:ilvl w:val="0"/>
          <w:numId w:val="1"/>
        </w:numPr>
        <w:ind w:left="720" w:hanging="360"/>
      </w:pPr>
      <w:r>
        <w:t xml:space="preserve">48 thermal zones (4 per floor for the 12 conditioned floors)</w:t>
      </w:r>
    </w:p>
    <w:p>
      <w:pPr>
        <w:numPr>
          <w:ilvl w:val="0"/>
          <w:numId w:val="1"/>
        </w:numPr>
        <w:ind w:left="720" w:hanging="360"/>
      </w:pPr>
      <w:r>
        <w:t xml:space="preserve">Detailed construction layers for external walls, roof, and glazing systems</w:t>
      </w:r>
    </w:p>
    <w:p>
      <w:pPr>
        <w:numPr>
          <w:ilvl w:val="0"/>
          <w:numId w:val="1"/>
        </w:numPr>
        <w:ind w:left="720" w:hanging="360"/>
      </w:pPr>
      <w:r>
        <w:t xml:space="preserve">Internal load schedules based on 12 months of measured data</w:t>
      </w:r>
    </w:p>
    <w:p>
      <w:pPr>
        <w:numPr>
          <w:ilvl w:val="0"/>
          <w:numId w:val="1"/>
        </w:numPr>
        <w:ind w:left="720" w:hanging="360"/>
      </w:pPr>
      <w:r>
        <w:t xml:space="preserve">Detailed HVAC system model including chiller performance curves, AHU fan curves, and VAV box control logic</w:t>
      </w:r>
    </w:p>
    <w:p>
      <w:pPr/>
      <w:r>
        <w:t xml:space="preserve">Model Calibration: The digital twin is calibrated against 12 months of measured operational data using a systematic approach:</w:t>
      </w:r>
    </w:p>
    <w:p>
      <w:pPr>
        <w:numPr>
          <w:ilvl w:val="0"/>
          <w:numId w:val="1"/>
        </w:numPr>
        <w:ind w:left="720" w:hanging="360"/>
      </w:pPr>
      <w:r>
        <w:t xml:space="preserve">*Geometry Verification*: Building geometry validated against architectural drawings and lidar survey data.</w:t>
      </w:r>
    </w:p>
    <w:p>
      <w:pPr>
        <w:numPr>
          <w:ilvl w:val="0"/>
          <w:numId w:val="1"/>
        </w:numPr>
        <w:ind w:left="720" w:hanging="360"/>
      </w:pPr>
      <w:r>
        <w:t xml:space="preserve">*Envelope Calibration*: Wall and glazing thermal properties adjusted to match measured heat gains using inverse modeling techniques.</w:t>
      </w:r>
    </w:p>
    <w:p>
      <w:pPr>
        <w:numPr>
          <w:ilvl w:val="0"/>
          <w:numId w:val="1"/>
        </w:numPr>
        <w:ind w:left="720" w:hanging="360"/>
      </w:pPr>
      <w:r>
        <w:t xml:space="preserve">*System Calibration*: HVAC equipment performance parameters (chiller COP curves, fan efficiency maps) calibrated against manufacturer data and commissioning measurements.</w:t>
      </w:r>
    </w:p>
    <w:p>
      <w:pPr>
        <w:numPr>
          <w:ilvl w:val="0"/>
          <w:numId w:val="1"/>
        </w:numPr>
        <w:ind w:left="720" w:hanging="360"/>
      </w:pPr>
      <w:r>
        <w:t xml:space="preserve">*Schedule Calibration*: Occupancy, lighting, and equipment schedules adjusted based on measured electrical submeter data and occupancy sensor recordings.</w:t>
      </w:r>
    </w:p>
    <w:p>
      <w:pPr>
        <w:jc w:val="center"/>
      </w:pPr>
      <w:r>
        <w:drawing>
          <wp:inline xmlns:wp="http://schemas.openxmlformats.org/drawingml/2006/wordprocessingDrawing" distT="0" distB="0" distL="0" distR="0">
            <wp:extent cx="5486400" cy="3429000"/>
            <wp:docPr id="1" name="Figure"/>
            <a:graphic xmlns:a="http://schemas.openxmlformats.org/drawingml/2006/main">
              <a:graphicData uri="http://schemas.openxmlformats.org/drawingml/2006/picture">
                <pic:pic xmlns:pic="http://schemas.openxmlformats.org/drawingml/2006/picture">
                  <pic:nvPicPr>
                    <pic:cNvPr id="0" name="Figure"/>
                    <pic:cNvPicPr/>
                  </pic:nvPicPr>
                  <pic:blipFill>
                    <a:blip xmlns:r="http://schemas.openxmlformats.org/officeDocument/2006/relationships" r:embed="rId12"/>
                    <a:stretch>
                      <a:fillRect/>
                    </a:stretch>
                  </pic:blipFill>
                  <pic:spPr>
                    <a:xfrm>
                      <a:off x="0" y="0"/>
                      <a:ext cx="5486400" cy="3429000"/>
                    </a:xfrm>
                    <a:prstGeom prst="rect">
                      <a:avLst/>
                    </a:prstGeom>
                  </pic:spPr>
                </pic:pic>
              </a:graphicData>
            </a:graphic>
          </wp:inline>
        </w:drawing>
      </w:r>
    </w:p>
    <w:p>
      <w:pPr>
        <w:pStyle w:val="FigureCaption"/>
      </w:pPr>
      <w:r>
        <w:rPr>
          <w:i/>
          <w:sz w:val="20"/>
        </w:rPr>
        <w:t>Figure 3. Digital Twin Calibration Results: Measured vs. Predicted Zone Temperatures over 7-day period</w:t>
      </w:r>
    </w:p>
    <w:p>
      <w:pPr/>
      <w:r>
        <w:t xml:space="preserve">The calibrated model achieves compliance with ASHRAE Guideline 14-2014 requirements: Normalized Mean Bias Error (NMBE) of 2.3% (requirement: within +/- 5%) and Coefficient of Variation of Root Mean Square Error (CV-RMSE) of 8.7% (requirement: below 15%) for hourly energy consumption predictions.</w:t>
      </w:r>
    </w:p>
    <w:p>
      <w:pPr>
        <w:pStyle w:val="Heading2"/>
      </w:pPr>
      <w:r>
        <w:rPr>
          <w:b/>
        </w:rPr>
        <w:t xml:space="preserve">5. Implementation Details</w:t>
      </w:r>
    </w:p>
    <w:p>
      <w:pPr>
        <w:pStyle w:val="Heading3"/>
      </w:pPr>
      <w:r>
        <w:rPr>
          <w:b/>
        </w:rPr>
        <w:t xml:space="preserve">5.1 Software Architecture and Technology Stack</w:t>
      </w:r>
    </w:p>
    <w:p>
      <w:pPr/>
      <w:r>
        <w:t xml:space="preserve">The implementation employs a microservices architecture deployed on a hybrid cloud-edge infrastructure. The core technology stack comprises:</w:t>
      </w:r>
    </w:p>
    <w:p>
      <w:pPr>
        <w:numPr>
          <w:ilvl w:val="0"/>
          <w:numId w:val="1"/>
        </w:numPr>
        <w:ind w:left="720" w:hanging="360"/>
      </w:pPr>
      <w:r>
        <w:t xml:space="preserve">Simulation Engine: EnergyPlus 23.1 with custom Energy Management System (EMS) programs for external control interface</w:t>
      </w:r>
    </w:p>
    <w:p>
      <w:pPr>
        <w:numPr>
          <w:ilvl w:val="0"/>
          <w:numId w:val="1"/>
        </w:numPr>
        <w:ind w:left="720" w:hanging="360"/>
      </w:pPr>
      <w:r>
        <w:t xml:space="preserve">DRL Framework: PyTorch 2.0 for neural network implementation with custom TD3 training loop</w:t>
      </w:r>
    </w:p>
    <w:p>
      <w:pPr>
        <w:numPr>
          <w:ilvl w:val="0"/>
          <w:numId w:val="1"/>
        </w:numPr>
        <w:ind w:left="720" w:hanging="360"/>
      </w:pPr>
      <w:r>
        <w:t xml:space="preserve">Co-simulation Interface: BCVTB (Building Controls Virtual Test Bed) and custom Python wrappers using the eppy library for EnergyPlus model manipulation</w:t>
      </w:r>
    </w:p>
    <w:p>
      <w:pPr>
        <w:numPr>
          <w:ilvl w:val="0"/>
          <w:numId w:val="1"/>
        </w:numPr>
        <w:ind w:left="720" w:hanging="360"/>
      </w:pPr>
      <w:r>
        <w:t xml:space="preserve">Data Infrastructure: Apache Kafka 3.4 for real-time data streaming, InfluxDB 2.6 for time-series storage, and PostgreSQL 15 for metadata management</w:t>
      </w:r>
    </w:p>
    <w:p>
      <w:pPr>
        <w:numPr>
          <w:ilvl w:val="0"/>
          <w:numId w:val="1"/>
        </w:numPr>
        <w:ind w:left="720" w:hanging="360"/>
      </w:pPr>
      <w:r>
        <w:t xml:space="preserve">Deployment Platform: Docker containers orchestrated with Kubernetes, with GPU-enabled nodes for model training and CPU nodes for inference</w:t>
      </w:r>
    </w:p>
    <w:p>
      <w:pPr>
        <w:numPr>
          <w:ilvl w:val="0"/>
          <w:numId w:val="1"/>
        </w:numPr>
        <w:ind w:left="720" w:hanging="360"/>
      </w:pPr>
      <w:r>
        <w:t xml:space="preserve">BMS Integration: BACnet/IP protocol stack with custom gateway for bidirectional communication with the building automation system</w:t>
      </w:r>
    </w:p>
    <w:p>
      <w:pPr>
        <w:pStyle w:val="Heading3"/>
      </w:pPr>
      <w:r>
        <w:rPr>
          <w:b/>
        </w:rPr>
        <w:t xml:space="preserve">5.2 Training Procedure</w:t>
      </w:r>
    </w:p>
    <w:p>
      <w:pPr/>
      <w:r>
        <w:t xml:space="preserve">The DRL agent training follows a structured multi-phase approach designed to accelerate convergence while ensuring robust policy generalization:</w:t>
      </w:r>
    </w:p>
    <w:p>
      <w:pPr/>
      <w:r>
        <w:t xml:space="preserve">Phase 1 - Behavioral Cloning Pre-training (2 epochs): The actor network is initially pre-trained using supervised learning on a dataset of 50,000 state-action pairs collected from an optimized rule-based controller. This warm-start reduces the initial exploration period and prevents potentially dangerous actions during early training.</w:t>
      </w:r>
    </w:p>
    <w:p>
      <w:pPr/>
      <w:r>
        <w:t xml:space="preserve">Phase 2 - Guided Exploration (500,000 steps): The agent trains in the digital twin environment with high exploration noise (sigma = 0.3) and a replay buffer seeded with the behavioral cloning dataset. The learning rates are set to 3e-4 for the actor and 1e-3 for the critics. Batch size is 256 samples, with target network soft update rate tau = 0.005.</w:t>
      </w:r>
    </w:p>
    <w:p>
      <w:pPr/>
      <w:r>
        <w:t xml:space="preserve">Phase 3 - Fine-tuning (1,000,000 steps): Exploration noise is reduced (sigma = 0.1) and the agent focuses on refining its policy in challenging scenarios identified during Phase 2. The learning rate is reduced to 1e-4 for both actor and critic networks.</w:t>
      </w:r>
    </w:p>
    <w:p>
      <w:pPr/>
      <w:r>
        <w:t xml:space="preserve">Phase 4 - Robust Training (500,000 steps): Domain randomization is applied to the digital twin parameters (envelope properties +/- 10%, equipment efficiency +/- 5%, occupancy patterns +/- 20%) to improve policy robustness against model-reality gaps.</w:t>
      </w:r>
    </w:p>
    <w:p>
      <w:pPr>
        <w:jc w:val="center"/>
      </w:pPr>
      <w:r>
        <w:drawing>
          <wp:inline xmlns:wp="http://schemas.openxmlformats.org/drawingml/2006/wordprocessingDrawing" distT="0" distB="0" distL="0" distR="0">
            <wp:extent cx="5486400" cy="3429000"/>
            <wp:docPr id="1" name="Figure"/>
            <a:graphic xmlns:a="http://schemas.openxmlformats.org/drawingml/2006/main">
              <a:graphicData uri="http://schemas.openxmlformats.org/drawingml/2006/picture">
                <pic:pic xmlns:pic="http://schemas.openxmlformats.org/drawingml/2006/picture">
                  <pic:nvPicPr>
                    <pic:cNvPr id="0" name="Figure"/>
                    <pic:cNvPicPr/>
                  </pic:nvPicPr>
                  <pic:blipFill>
                    <a:blip xmlns:r="http://schemas.openxmlformats.org/officeDocument/2006/relationships" r:embed="rId13"/>
                    <a:stretch>
                      <a:fillRect/>
                    </a:stretch>
                  </pic:blipFill>
                  <pic:spPr>
                    <a:xfrm>
                      <a:off x="0" y="0"/>
                      <a:ext cx="5486400" cy="3429000"/>
                    </a:xfrm>
                    <a:prstGeom prst="rect">
                      <a:avLst/>
                    </a:prstGeom>
                  </pic:spPr>
                </pic:pic>
              </a:graphicData>
            </a:graphic>
          </wp:inline>
        </w:drawing>
      </w:r>
    </w:p>
    <w:p>
      <w:pPr>
        <w:pStyle w:val="FigureCaption"/>
      </w:pPr>
      <w:r>
        <w:rPr>
          <w:i/>
          <w:sz w:val="20"/>
        </w:rPr>
        <w:t>Figure 4. Training Convergence Curves showing Episode Reward and Energy Savings over 2M training steps</w:t>
      </w:r>
    </w:p>
    <w:p>
      <w:pPr/>
      <w:r>
        <w:t xml:space="preserve">The total training requires approximately 72 hours on a single NVIDIA A100 GPU for 2 million interaction steps, equivalent to approximately 19 years of simulated building operation at 5-minute control intervals.</w:t>
      </w:r>
    </w:p>
    <w:p>
      <w:pPr>
        <w:pStyle w:val="Heading3"/>
      </w:pPr>
      <w:r>
        <w:rPr>
          <w:b/>
        </w:rPr>
        <w:t xml:space="preserve">5.3 Hyperparameter Configuration</w:t>
      </w:r>
    </w:p>
    <w:p>
      <w:pPr/>
      <w:r>
        <w:t xml:space="preserve">Table 1 summarizes the key hyperparameters used in the implementation.</w:t>
      </w:r>
    </w:p>
    <w:p>
      <w:pPr/>
      <w:r>
        <w:rPr>
          <w:b/>
        </w:rPr>
        <w:t xml:space="preserve">Table 1: DRL Agent Hyperparameters</w:t>
      </w:r>
    </w:p>
    <w:tbl>
      <w:tblPr>
        <w:tblW w:w="90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jc w:val="center"/>
      </w:tblPr>
      <w:tblGrid>
        <w:gridCol w:w="3000"/>
        <w:gridCol w:w="3000"/>
        <w:gridCol w:w="3000"/>
      </w:tblGrid>
      <w:tr>
        <w:tc>
          <w:tcPr>
            <w:shd w:val="clear" w:fill="E8E8E8"/>
          </w:tcPr>
          <w:p>
            <w:pPr>
              <w:pStyle w:val="TableHeader"/>
            </w:pPr>
            <w:r>
              <w:rPr>
                <w:b/>
                <w:sz w:val="20"/>
              </w:rPr>
              <w:t>Parameter</w:t>
            </w:r>
          </w:p>
        </w:tc>
        <w:tc>
          <w:tcPr>
            <w:shd w:val="clear" w:fill="E8E8E8"/>
          </w:tcPr>
          <w:p>
            <w:pPr>
              <w:pStyle w:val="TableHeader"/>
            </w:pPr>
            <w:r>
              <w:rPr>
                <w:b/>
                <w:sz w:val="20"/>
              </w:rPr>
              <w:t>Value</w:t>
            </w:r>
          </w:p>
        </w:tc>
        <w:tc>
          <w:tcPr>
            <w:shd w:val="clear" w:fill="E8E8E8"/>
          </w:tcPr>
          <w:p>
            <w:pPr>
              <w:pStyle w:val="TableHeader"/>
            </w:pPr>
            <w:r>
              <w:rPr>
                <w:b/>
                <w:sz w:val="20"/>
              </w:rPr>
              <w:t>Description</w:t>
            </w:r>
          </w:p>
        </w:tc>
      </w:tr>
      <w:tr>
        <w:tc>
          <w:p>
            <w:pPr>
              <w:pStyle w:val="TableCell"/>
            </w:pPr>
            <w:r>
              <w:rPr>
                <w:sz w:val="20"/>
              </w:rPr>
              <w:t>Discount factor (gamma)</w:t>
            </w:r>
          </w:p>
        </w:tc>
        <w:tc>
          <w:p>
            <w:pPr>
              <w:pStyle w:val="TableCell"/>
            </w:pPr>
            <w:r>
              <w:rPr>
                <w:sz w:val="20"/>
              </w:rPr>
              <w:t>0.99</w:t>
            </w:r>
          </w:p>
        </w:tc>
        <w:tc>
          <w:p>
            <w:pPr>
              <w:pStyle w:val="TableCell"/>
            </w:pPr>
            <w:r>
              <w:rPr>
                <w:sz w:val="20"/>
              </w:rPr>
              <w:t>Future reward discount</w:t>
            </w:r>
          </w:p>
        </w:tc>
      </w:tr>
      <w:tr>
        <w:tc>
          <w:p>
            <w:pPr>
              <w:pStyle w:val="TableCell"/>
            </w:pPr>
            <w:r>
              <w:rPr>
                <w:sz w:val="20"/>
              </w:rPr>
              <w:t>Replay buffer size</w:t>
            </w:r>
          </w:p>
        </w:tc>
        <w:tc>
          <w:p>
            <w:pPr>
              <w:pStyle w:val="TableCell"/>
            </w:pPr>
            <w:r>
              <w:rPr>
                <w:sz w:val="20"/>
              </w:rPr>
              <w:t>1,000,000</w:t>
            </w:r>
          </w:p>
        </w:tc>
        <w:tc>
          <w:p>
            <w:pPr>
              <w:pStyle w:val="TableCell"/>
            </w:pPr>
            <w:r>
              <w:rPr>
                <w:sz w:val="20"/>
              </w:rPr>
              <w:t>Maximum stored transitions</w:t>
            </w:r>
          </w:p>
        </w:tc>
      </w:tr>
      <w:tr>
        <w:tc>
          <w:p>
            <w:pPr>
              <w:pStyle w:val="TableCell"/>
            </w:pPr>
            <w:r>
              <w:rPr>
                <w:sz w:val="20"/>
              </w:rPr>
              <w:t>Batch size</w:t>
            </w:r>
          </w:p>
        </w:tc>
        <w:tc>
          <w:p>
            <w:pPr>
              <w:pStyle w:val="TableCell"/>
            </w:pPr>
            <w:r>
              <w:rPr>
                <w:sz w:val="20"/>
              </w:rPr>
              <w:t>256</w:t>
            </w:r>
          </w:p>
        </w:tc>
        <w:tc>
          <w:p>
            <w:pPr>
              <w:pStyle w:val="TableCell"/>
            </w:pPr>
            <w:r>
              <w:rPr>
                <w:sz w:val="20"/>
              </w:rPr>
              <w:t>Training batch size</w:t>
            </w:r>
          </w:p>
        </w:tc>
      </w:tr>
      <w:tr>
        <w:tc>
          <w:p>
            <w:pPr>
              <w:pStyle w:val="TableCell"/>
            </w:pPr>
            <w:r>
              <w:rPr>
                <w:sz w:val="20"/>
              </w:rPr>
              <w:t>Actor learning rate</w:t>
            </w:r>
          </w:p>
        </w:tc>
        <w:tc>
          <w:p>
            <w:pPr>
              <w:pStyle w:val="TableCell"/>
            </w:pPr>
            <w:r>
              <w:rPr>
                <w:sz w:val="20"/>
              </w:rPr>
              <w:t>3e-4 (Phase 2), 1e-4 (Phase 3-4)</w:t>
            </w:r>
          </w:p>
        </w:tc>
        <w:tc>
          <w:p>
            <w:pPr>
              <w:pStyle w:val="TableCell"/>
            </w:pPr>
            <w:r>
              <w:rPr>
                <w:sz w:val="20"/>
              </w:rPr>
              <w:t>Adam optimizer</w:t>
            </w:r>
          </w:p>
        </w:tc>
      </w:tr>
      <w:tr>
        <w:tc>
          <w:p>
            <w:pPr>
              <w:pStyle w:val="TableCell"/>
            </w:pPr>
            <w:r>
              <w:rPr>
                <w:sz w:val="20"/>
              </w:rPr>
              <w:t>Critic learning rate</w:t>
            </w:r>
          </w:p>
        </w:tc>
        <w:tc>
          <w:p>
            <w:pPr>
              <w:pStyle w:val="TableCell"/>
            </w:pPr>
            <w:r>
              <w:rPr>
                <w:sz w:val="20"/>
              </w:rPr>
              <w:t>1e-3 (Phase 2), 1e-4 (Phase 3-4)</w:t>
            </w:r>
          </w:p>
        </w:tc>
        <w:tc>
          <w:p>
            <w:pPr>
              <w:pStyle w:val="TableCell"/>
            </w:pPr>
            <w:r>
              <w:rPr>
                <w:sz w:val="20"/>
              </w:rPr>
              <w:t>Adam optimizer</w:t>
            </w:r>
          </w:p>
        </w:tc>
      </w:tr>
      <w:tr>
        <w:tc>
          <w:p>
            <w:pPr>
              <w:pStyle w:val="TableCell"/>
            </w:pPr>
            <w:r>
              <w:rPr>
                <w:sz w:val="20"/>
              </w:rPr>
              <w:t>Target update rate (tau)</w:t>
            </w:r>
          </w:p>
        </w:tc>
        <w:tc>
          <w:p>
            <w:pPr>
              <w:pStyle w:val="TableCell"/>
            </w:pPr>
            <w:r>
              <w:rPr>
                <w:sz w:val="20"/>
              </w:rPr>
              <w:t>0.005</w:t>
            </w:r>
          </w:p>
        </w:tc>
        <w:tc>
          <w:p>
            <w:pPr>
              <w:pStyle w:val="TableCell"/>
            </w:pPr>
            <w:r>
              <w:rPr>
                <w:sz w:val="20"/>
              </w:rPr>
              <w:t>Soft update coefficient</w:t>
            </w:r>
          </w:p>
        </w:tc>
      </w:tr>
      <w:tr>
        <w:tc>
          <w:p>
            <w:pPr>
              <w:pStyle w:val="TableCell"/>
            </w:pPr>
            <w:r>
              <w:rPr>
                <w:sz w:val="20"/>
              </w:rPr>
              <w:t>Policy delay</w:t>
            </w:r>
          </w:p>
        </w:tc>
        <w:tc>
          <w:p>
            <w:pPr>
              <w:pStyle w:val="TableCell"/>
            </w:pPr>
            <w:r>
              <w:rPr>
                <w:sz w:val="20"/>
              </w:rPr>
              <w:t>2</w:t>
            </w:r>
          </w:p>
        </w:tc>
        <w:tc>
          <w:p>
            <w:pPr>
              <w:pStyle w:val="TableCell"/>
            </w:pPr>
            <w:r>
              <w:rPr>
                <w:sz w:val="20"/>
              </w:rPr>
              <w:t>Critic updates per actor update</w:t>
            </w:r>
          </w:p>
        </w:tc>
      </w:tr>
      <w:tr>
        <w:tc>
          <w:p>
            <w:pPr>
              <w:pStyle w:val="TableCell"/>
            </w:pPr>
            <w:r>
              <w:rPr>
                <w:sz w:val="20"/>
              </w:rPr>
              <w:t>Target noise (sigma)</w:t>
            </w:r>
          </w:p>
        </w:tc>
        <w:tc>
          <w:p>
            <w:pPr>
              <w:pStyle w:val="TableCell"/>
            </w:pPr>
            <w:r>
              <w:rPr>
                <w:sz w:val="20"/>
              </w:rPr>
              <w:t>0.2</w:t>
            </w:r>
          </w:p>
        </w:tc>
        <w:tc>
          <w:p>
            <w:pPr>
              <w:pStyle w:val="TableCell"/>
            </w:pPr>
            <w:r>
              <w:rPr>
                <w:sz w:val="20"/>
              </w:rPr>
              <w:t>Target policy smoothing</w:t>
            </w:r>
          </w:p>
        </w:tc>
      </w:tr>
      <w:tr>
        <w:tc>
          <w:p>
            <w:pPr>
              <w:pStyle w:val="TableCell"/>
            </w:pPr>
            <w:r>
              <w:rPr>
                <w:sz w:val="20"/>
              </w:rPr>
              <w:t>Target noise clip</w:t>
            </w:r>
          </w:p>
        </w:tc>
        <w:tc>
          <w:p>
            <w:pPr>
              <w:pStyle w:val="TableCell"/>
            </w:pPr>
            <w:r>
              <w:rPr>
                <w:sz w:val="20"/>
              </w:rPr>
              <w:t>0.5</w:t>
            </w:r>
          </w:p>
        </w:tc>
        <w:tc>
          <w:p>
            <w:pPr>
              <w:pStyle w:val="TableCell"/>
            </w:pPr>
            <w:r>
              <w:rPr>
                <w:sz w:val="20"/>
              </w:rPr>
              <w:t>Noise clipping range</w:t>
            </w:r>
          </w:p>
        </w:tc>
      </w:tr>
      <w:tr>
        <w:tc>
          <w:p>
            <w:pPr>
              <w:pStyle w:val="TableCell"/>
            </w:pPr>
            <w:r>
              <w:rPr>
                <w:sz w:val="20"/>
              </w:rPr>
              <w:t>Exploration noise</w:t>
            </w:r>
          </w:p>
        </w:tc>
        <w:tc>
          <w:p>
            <w:pPr>
              <w:pStyle w:val="TableCell"/>
            </w:pPr>
            <w:r>
              <w:rPr>
                <w:sz w:val="20"/>
              </w:rPr>
              <w:t>0.3 to 0.05 (annealed)</w:t>
            </w:r>
          </w:p>
        </w:tc>
        <w:tc>
          <w:p>
            <w:pPr>
              <w:pStyle w:val="TableCell"/>
            </w:pPr>
            <w:r>
              <w:rPr>
                <w:sz w:val="20"/>
              </w:rPr>
              <w:t>Action exploration</w:t>
            </w:r>
          </w:p>
        </w:tc>
      </w:tr>
      <w:tr>
        <w:tc>
          <w:p>
            <w:pPr>
              <w:pStyle w:val="TableCell"/>
            </w:pPr>
            <w:r>
              <w:rPr>
                <w:sz w:val="20"/>
              </w:rPr>
              <w:t>PER alpha</w:t>
            </w:r>
          </w:p>
        </w:tc>
        <w:tc>
          <w:p>
            <w:pPr>
              <w:pStyle w:val="TableCell"/>
            </w:pPr>
            <w:r>
              <w:rPr>
                <w:sz w:val="20"/>
              </w:rPr>
              <w:t>0.6</w:t>
            </w:r>
          </w:p>
        </w:tc>
        <w:tc>
          <w:p>
            <w:pPr>
              <w:pStyle w:val="TableCell"/>
            </w:pPr>
            <w:r>
              <w:rPr>
                <w:sz w:val="20"/>
              </w:rPr>
              <w:t>Priority exponent</w:t>
            </w:r>
          </w:p>
        </w:tc>
      </w:tr>
      <w:tr>
        <w:tc>
          <w:p>
            <w:pPr>
              <w:pStyle w:val="TableCell"/>
            </w:pPr>
            <w:r>
              <w:rPr>
                <w:sz w:val="20"/>
              </w:rPr>
              <w:t>PER beta</w:t>
            </w:r>
          </w:p>
        </w:tc>
        <w:tc>
          <w:p>
            <w:pPr>
              <w:pStyle w:val="TableCell"/>
            </w:pPr>
            <w:r>
              <w:rPr>
                <w:sz w:val="20"/>
              </w:rPr>
              <w:t>0.4 to 1.0 (annealed)</w:t>
            </w:r>
          </w:p>
        </w:tc>
        <w:tc>
          <w:p>
            <w:pPr>
              <w:pStyle w:val="TableCell"/>
            </w:pPr>
            <w:r>
              <w:rPr>
                <w:sz w:val="20"/>
              </w:rPr>
              <w:t>IS weight exponent</w:t>
            </w:r>
          </w:p>
        </w:tc>
      </w:tr>
    </w:tbl>
    <w:p>
      <w:pPr>
        <w:spacing w:before="120"/>
      </w:pPr>
    </w:p>
    <w:p>
      <w:pPr>
        <w:pStyle w:val="Heading3"/>
      </w:pPr>
      <w:r>
        <w:rPr>
          <w:b/>
        </w:rPr>
        <w:t xml:space="preserve">5.4 Data Pipeline Implementation</w:t>
      </w:r>
    </w:p>
    <w:p>
      <w:pPr/>
      <w:r>
        <w:t xml:space="preserve">The data pipeline processes approximately 2,400 sensor measurements per 5-minute interval across 12 floors. The preprocessing pipeline implements:</w:t>
      </w:r>
    </w:p>
    <w:p>
      <w:pPr>
        <w:numPr>
          <w:ilvl w:val="0"/>
          <w:numId w:val="1"/>
        </w:numPr>
        <w:ind w:left="720" w:hanging="360"/>
      </w:pPr>
      <w:r>
        <w:t xml:space="preserve">Outlier Detection: Modified Z-score method with threshold of 3.5 standard deviations, applied independently to each sensor channel.</w:t>
      </w:r>
    </w:p>
    <w:p>
      <w:pPr>
        <w:numPr>
          <w:ilvl w:val="0"/>
          <w:numId w:val="1"/>
        </w:numPr>
        <w:ind w:left="720" w:hanging="360"/>
      </w:pPr>
      <w:r>
        <w:t xml:space="preserve">Missing Value Imputation: Forward-fill for gaps shorter than 15 minutes, Gaussian process regression for longer gaps up to 2 hours, and flagging for gaps exceeding 2 hours.</w:t>
      </w:r>
    </w:p>
    <w:p>
      <w:pPr>
        <w:numPr>
          <w:ilvl w:val="0"/>
          <w:numId w:val="1"/>
        </w:numPr>
        <w:ind w:left="720" w:hanging="360"/>
      </w:pPr>
      <w:r>
        <w:t xml:space="preserve">Temporal Alignment: All sensor channels are resampled to a uniform 5-minute grid using linear interpolation.</w:t>
      </w:r>
    </w:p>
    <w:p>
      <w:pPr>
        <w:numPr>
          <w:ilvl w:val="0"/>
          <w:numId w:val="1"/>
        </w:numPr>
        <w:ind w:left="720" w:hanging="360"/>
      </w:pPr>
      <w:r>
        <w:t xml:space="preserve">Feature Engineering: Derived features including rate of change of zone temperatures, thermal load estimates from energy balance calculations, and time-based encodings.</w:t>
      </w:r>
    </w:p>
    <w:p>
      <w:pPr>
        <w:numPr>
          <w:ilvl w:val="0"/>
          <w:numId w:val="1"/>
        </w:numPr>
        <w:ind w:left="720" w:hanging="360"/>
      </w:pPr>
      <w:r>
        <w:t xml:space="preserve">Normalization: Online min-max normalization with bounds updated monthly based on rolling 12-month statistics.</w:t>
      </w:r>
    </w:p>
    <w:p>
      <w:pPr>
        <w:pStyle w:val="Heading3"/>
      </w:pPr>
      <w:r>
        <w:rPr>
          <w:b/>
        </w:rPr>
        <w:t xml:space="preserve">5.5 Deployment Architecture</w:t>
      </w:r>
    </w:p>
    <w:p>
      <w:pPr/>
      <w:r>
        <w:t xml:space="preserve">The deployment architecture separates the system into edge and cloud components for optimal latency and reliability:</w:t>
      </w:r>
    </w:p>
    <w:p>
      <w:pPr/>
      <w:r>
        <w:rPr>
          <w:b/>
        </w:rPr>
        <w:t xml:space="preserve">Edge Components (On-premise):</w:t>
      </w:r>
    </w:p>
    <w:p>
      <w:pPr>
        <w:numPr>
          <w:ilvl w:val="0"/>
          <w:numId w:val="1"/>
        </w:numPr>
        <w:ind w:left="720" w:hanging="360"/>
      </w:pPr>
      <w:r>
        <w:t xml:space="preserve">BMS gateway for sensor data acquisition and control command delivery</w:t>
      </w:r>
    </w:p>
    <w:p>
      <w:pPr>
        <w:numPr>
          <w:ilvl w:val="0"/>
          <w:numId w:val="1"/>
        </w:numPr>
        <w:ind w:left="720" w:hanging="360"/>
      </w:pPr>
      <w:r>
        <w:t xml:space="preserve">Local inference server running the trained DRL agent (latency &lt; 500ms)</w:t>
      </w:r>
    </w:p>
    <w:p>
      <w:pPr>
        <w:numPr>
          <w:ilvl w:val="0"/>
          <w:numId w:val="1"/>
        </w:numPr>
        <w:ind w:left="720" w:hanging="360"/>
      </w:pPr>
      <w:r>
        <w:t xml:space="preserve">Safety constraint checker and fallback controller</w:t>
      </w:r>
    </w:p>
    <w:p>
      <w:pPr>
        <w:numPr>
          <w:ilvl w:val="0"/>
          <w:numId w:val="1"/>
        </w:numPr>
        <w:ind w:left="720" w:hanging="360"/>
      </w:pPr>
      <w:r>
        <w:t xml:space="preserve">Data buffer for temporary storage during cloud connectivity interruptions</w:t>
      </w:r>
    </w:p>
    <w:p>
      <w:pPr/>
      <w:r>
        <w:rPr>
          <w:b/>
        </w:rPr>
        <w:t xml:space="preserve">Cloud Components:</w:t>
      </w:r>
    </w:p>
    <w:p>
      <w:pPr>
        <w:numPr>
          <w:ilvl w:val="0"/>
          <w:numId w:val="1"/>
        </w:numPr>
        <w:ind w:left="720" w:hanging="360"/>
      </w:pPr>
      <w:r>
        <w:t xml:space="preserve">Digital twin simulation environment</w:t>
      </w:r>
    </w:p>
    <w:p>
      <w:pPr>
        <w:numPr>
          <w:ilvl w:val="0"/>
          <w:numId w:val="1"/>
        </w:numPr>
        <w:ind w:left="720" w:hanging="360"/>
      </w:pPr>
      <w:r>
        <w:t xml:space="preserve">Model retraining pipeline (triggered weekly or upon performance degradation)</w:t>
      </w:r>
    </w:p>
    <w:p>
      <w:pPr>
        <w:numPr>
          <w:ilvl w:val="0"/>
          <w:numId w:val="1"/>
        </w:numPr>
        <w:ind w:left="720" w:hanging="360"/>
      </w:pPr>
      <w:r>
        <w:t xml:space="preserve">Long-term data storage and analytics</w:t>
      </w:r>
    </w:p>
    <w:p>
      <w:pPr>
        <w:numPr>
          <w:ilvl w:val="0"/>
          <w:numId w:val="1"/>
        </w:numPr>
        <w:ind w:left="720" w:hanging="360"/>
      </w:pPr>
      <w:r>
        <w:t xml:space="preserve">Dashboard and monitoring services</w:t>
      </w:r>
    </w:p>
    <w:p>
      <w:pPr/>
      <w:r>
        <w:t xml:space="preserve">This hybrid architecture ensures that control decisions can be made locally with sub-second latency while leveraging cloud resources for computationally intensive tasks such as model retraining and scenario analysis.</w:t>
      </w:r>
    </w:p>
    <w:p>
      <w:pPr>
        <w:pStyle w:val="Heading2"/>
      </w:pPr>
      <w:r>
        <w:rPr>
          <w:b/>
        </w:rPr>
        <w:t xml:space="preserve">6. Experimental Results and Analysis</w:t>
      </w:r>
    </w:p>
    <w:p>
      <w:pPr>
        <w:pStyle w:val="Heading3"/>
      </w:pPr>
      <w:r>
        <w:rPr>
          <w:b/>
        </w:rPr>
        <w:t xml:space="preserve">6.1 Experimental Setup</w:t>
      </w:r>
    </w:p>
    <w:p>
      <w:pPr/>
      <w:r>
        <w:t xml:space="preserve">The proposed framework was evaluated on the reference 12-story commercial building over a 6-month deployment period from January to June 2024. The evaluation employed an A/B testing methodology where alternating floors were controlled by the DRL agent (treatment group: floors 2, 4, 6, 8, 10, 12) and the conventional rule-based controller (control group: floors 1, 3, 5, 7, 9, 11) during the first 3 months. This assignment was reversed for the final 3 months to control for floor-specific effects.</w:t>
      </w:r>
    </w:p>
    <w:p>
      <w:pPr/>
      <w:r>
        <w:t xml:space="preserve">The baseline controller implements a standard sequence of operations: occupied mode cooling setpoint of 24 degrees Celsius, unoccupied setback to 28 degrees Celsius, morning pre-cooling from 06:00 to 07:30, and demand-limited mode during peak tariff hours (14:00-17:00). Supply air temperature is reset based on outdoor temperature (12 degrees Celsius at 35 degrees Celsius outdoor, increasing to 16 degrees Celsius at 25 degrees Celsius outdoor).</w:t>
      </w:r>
    </w:p>
    <w:p>
      <w:pPr/>
      <w:r>
        <w:t xml:space="preserve">Performance metrics were computed for each control period:</w:t>
      </w:r>
    </w:p>
    <w:p>
      <w:pPr>
        <w:numPr>
          <w:ilvl w:val="0"/>
          <w:numId w:val="1"/>
        </w:numPr>
        <w:ind w:left="720" w:hanging="360"/>
      </w:pPr>
      <w:r>
        <w:t xml:space="preserve">Energy consumption (kWh per square meter per month)</w:t>
      </w:r>
    </w:p>
    <w:p>
      <w:pPr>
        <w:numPr>
          <w:ilvl w:val="0"/>
          <w:numId w:val="1"/>
        </w:numPr>
        <w:ind w:left="720" w:hanging="360"/>
      </w:pPr>
      <w:r>
        <w:t xml:space="preserve">Thermal comfort violations (percentage of occupied hours with PMV outside [-0.5, +0.5])</w:t>
      </w:r>
    </w:p>
    <w:p>
      <w:pPr>
        <w:numPr>
          <w:ilvl w:val="0"/>
          <w:numId w:val="1"/>
        </w:numPr>
        <w:ind w:left="720" w:hanging="360"/>
      </w:pPr>
      <w:r>
        <w:t xml:space="preserve">Indoor air quality (percentage of occupied hours with CO2 exceeding 1000 ppm)</w:t>
      </w:r>
    </w:p>
    <w:p>
      <w:pPr>
        <w:numPr>
          <w:ilvl w:val="0"/>
          <w:numId w:val="1"/>
        </w:numPr>
        <w:ind w:left="720" w:hanging="360"/>
      </w:pPr>
      <w:r>
        <w:t xml:space="preserve">Peak demand (maximum 15-minute demand in kW)</w:t>
      </w:r>
    </w:p>
    <w:p>
      <w:pPr>
        <w:numPr>
          <w:ilvl w:val="0"/>
          <w:numId w:val="1"/>
        </w:numPr>
        <w:ind w:left="720" w:hanging="360"/>
      </w:pPr>
      <w:r>
        <w:t xml:space="preserve">Control stability (standard deviation of zone temperature fluctuations)</w:t>
      </w:r>
    </w:p>
    <w:p>
      <w:pPr>
        <w:pStyle w:val="Heading3"/>
      </w:pPr>
      <w:r>
        <w:rPr>
          <w:b/>
        </w:rPr>
        <w:t xml:space="preserve">6.2 Energy Performance Results</w:t>
      </w:r>
    </w:p>
    <w:p>
      <w:pPr>
        <w:jc w:val="center"/>
      </w:pPr>
      <w:r>
        <w:drawing>
          <wp:inline xmlns:wp="http://schemas.openxmlformats.org/drawingml/2006/wordprocessingDrawing" distT="0" distB="0" distL="0" distR="0">
            <wp:extent cx="5486400" cy="3429000"/>
            <wp:docPr id="1" name="Figure"/>
            <a:graphic xmlns:a="http://schemas.openxmlformats.org/drawingml/2006/main">
              <a:graphicData uri="http://schemas.openxmlformats.org/drawingml/2006/picture">
                <pic:pic xmlns:pic="http://schemas.openxmlformats.org/drawingml/2006/picture">
                  <pic:nvPicPr>
                    <pic:cNvPr id="0" name="Figure"/>
                    <pic:cNvPicPr/>
                  </pic:nvPicPr>
                  <pic:blipFill>
                    <a:blip xmlns:r="http://schemas.openxmlformats.org/officeDocument/2006/relationships" r:embed="rId14"/>
                    <a:stretch>
                      <a:fillRect/>
                    </a:stretch>
                  </pic:blipFill>
                  <pic:spPr>
                    <a:xfrm>
                      <a:off x="0" y="0"/>
                      <a:ext cx="5486400" cy="3429000"/>
                    </a:xfrm>
                    <a:prstGeom prst="rect">
                      <a:avLst/>
                    </a:prstGeom>
                  </pic:spPr>
                </pic:pic>
              </a:graphicData>
            </a:graphic>
          </wp:inline>
        </w:drawing>
      </w:r>
    </w:p>
    <w:p>
      <w:pPr>
        <w:pStyle w:val="FigureCaption"/>
      </w:pPr>
      <w:r>
        <w:rPr>
          <w:i/>
          <w:sz w:val="20"/>
        </w:rPr>
        <w:t>Figure 5. Monthly Energy Consumption Comparison between DRL Agent and Baseline Controller</w:t>
      </w:r>
    </w:p>
    <w:p>
      <w:pPr/>
      <w:r>
        <w:t xml:space="preserve">Table 2 presents the monthly energy consumption results for the 6-month evaluation period.</w:t>
      </w:r>
    </w:p>
    <w:p>
      <w:pPr/>
      <w:r>
        <w:rPr>
          <w:b/>
        </w:rPr>
        <w:t xml:space="preserve">Table 2: Monthly Energy Consumption Results</w:t>
      </w:r>
    </w:p>
    <w:tbl>
      <w:tblPr>
        <w:tblW w:w="90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jc w:val="center"/>
      </w:tblPr>
      <w:tblGrid>
        <w:gridCol w:w="2250"/>
        <w:gridCol w:w="2250"/>
        <w:gridCol w:w="2250"/>
        <w:gridCol w:w="2250"/>
      </w:tblGrid>
      <w:tr>
        <w:tc>
          <w:tcPr>
            <w:shd w:val="clear" w:fill="E8E8E8"/>
          </w:tcPr>
          <w:p>
            <w:pPr>
              <w:pStyle w:val="TableHeader"/>
            </w:pPr>
            <w:r>
              <w:rPr>
                <w:b/>
                <w:sz w:val="20"/>
              </w:rPr>
              <w:t>Month</w:t>
            </w:r>
          </w:p>
        </w:tc>
        <w:tc>
          <w:tcPr>
            <w:shd w:val="clear" w:fill="E8E8E8"/>
          </w:tcPr>
          <w:p>
            <w:pPr>
              <w:pStyle w:val="TableHeader"/>
            </w:pPr>
            <w:r>
              <w:rPr>
                <w:b/>
                <w:sz w:val="20"/>
              </w:rPr>
              <w:t>Baseline (kWh/m2)</w:t>
            </w:r>
          </w:p>
        </w:tc>
        <w:tc>
          <w:tcPr>
            <w:shd w:val="clear" w:fill="E8E8E8"/>
          </w:tcPr>
          <w:p>
            <w:pPr>
              <w:pStyle w:val="TableHeader"/>
            </w:pPr>
            <w:r>
              <w:rPr>
                <w:b/>
                <w:sz w:val="20"/>
              </w:rPr>
              <w:t>DRL Agent (kWh/m2)</w:t>
            </w:r>
          </w:p>
        </w:tc>
        <w:tc>
          <w:tcPr>
            <w:shd w:val="clear" w:fill="E8E8E8"/>
          </w:tcPr>
          <w:p>
            <w:pPr>
              <w:pStyle w:val="TableHeader"/>
            </w:pPr>
            <w:r>
              <w:rPr>
                <w:b/>
                <w:sz w:val="20"/>
              </w:rPr>
              <w:t>Savings (%)</w:t>
            </w:r>
          </w:p>
        </w:tc>
      </w:tr>
      <w:tr>
        <w:tc>
          <w:p>
            <w:pPr>
              <w:pStyle w:val="TableCell"/>
            </w:pPr>
            <w:r>
              <w:rPr>
                <w:sz w:val="20"/>
              </w:rPr>
              <w:t>January</w:t>
            </w:r>
          </w:p>
        </w:tc>
        <w:tc>
          <w:p>
            <w:pPr>
              <w:pStyle w:val="TableCell"/>
            </w:pPr>
            <w:r>
              <w:rPr>
                <w:sz w:val="20"/>
              </w:rPr>
              <w:t>18.4</w:t>
            </w:r>
          </w:p>
        </w:tc>
        <w:tc>
          <w:p>
            <w:pPr>
              <w:pStyle w:val="TableCell"/>
            </w:pPr>
            <w:r>
              <w:rPr>
                <w:sz w:val="20"/>
              </w:rPr>
              <w:t>14.2</w:t>
            </w:r>
          </w:p>
        </w:tc>
        <w:tc>
          <w:p>
            <w:pPr>
              <w:pStyle w:val="TableCell"/>
            </w:pPr>
            <w:r>
              <w:rPr>
                <w:sz w:val="20"/>
              </w:rPr>
              <w:t>22.8</w:t>
            </w:r>
          </w:p>
        </w:tc>
      </w:tr>
      <w:tr>
        <w:tc>
          <w:p>
            <w:pPr>
              <w:pStyle w:val="TableCell"/>
            </w:pPr>
            <w:r>
              <w:rPr>
                <w:sz w:val="20"/>
              </w:rPr>
              <w:t>February</w:t>
            </w:r>
          </w:p>
        </w:tc>
        <w:tc>
          <w:p>
            <w:pPr>
              <w:pStyle w:val="TableCell"/>
            </w:pPr>
            <w:r>
              <w:rPr>
                <w:sz w:val="20"/>
              </w:rPr>
              <w:t>17.9</w:t>
            </w:r>
          </w:p>
        </w:tc>
        <w:tc>
          <w:p>
            <w:pPr>
              <w:pStyle w:val="TableCell"/>
            </w:pPr>
            <w:r>
              <w:rPr>
                <w:sz w:val="20"/>
              </w:rPr>
              <w:t>13.8</w:t>
            </w:r>
          </w:p>
        </w:tc>
        <w:tc>
          <w:p>
            <w:pPr>
              <w:pStyle w:val="TableCell"/>
            </w:pPr>
            <w:r>
              <w:rPr>
                <w:sz w:val="20"/>
              </w:rPr>
              <w:t>22.9</w:t>
            </w:r>
          </w:p>
        </w:tc>
      </w:tr>
      <w:tr>
        <w:tc>
          <w:p>
            <w:pPr>
              <w:pStyle w:val="TableCell"/>
            </w:pPr>
            <w:r>
              <w:rPr>
                <w:sz w:val="20"/>
              </w:rPr>
              <w:t>March</w:t>
            </w:r>
          </w:p>
        </w:tc>
        <w:tc>
          <w:p>
            <w:pPr>
              <w:pStyle w:val="TableCell"/>
            </w:pPr>
            <w:r>
              <w:rPr>
                <w:sz w:val="20"/>
              </w:rPr>
              <w:t>19.2</w:t>
            </w:r>
          </w:p>
        </w:tc>
        <w:tc>
          <w:p>
            <w:pPr>
              <w:pStyle w:val="TableCell"/>
            </w:pPr>
            <w:r>
              <w:rPr>
                <w:sz w:val="20"/>
              </w:rPr>
              <w:t>14.5</w:t>
            </w:r>
          </w:p>
        </w:tc>
        <w:tc>
          <w:p>
            <w:pPr>
              <w:pStyle w:val="TableCell"/>
            </w:pPr>
            <w:r>
              <w:rPr>
                <w:sz w:val="20"/>
              </w:rPr>
              <w:t>24.5</w:t>
            </w:r>
          </w:p>
        </w:tc>
      </w:tr>
      <w:tr>
        <w:tc>
          <w:p>
            <w:pPr>
              <w:pStyle w:val="TableCell"/>
            </w:pPr>
            <w:r>
              <w:rPr>
                <w:sz w:val="20"/>
              </w:rPr>
              <w:t>April</w:t>
            </w:r>
          </w:p>
        </w:tc>
        <w:tc>
          <w:p>
            <w:pPr>
              <w:pStyle w:val="TableCell"/>
            </w:pPr>
            <w:r>
              <w:rPr>
                <w:sz w:val="20"/>
              </w:rPr>
              <w:t>20.1</w:t>
            </w:r>
          </w:p>
        </w:tc>
        <w:tc>
          <w:p>
            <w:pPr>
              <w:pStyle w:val="TableCell"/>
            </w:pPr>
            <w:r>
              <w:rPr>
                <w:sz w:val="20"/>
              </w:rPr>
              <w:t>15.1</w:t>
            </w:r>
          </w:p>
        </w:tc>
        <w:tc>
          <w:p>
            <w:pPr>
              <w:pStyle w:val="TableCell"/>
            </w:pPr>
            <w:r>
              <w:rPr>
                <w:sz w:val="20"/>
              </w:rPr>
              <w:t>24.9</w:t>
            </w:r>
          </w:p>
        </w:tc>
      </w:tr>
      <w:tr>
        <w:tc>
          <w:p>
            <w:pPr>
              <w:pStyle w:val="TableCell"/>
            </w:pPr>
            <w:r>
              <w:rPr>
                <w:sz w:val="20"/>
              </w:rPr>
              <w:t>May</w:t>
            </w:r>
          </w:p>
        </w:tc>
        <w:tc>
          <w:p>
            <w:pPr>
              <w:pStyle w:val="TableCell"/>
            </w:pPr>
            <w:r>
              <w:rPr>
                <w:sz w:val="20"/>
              </w:rPr>
              <w:t>20.8</w:t>
            </w:r>
          </w:p>
        </w:tc>
        <w:tc>
          <w:p>
            <w:pPr>
              <w:pStyle w:val="TableCell"/>
            </w:pPr>
            <w:r>
              <w:rPr>
                <w:sz w:val="20"/>
              </w:rPr>
              <w:t>16.1</w:t>
            </w:r>
          </w:p>
        </w:tc>
        <w:tc>
          <w:p>
            <w:pPr>
              <w:pStyle w:val="TableCell"/>
            </w:pPr>
            <w:r>
              <w:rPr>
                <w:sz w:val="20"/>
              </w:rPr>
              <w:t>22.6</w:t>
            </w:r>
          </w:p>
        </w:tc>
      </w:tr>
      <w:tr>
        <w:tc>
          <w:p>
            <w:pPr>
              <w:pStyle w:val="TableCell"/>
            </w:pPr>
            <w:r>
              <w:rPr>
                <w:sz w:val="20"/>
              </w:rPr>
              <w:t>June</w:t>
            </w:r>
          </w:p>
        </w:tc>
        <w:tc>
          <w:p>
            <w:pPr>
              <w:pStyle w:val="TableCell"/>
            </w:pPr>
            <w:r>
              <w:rPr>
                <w:sz w:val="20"/>
              </w:rPr>
              <w:t>21.3</w:t>
            </w:r>
          </w:p>
        </w:tc>
        <w:tc>
          <w:p>
            <w:pPr>
              <w:pStyle w:val="TableCell"/>
            </w:pPr>
            <w:r>
              <w:rPr>
                <w:sz w:val="20"/>
              </w:rPr>
              <w:t>16.2</w:t>
            </w:r>
          </w:p>
        </w:tc>
        <w:tc>
          <w:p>
            <w:pPr>
              <w:pStyle w:val="TableCell"/>
            </w:pPr>
            <w:r>
              <w:rPr>
                <w:sz w:val="20"/>
              </w:rPr>
              <w:t>23.9</w:t>
            </w:r>
          </w:p>
        </w:tc>
      </w:tr>
      <w:tr>
        <w:tc>
          <w:p>
            <w:pPr>
              <w:pStyle w:val="TableCell"/>
            </w:pPr>
            <w:r>
              <w:rPr>
                <w:sz w:val="20"/>
              </w:rPr>
              <w:t>**Average**</w:t>
            </w:r>
          </w:p>
        </w:tc>
        <w:tc>
          <w:p>
            <w:pPr>
              <w:pStyle w:val="TableCell"/>
            </w:pPr>
            <w:r>
              <w:rPr>
                <w:sz w:val="20"/>
              </w:rPr>
              <w:t>**19.6**</w:t>
            </w:r>
          </w:p>
        </w:tc>
        <w:tc>
          <w:p>
            <w:pPr>
              <w:pStyle w:val="TableCell"/>
            </w:pPr>
            <w:r>
              <w:rPr>
                <w:sz w:val="20"/>
              </w:rPr>
              <w:t>**15.0**</w:t>
            </w:r>
          </w:p>
        </w:tc>
        <w:tc>
          <w:p>
            <w:pPr>
              <w:pStyle w:val="TableCell"/>
            </w:pPr>
            <w:r>
              <w:rPr>
                <w:sz w:val="20"/>
              </w:rPr>
              <w:t>**23.7**</w:t>
            </w:r>
          </w:p>
        </w:tc>
      </w:tr>
    </w:tbl>
    <w:p>
      <w:pPr>
        <w:spacing w:before="120"/>
      </w:pPr>
    </w:p>
    <w:p>
      <w:pPr/>
      <w:r>
        <w:t xml:space="preserve">The DRL agent consistently achieves energy savings ranging from 22.6% to 24.9% across all months, with an average reduction of 23.7%. The higher savings during March and April coincide with transitional weather periods where the DRL agent's ability to anticipate and adapt to variable conditions provides the greatest advantage over the fixed rule-based approach.</w:t>
      </w:r>
    </w:p>
    <w:p>
      <w:pPr/>
      <w:r>
        <w:t xml:space="preserve">Analysis of the energy savings distribution reveals that the primary mechanisms through which the DRL agent reduces consumption are:</w:t>
      </w:r>
    </w:p>
    <w:p>
      <w:pPr>
        <w:numPr>
          <w:ilvl w:val="0"/>
          <w:numId w:val="1"/>
        </w:numPr>
        <w:ind w:left="720" w:hanging="360"/>
      </w:pPr>
      <w:r>
        <w:t xml:space="preserve">Optimized chilled water temperature reset (contributing 8.2% savings): The agent learns to raise chilled water temperature during partial-load conditions, improving chiller COP by 12-18%.</w:t>
      </w:r>
    </w:p>
    <w:p>
      <w:pPr>
        <w:numPr>
          <w:ilvl w:val="0"/>
          <w:numId w:val="1"/>
        </w:numPr>
        <w:ind w:left="720" w:hanging="360"/>
      </w:pPr>
      <w:r>
        <w:t xml:space="preserve">Predictive pre-cooling optimization (contributing 6.8% savings): Rather than fixed-schedule pre-cooling, the agent adapts pre-cooling timing and intensity based on predicted occupancy and weather conditions.</w:t>
      </w:r>
    </w:p>
    <w:p>
      <w:pPr>
        <w:numPr>
          <w:ilvl w:val="0"/>
          <w:numId w:val="1"/>
        </w:numPr>
        <w:ind w:left="720" w:hanging="360"/>
      </w:pPr>
      <w:r>
        <w:t xml:space="preserve">Dynamic ventilation control (contributing 5.1% savings): The agent reduces fresh air intake during periods of low occupancy while ensuring CO2 levels remain acceptable.</w:t>
      </w:r>
    </w:p>
    <w:p>
      <w:pPr>
        <w:numPr>
          <w:ilvl w:val="0"/>
          <w:numId w:val="1"/>
        </w:numPr>
        <w:ind w:left="720" w:hanging="360"/>
      </w:pPr>
      <w:r>
        <w:t xml:space="preserve">Load shifting to off-peak hours (contributing 3.6% savings): The agent exploits building thermal mass to shift cooling loads from peak to off-peak tariff periods.</w:t>
      </w:r>
    </w:p>
    <w:p>
      <w:pPr>
        <w:pStyle w:val="Heading3"/>
      </w:pPr>
      <w:r>
        <w:rPr>
          <w:b/>
        </w:rPr>
        <w:t xml:space="preserve">6.3 Thermal Comfort Results</w:t>
      </w:r>
    </w:p>
    <w:p>
      <w:pPr/>
      <w:r>
        <w:t xml:space="preserve">Maintaining occupant thermal comfort is a non-negotiable requirement for any energy optimization strategy. Table 3 presents the thermal comfort performance comparison.</w:t>
      </w:r>
    </w:p>
    <w:p>
      <w:pPr/>
      <w:r>
        <w:rPr>
          <w:b/>
        </w:rPr>
        <w:t xml:space="preserve">Table 3: Thermal Comfort Performance</w:t>
      </w:r>
    </w:p>
    <w:tbl>
      <w:tblPr>
        <w:tblW w:w="90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jc w:val="center"/>
      </w:tblPr>
      <w:tblGrid>
        <w:gridCol w:w="2250"/>
        <w:gridCol w:w="2250"/>
        <w:gridCol w:w="2250"/>
        <w:gridCol w:w="2250"/>
      </w:tblGrid>
      <w:tr>
        <w:tc>
          <w:tcPr>
            <w:shd w:val="clear" w:fill="E8E8E8"/>
          </w:tcPr>
          <w:p>
            <w:pPr>
              <w:pStyle w:val="TableHeader"/>
            </w:pPr>
            <w:r>
              <w:rPr>
                <w:b/>
                <w:sz w:val="20"/>
              </w:rPr>
              <w:t>Metric</w:t>
            </w:r>
          </w:p>
        </w:tc>
        <w:tc>
          <w:tcPr>
            <w:shd w:val="clear" w:fill="E8E8E8"/>
          </w:tcPr>
          <w:p>
            <w:pPr>
              <w:pStyle w:val="TableHeader"/>
            </w:pPr>
            <w:r>
              <w:rPr>
                <w:b/>
                <w:sz w:val="20"/>
              </w:rPr>
              <w:t>Baseline</w:t>
            </w:r>
          </w:p>
        </w:tc>
        <w:tc>
          <w:tcPr>
            <w:shd w:val="clear" w:fill="E8E8E8"/>
          </w:tcPr>
          <w:p>
            <w:pPr>
              <w:pStyle w:val="TableHeader"/>
            </w:pPr>
            <w:r>
              <w:rPr>
                <w:b/>
                <w:sz w:val="20"/>
              </w:rPr>
              <w:t>DRL Agent</w:t>
            </w:r>
          </w:p>
        </w:tc>
        <w:tc>
          <w:tcPr>
            <w:shd w:val="clear" w:fill="E8E8E8"/>
          </w:tcPr>
          <w:p>
            <w:pPr>
              <w:pStyle w:val="TableHeader"/>
            </w:pPr>
            <w:r>
              <w:rPr>
                <w:b/>
                <w:sz w:val="20"/>
              </w:rPr>
              <w:t>Improvement</w:t>
            </w:r>
          </w:p>
        </w:tc>
      </w:tr>
      <w:tr>
        <w:tc>
          <w:p>
            <w:pPr>
              <w:pStyle w:val="TableCell"/>
            </w:pPr>
            <w:r>
              <w:rPr>
                <w:sz w:val="20"/>
              </w:rPr>
              <w:t>PMV within [-0.5, +0.5] (%)</w:t>
            </w:r>
          </w:p>
        </w:tc>
        <w:tc>
          <w:p>
            <w:pPr>
              <w:pStyle w:val="TableCell"/>
            </w:pPr>
            <w:r>
              <w:rPr>
                <w:sz w:val="20"/>
              </w:rPr>
              <w:t>94.2</w:t>
            </w:r>
          </w:p>
        </w:tc>
        <w:tc>
          <w:p>
            <w:pPr>
              <w:pStyle w:val="TableCell"/>
            </w:pPr>
            <w:r>
              <w:rPr>
                <w:sz w:val="20"/>
              </w:rPr>
              <w:t>96.8</w:t>
            </w:r>
          </w:p>
        </w:tc>
        <w:tc>
          <w:p>
            <w:pPr>
              <w:pStyle w:val="TableCell"/>
            </w:pPr>
            <w:r>
              <w:rPr>
                <w:sz w:val="20"/>
              </w:rPr>
              <w:t>+2.6%</w:t>
            </w:r>
          </w:p>
        </w:tc>
      </w:tr>
      <w:tr>
        <w:tc>
          <w:p>
            <w:pPr>
              <w:pStyle w:val="TableCell"/>
            </w:pPr>
            <w:r>
              <w:rPr>
                <w:sz w:val="20"/>
              </w:rPr>
              <w:t>PMV within [-0.7, +0.7] (%)</w:t>
            </w:r>
          </w:p>
        </w:tc>
        <w:tc>
          <w:p>
            <w:pPr>
              <w:pStyle w:val="TableCell"/>
            </w:pPr>
            <w:r>
              <w:rPr>
                <w:sz w:val="20"/>
              </w:rPr>
              <w:t>97.8</w:t>
            </w:r>
          </w:p>
        </w:tc>
        <w:tc>
          <w:p>
            <w:pPr>
              <w:pStyle w:val="TableCell"/>
            </w:pPr>
            <w:r>
              <w:rPr>
                <w:sz w:val="20"/>
              </w:rPr>
              <w:t>99.1</w:t>
            </w:r>
          </w:p>
        </w:tc>
        <w:tc>
          <w:p>
            <w:pPr>
              <w:pStyle w:val="TableCell"/>
            </w:pPr>
            <w:r>
              <w:rPr>
                <w:sz w:val="20"/>
              </w:rPr>
              <w:t>+1.3%</w:t>
            </w:r>
          </w:p>
        </w:tc>
      </w:tr>
      <w:tr>
        <w:tc>
          <w:p>
            <w:pPr>
              <w:pStyle w:val="TableCell"/>
            </w:pPr>
            <w:r>
              <w:rPr>
                <w:sz w:val="20"/>
              </w:rPr>
              <w:t>Mean PMV (occupied hours)</w:t>
            </w:r>
          </w:p>
        </w:tc>
        <w:tc>
          <w:p>
            <w:pPr>
              <w:pStyle w:val="TableCell"/>
            </w:pPr>
            <w:r>
              <w:rPr>
                <w:sz w:val="20"/>
              </w:rPr>
              <w:t>-0.12</w:t>
            </w:r>
          </w:p>
        </w:tc>
        <w:tc>
          <w:p>
            <w:pPr>
              <w:pStyle w:val="TableCell"/>
            </w:pPr>
            <w:r>
              <w:rPr>
                <w:sz w:val="20"/>
              </w:rPr>
              <w:t>-0.05</w:t>
            </w:r>
          </w:p>
        </w:tc>
        <w:tc>
          <w:p>
            <w:pPr>
              <w:pStyle w:val="TableCell"/>
            </w:pPr>
            <w:r>
              <w:rPr>
                <w:sz w:val="20"/>
              </w:rPr>
              <w:t>Closer to neutral</w:t>
            </w:r>
          </w:p>
        </w:tc>
      </w:tr>
      <w:tr>
        <w:tc>
          <w:p>
            <w:pPr>
              <w:pStyle w:val="TableCell"/>
            </w:pPr>
            <w:r>
              <w:rPr>
                <w:sz w:val="20"/>
              </w:rPr>
              <w:t>Temperature deviation from setpoint (std)</w:t>
            </w:r>
          </w:p>
        </w:tc>
        <w:tc>
          <w:p>
            <w:pPr>
              <w:pStyle w:val="TableCell"/>
            </w:pPr>
            <w:r>
              <w:rPr>
                <w:sz w:val="20"/>
              </w:rPr>
              <w:t>0.82 degC</w:t>
            </w:r>
          </w:p>
        </w:tc>
        <w:tc>
          <w:p>
            <w:pPr>
              <w:pStyle w:val="TableCell"/>
            </w:pPr>
            <w:r>
              <w:rPr>
                <w:sz w:val="20"/>
              </w:rPr>
              <w:t>0.54 degC</w:t>
            </w:r>
          </w:p>
        </w:tc>
        <w:tc>
          <w:p>
            <w:pPr>
              <w:pStyle w:val="TableCell"/>
            </w:pPr>
            <w:r>
              <w:rPr>
                <w:sz w:val="20"/>
              </w:rPr>
              <w:t>-34.1%</w:t>
            </w:r>
          </w:p>
        </w:tc>
      </w:tr>
      <w:tr>
        <w:tc>
          <w:p>
            <w:pPr>
              <w:pStyle w:val="TableCell"/>
            </w:pPr>
            <w:r>
              <w:rPr>
                <w:sz w:val="20"/>
              </w:rPr>
              <w:t>Warmest zone deviation (max PMV)</w:t>
            </w:r>
          </w:p>
        </w:tc>
        <w:tc>
          <w:p>
            <w:pPr>
              <w:pStyle w:val="TableCell"/>
            </w:pPr>
            <w:r>
              <w:rPr>
                <w:sz w:val="20"/>
              </w:rPr>
              <w:t>1.24</w:t>
            </w:r>
          </w:p>
        </w:tc>
        <w:tc>
          <w:p>
            <w:pPr>
              <w:pStyle w:val="TableCell"/>
            </w:pPr>
            <w:r>
              <w:rPr>
                <w:sz w:val="20"/>
              </w:rPr>
              <w:t>0.78</w:t>
            </w:r>
          </w:p>
        </w:tc>
        <w:tc>
          <w:p>
            <w:pPr>
              <w:pStyle w:val="TableCell"/>
            </w:pPr>
            <w:r>
              <w:rPr>
                <w:sz w:val="20"/>
              </w:rPr>
              <w:t>-37.1%</w:t>
            </w:r>
          </w:p>
        </w:tc>
      </w:tr>
    </w:tbl>
    <w:p>
      <w:pPr>
        <w:spacing w:before="120"/>
      </w:pPr>
    </w:p>
    <w:p>
      <w:pPr/>
      <w:r>
        <w:t xml:space="preserve">The DRL agent not only reduces energy consumption but simultaneously improves thermal comfort performance. The improvement is attributed to the agent's ability to anticipate thermal disturbances (solar gains, occupancy changes) and proactively adjust setpoints, rather than reactively responding after comfort deviations have already occurred.</w:t>
      </w:r>
    </w:p>
    <w:p>
      <w:pPr/>
      <w:r>
        <w:t xml:space="preserve">Notably, the standard deviation of temperature fluctuations is reduced by 34.1%, indicating more stable thermal conditions that occupants perceive as higher comfort quality even when mean temperatures are identical.</w:t>
      </w:r>
    </w:p>
    <w:p>
      <w:pPr>
        <w:pStyle w:val="Heading3"/>
      </w:pPr>
      <w:r>
        <w:rPr>
          <w:b/>
        </w:rPr>
        <w:t xml:space="preserve">6.4 Indoor Air Quality Results</w:t>
      </w:r>
    </w:p>
    <w:p>
      <w:pPr/>
      <w:r>
        <w:t xml:space="preserve">The DRL agent's intelligent ventilation control achieves measurable improvements in indoor air quality while simultaneously reducing ventilation energy:</w:t>
      </w:r>
    </w:p>
    <w:p>
      <w:pPr/>
      <w:r>
        <w:rPr>
          <w:b/>
        </w:rPr>
        <w:t xml:space="preserve">Table 4: Indoor Air Quality Performance</w:t>
      </w:r>
    </w:p>
    <w:tbl>
      <w:tblPr>
        <w:tblW w:w="90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jc w:val="center"/>
      </w:tblPr>
      <w:tblGrid>
        <w:gridCol w:w="2250"/>
        <w:gridCol w:w="2250"/>
        <w:gridCol w:w="2250"/>
        <w:gridCol w:w="2250"/>
      </w:tblGrid>
      <w:tr>
        <w:tc>
          <w:tcPr>
            <w:shd w:val="clear" w:fill="E8E8E8"/>
          </w:tcPr>
          <w:p>
            <w:pPr>
              <w:pStyle w:val="TableHeader"/>
            </w:pPr>
            <w:r>
              <w:rPr>
                <w:b/>
                <w:sz w:val="20"/>
              </w:rPr>
              <w:t>Metric</w:t>
            </w:r>
          </w:p>
        </w:tc>
        <w:tc>
          <w:tcPr>
            <w:shd w:val="clear" w:fill="E8E8E8"/>
          </w:tcPr>
          <w:p>
            <w:pPr>
              <w:pStyle w:val="TableHeader"/>
            </w:pPr>
            <w:r>
              <w:rPr>
                <w:b/>
                <w:sz w:val="20"/>
              </w:rPr>
              <w:t>Baseline</w:t>
            </w:r>
          </w:p>
        </w:tc>
        <w:tc>
          <w:tcPr>
            <w:shd w:val="clear" w:fill="E8E8E8"/>
          </w:tcPr>
          <w:p>
            <w:pPr>
              <w:pStyle w:val="TableHeader"/>
            </w:pPr>
            <w:r>
              <w:rPr>
                <w:b/>
                <w:sz w:val="20"/>
              </w:rPr>
              <w:t>DRL Agent</w:t>
            </w:r>
          </w:p>
        </w:tc>
        <w:tc>
          <w:tcPr>
            <w:shd w:val="clear" w:fill="E8E8E8"/>
          </w:tcPr>
          <w:p>
            <w:pPr>
              <w:pStyle w:val="TableHeader"/>
            </w:pPr>
            <w:r>
              <w:rPr>
                <w:b/>
                <w:sz w:val="20"/>
              </w:rPr>
              <w:t>Improvement</w:t>
            </w:r>
          </w:p>
        </w:tc>
      </w:tr>
      <w:tr>
        <w:tc>
          <w:p>
            <w:pPr>
              <w:pStyle w:val="TableCell"/>
            </w:pPr>
            <w:r>
              <w:rPr>
                <w:sz w:val="20"/>
              </w:rPr>
              <w:t>Mean CO2 (occupied hours, ppm)</w:t>
            </w:r>
          </w:p>
        </w:tc>
        <w:tc>
          <w:p>
            <w:pPr>
              <w:pStyle w:val="TableCell"/>
            </w:pPr>
            <w:r>
              <w:rPr>
                <w:sz w:val="20"/>
              </w:rPr>
              <w:t>687</w:t>
            </w:r>
          </w:p>
        </w:tc>
        <w:tc>
          <w:p>
            <w:pPr>
              <w:pStyle w:val="TableCell"/>
            </w:pPr>
            <w:r>
              <w:rPr>
                <w:sz w:val="20"/>
              </w:rPr>
              <w:t>612</w:t>
            </w:r>
          </w:p>
        </w:tc>
        <w:tc>
          <w:p>
            <w:pPr>
              <w:pStyle w:val="TableCell"/>
            </w:pPr>
            <w:r>
              <w:rPr>
                <w:sz w:val="20"/>
              </w:rPr>
              <w:t>-10.9%</w:t>
            </w:r>
          </w:p>
        </w:tc>
      </w:tr>
      <w:tr>
        <w:tc>
          <w:p>
            <w:pPr>
              <w:pStyle w:val="TableCell"/>
            </w:pPr>
            <w:r>
              <w:rPr>
                <w:sz w:val="20"/>
              </w:rPr>
              <w:t>Hours with CO2 &gt; 1000 ppm (%)</w:t>
            </w:r>
          </w:p>
        </w:tc>
        <w:tc>
          <w:p>
            <w:pPr>
              <w:pStyle w:val="TableCell"/>
            </w:pPr>
            <w:r>
              <w:rPr>
                <w:sz w:val="20"/>
              </w:rPr>
              <w:t>4.8</w:t>
            </w:r>
          </w:p>
        </w:tc>
        <w:tc>
          <w:p>
            <w:pPr>
              <w:pStyle w:val="TableCell"/>
            </w:pPr>
            <w:r>
              <w:rPr>
                <w:sz w:val="20"/>
              </w:rPr>
              <w:t>1.2</w:t>
            </w:r>
          </w:p>
        </w:tc>
        <w:tc>
          <w:p>
            <w:pPr>
              <w:pStyle w:val="TableCell"/>
            </w:pPr>
            <w:r>
              <w:rPr>
                <w:sz w:val="20"/>
              </w:rPr>
              <w:t>-75.0%</w:t>
            </w:r>
          </w:p>
        </w:tc>
      </w:tr>
      <w:tr>
        <w:tc>
          <w:p>
            <w:pPr>
              <w:pStyle w:val="TableCell"/>
            </w:pPr>
            <w:r>
              <w:rPr>
                <w:sz w:val="20"/>
              </w:rPr>
              <w:t>Hours with CO2 &gt; 800 ppm (%)</w:t>
            </w:r>
          </w:p>
        </w:tc>
        <w:tc>
          <w:p>
            <w:pPr>
              <w:pStyle w:val="TableCell"/>
            </w:pPr>
            <w:r>
              <w:rPr>
                <w:sz w:val="20"/>
              </w:rPr>
              <w:t>18.7</w:t>
            </w:r>
          </w:p>
        </w:tc>
        <w:tc>
          <w:p>
            <w:pPr>
              <w:pStyle w:val="TableCell"/>
            </w:pPr>
            <w:r>
              <w:rPr>
                <w:sz w:val="20"/>
              </w:rPr>
              <w:t>8.3</w:t>
            </w:r>
          </w:p>
        </w:tc>
        <w:tc>
          <w:p>
            <w:pPr>
              <w:pStyle w:val="TableCell"/>
            </w:pPr>
            <w:r>
              <w:rPr>
                <w:sz w:val="20"/>
              </w:rPr>
              <w:t>-55.6%</w:t>
            </w:r>
          </w:p>
        </w:tc>
      </w:tr>
      <w:tr>
        <w:tc>
          <w:p>
            <w:pPr>
              <w:pStyle w:val="TableCell"/>
            </w:pPr>
            <w:r>
              <w:rPr>
                <w:sz w:val="20"/>
              </w:rPr>
              <w:t>Mean PM2.5 (occupied hours, ug/m3)</w:t>
            </w:r>
          </w:p>
        </w:tc>
        <w:tc>
          <w:p>
            <w:pPr>
              <w:pStyle w:val="TableCell"/>
            </w:pPr>
            <w:r>
              <w:rPr>
                <w:sz w:val="20"/>
              </w:rPr>
              <w:t>12.4</w:t>
            </w:r>
          </w:p>
        </w:tc>
        <w:tc>
          <w:p>
            <w:pPr>
              <w:pStyle w:val="TableCell"/>
            </w:pPr>
            <w:r>
              <w:rPr>
                <w:sz w:val="20"/>
              </w:rPr>
              <w:t>10.8</w:t>
            </w:r>
          </w:p>
        </w:tc>
        <w:tc>
          <w:p>
            <w:pPr>
              <w:pStyle w:val="TableCell"/>
            </w:pPr>
            <w:r>
              <w:rPr>
                <w:sz w:val="20"/>
              </w:rPr>
              <w:t>-12.9%</w:t>
            </w:r>
          </w:p>
        </w:tc>
      </w:tr>
      <w:tr>
        <w:tc>
          <w:p>
            <w:pPr>
              <w:pStyle w:val="TableCell"/>
            </w:pPr>
            <w:r>
              <w:rPr>
                <w:sz w:val="20"/>
              </w:rPr>
              <w:t>Ventilation effectiveness index</w:t>
            </w:r>
          </w:p>
        </w:tc>
        <w:tc>
          <w:p>
            <w:pPr>
              <w:pStyle w:val="TableCell"/>
            </w:pPr>
            <w:r>
              <w:rPr>
                <w:sz w:val="20"/>
              </w:rPr>
              <w:t>0.78</w:t>
            </w:r>
          </w:p>
        </w:tc>
        <w:tc>
          <w:p>
            <w:pPr>
              <w:pStyle w:val="TableCell"/>
            </w:pPr>
            <w:r>
              <w:rPr>
                <w:sz w:val="20"/>
              </w:rPr>
              <w:t>0.92</w:t>
            </w:r>
          </w:p>
        </w:tc>
        <w:tc>
          <w:p>
            <w:pPr>
              <w:pStyle w:val="TableCell"/>
            </w:pPr>
            <w:r>
              <w:rPr>
                <w:sz w:val="20"/>
              </w:rPr>
              <w:t>+17.9%</w:t>
            </w:r>
          </w:p>
        </w:tc>
      </w:tr>
    </w:tbl>
    <w:p>
      <w:pPr>
        <w:spacing w:before="120"/>
      </w:pPr>
    </w:p>
    <w:p>
      <w:pPr/>
      <w:r>
        <w:t xml:space="preserve">The agent achieves these improvements by learning to increase ventilation proactively before occupancy peaks (anticipating CO2 buildup) and by optimizing the ratio of fresh air to recirculated air based on real-time CO2 measurements and outdoor air quality conditions.</w:t>
      </w:r>
    </w:p>
    <w:p>
      <w:pPr>
        <w:pStyle w:val="Heading3"/>
      </w:pPr>
      <w:r>
        <w:rPr>
          <w:b/>
        </w:rPr>
        <w:t xml:space="preserve">6.5 Peak Demand Reduction</w:t>
      </w:r>
    </w:p>
    <w:p>
      <w:pPr>
        <w:jc w:val="center"/>
      </w:pPr>
      <w:r>
        <w:drawing>
          <wp:inline xmlns:wp="http://schemas.openxmlformats.org/drawingml/2006/wordprocessingDrawing" distT="0" distB="0" distL="0" distR="0">
            <wp:extent cx="5486400" cy="3429000"/>
            <wp:docPr id="1" name="Figure"/>
            <a:graphic xmlns:a="http://schemas.openxmlformats.org/drawingml/2006/main">
              <a:graphicData uri="http://schemas.openxmlformats.org/drawingml/2006/picture">
                <pic:pic xmlns:pic="http://schemas.openxmlformats.org/drawingml/2006/picture">
                  <pic:nvPicPr>
                    <pic:cNvPr id="0" name="Figure"/>
                    <pic:cNvPicPr/>
                  </pic:nvPicPr>
                  <pic:blipFill>
                    <a:blip xmlns:r="http://schemas.openxmlformats.org/officeDocument/2006/relationships" r:embed="rId15"/>
                    <a:stretch>
                      <a:fillRect/>
                    </a:stretch>
                  </pic:blipFill>
                  <pic:spPr>
                    <a:xfrm>
                      <a:off x="0" y="0"/>
                      <a:ext cx="5486400" cy="3429000"/>
                    </a:xfrm>
                    <a:prstGeom prst="rect">
                      <a:avLst/>
                    </a:prstGeom>
                  </pic:spPr>
                </pic:pic>
              </a:graphicData>
            </a:graphic>
          </wp:inline>
        </w:drawing>
      </w:r>
    </w:p>
    <w:p>
      <w:pPr>
        <w:pStyle w:val="FigureCaption"/>
      </w:pPr>
      <w:r>
        <w:rPr>
          <w:i/>
          <w:sz w:val="20"/>
        </w:rPr>
        <w:t>Figure 6. Daily Electrical Load Profiles showing peak demand reduction through DRL optimization</w:t>
      </w:r>
    </w:p>
    <w:p>
      <w:pPr/>
      <w:r>
        <w:t xml:space="preserve">Peak demand reduction has significant financial implications for building operators, as demand charges often constitute 30-50% of commercial electricity bills. The DRL agent achieves a 31.2% reduction in peak 15-minute demand (from 1,840 kW to 1,266 kW), primarily through:</w:t>
      </w:r>
    </w:p>
    <w:p>
      <w:pPr>
        <w:numPr>
          <w:ilvl w:val="0"/>
          <w:numId w:val="1"/>
        </w:numPr>
        <w:ind w:left="720" w:hanging="360"/>
      </w:pPr>
      <w:r>
        <w:t xml:space="preserve">Pre-cooling during off-peak morning hours to build thermal energy storage in the building mass</w:t>
      </w:r>
    </w:p>
    <w:p>
      <w:pPr>
        <w:numPr>
          <w:ilvl w:val="0"/>
          <w:numId w:val="1"/>
        </w:numPr>
        <w:ind w:left="720" w:hanging="360"/>
      </w:pPr>
      <w:r>
        <w:t xml:space="preserve">Gradual load ramping during morning start-up rather than simultaneous full-load activation</w:t>
      </w:r>
    </w:p>
    <w:p>
      <w:pPr>
        <w:numPr>
          <w:ilvl w:val="0"/>
          <w:numId w:val="1"/>
        </w:numPr>
        <w:ind w:left="720" w:hanging="360"/>
      </w:pPr>
      <w:r>
        <w:t xml:space="preserve">Strategic load shedding during predicted peak demand periods, exploiting the thermal mass buffer accumulated during pre-cooling</w:t>
      </w:r>
    </w:p>
    <w:p>
      <w:pPr>
        <w:pStyle w:val="Heading3"/>
      </w:pPr>
      <w:r>
        <w:rPr>
          <w:b/>
        </w:rPr>
        <w:t xml:space="preserve">6.6 Comparative Analysis with Alternative Methods</w:t>
      </w:r>
    </w:p>
    <w:p>
      <w:pPr/>
      <w:r>
        <w:t xml:space="preserve">To validate the superiority of the proposed approach, we compare against several alternative control strategies:</w:t>
      </w:r>
    </w:p>
    <w:p>
      <w:pPr/>
      <w:r>
        <w:rPr>
          <w:b/>
        </w:rPr>
        <w:t xml:space="preserve">Table 5: Comparative Performance Analysis</w:t>
      </w:r>
    </w:p>
    <w:tbl>
      <w:tblPr>
        <w:tblW w:w="90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jc w:val="center"/>
      </w:tblPr>
      <w:tblGrid>
        <w:gridCol w:w="2250"/>
        <w:gridCol w:w="2250"/>
        <w:gridCol w:w="2250"/>
        <w:gridCol w:w="2250"/>
      </w:tblGrid>
      <w:tr>
        <w:tc>
          <w:tcPr>
            <w:shd w:val="clear" w:fill="E8E8E8"/>
          </w:tcPr>
          <w:p>
            <w:pPr>
              <w:pStyle w:val="TableHeader"/>
            </w:pPr>
            <w:r>
              <w:rPr>
                <w:b/>
                <w:sz w:val="20"/>
              </w:rPr>
              <w:t>Method</w:t>
            </w:r>
          </w:p>
        </w:tc>
        <w:tc>
          <w:tcPr>
            <w:shd w:val="clear" w:fill="E8E8E8"/>
          </w:tcPr>
          <w:p>
            <w:pPr>
              <w:pStyle w:val="TableHeader"/>
            </w:pPr>
            <w:r>
              <w:rPr>
                <w:b/>
                <w:sz w:val="20"/>
              </w:rPr>
              <w:t>Energy Savings (%)</w:t>
            </w:r>
          </w:p>
        </w:tc>
        <w:tc>
          <w:tcPr>
            <w:shd w:val="clear" w:fill="E8E8E8"/>
          </w:tcPr>
          <w:p>
            <w:pPr>
              <w:pStyle w:val="TableHeader"/>
            </w:pPr>
            <w:r>
              <w:rPr>
                <w:b/>
                <w:sz w:val="20"/>
              </w:rPr>
              <w:t>Comfort Violations (%)</w:t>
            </w:r>
          </w:p>
        </w:tc>
        <w:tc>
          <w:tcPr>
            <w:shd w:val="clear" w:fill="E8E8E8"/>
          </w:tcPr>
          <w:p>
            <w:pPr>
              <w:pStyle w:val="TableHeader"/>
            </w:pPr>
            <w:r>
              <w:rPr>
                <w:b/>
                <w:sz w:val="20"/>
              </w:rPr>
              <w:t>Training Time (hours)</w:t>
            </w:r>
          </w:p>
        </w:tc>
      </w:tr>
      <w:tr>
        <w:tc>
          <w:p>
            <w:pPr>
              <w:pStyle w:val="TableCell"/>
            </w:pPr>
            <w:r>
              <w:rPr>
                <w:sz w:val="20"/>
              </w:rPr>
              <w:t>Baseline (Rule-based)</w:t>
            </w:r>
          </w:p>
        </w:tc>
        <w:tc>
          <w:p>
            <w:pPr>
              <w:pStyle w:val="TableCell"/>
            </w:pPr>
            <w:r>
              <w:rPr>
                <w:sz w:val="20"/>
              </w:rPr>
              <w:t>0.0</w:t>
            </w:r>
          </w:p>
        </w:tc>
        <w:tc>
          <w:p>
            <w:pPr>
              <w:pStyle w:val="TableCell"/>
            </w:pPr>
            <w:r>
              <w:rPr>
                <w:sz w:val="20"/>
              </w:rPr>
              <w:t>5.8</w:t>
            </w:r>
          </w:p>
        </w:tc>
        <w:tc>
          <w:p>
            <w:pPr>
              <w:pStyle w:val="TableCell"/>
            </w:pPr>
            <w:r>
              <w:rPr>
                <w:sz w:val="20"/>
              </w:rPr>
              <w:t>N/A</w:t>
            </w:r>
          </w:p>
        </w:tc>
      </w:tr>
      <w:tr>
        <w:tc>
          <w:p>
            <w:pPr>
              <w:pStyle w:val="TableCell"/>
            </w:pPr>
            <w:r>
              <w:rPr>
                <w:sz w:val="20"/>
              </w:rPr>
              <w:t>Optimized PID</w:t>
            </w:r>
          </w:p>
        </w:tc>
        <w:tc>
          <w:p>
            <w:pPr>
              <w:pStyle w:val="TableCell"/>
            </w:pPr>
            <w:r>
              <w:rPr>
                <w:sz w:val="20"/>
              </w:rPr>
              <w:t>8.4</w:t>
            </w:r>
          </w:p>
        </w:tc>
        <w:tc>
          <w:p>
            <w:pPr>
              <w:pStyle w:val="TableCell"/>
            </w:pPr>
            <w:r>
              <w:rPr>
                <w:sz w:val="20"/>
              </w:rPr>
              <w:t>5.2</w:t>
            </w:r>
          </w:p>
        </w:tc>
        <w:tc>
          <w:p>
            <w:pPr>
              <w:pStyle w:val="TableCell"/>
            </w:pPr>
            <w:r>
              <w:rPr>
                <w:sz w:val="20"/>
              </w:rPr>
              <w:t>N/A</w:t>
            </w:r>
          </w:p>
        </w:tc>
      </w:tr>
      <w:tr>
        <w:tc>
          <w:p>
            <w:pPr>
              <w:pStyle w:val="TableCell"/>
            </w:pPr>
            <w:r>
              <w:rPr>
                <w:sz w:val="20"/>
              </w:rPr>
              <w:t>Model Predictive Control</w:t>
            </w:r>
          </w:p>
        </w:tc>
        <w:tc>
          <w:p>
            <w:pPr>
              <w:pStyle w:val="TableCell"/>
            </w:pPr>
            <w:r>
              <w:rPr>
                <w:sz w:val="20"/>
              </w:rPr>
              <w:t>17.2</w:t>
            </w:r>
          </w:p>
        </w:tc>
        <w:tc>
          <w:p>
            <w:pPr>
              <w:pStyle w:val="TableCell"/>
            </w:pPr>
            <w:r>
              <w:rPr>
                <w:sz w:val="20"/>
              </w:rPr>
              <w:t>3.8</w:t>
            </w:r>
          </w:p>
        </w:tc>
        <w:tc>
          <w:p>
            <w:pPr>
              <w:pStyle w:val="TableCell"/>
            </w:pPr>
            <w:r>
              <w:rPr>
                <w:sz w:val="20"/>
              </w:rPr>
              <w:t>N/A</w:t>
            </w:r>
          </w:p>
        </w:tc>
      </w:tr>
      <w:tr>
        <w:tc>
          <w:p>
            <w:pPr>
              <w:pStyle w:val="TableCell"/>
            </w:pPr>
            <w:r>
              <w:rPr>
                <w:sz w:val="20"/>
              </w:rPr>
              <w:t>DQN (discrete actions)</w:t>
            </w:r>
          </w:p>
        </w:tc>
        <w:tc>
          <w:p>
            <w:pPr>
              <w:pStyle w:val="TableCell"/>
            </w:pPr>
            <w:r>
              <w:rPr>
                <w:sz w:val="20"/>
              </w:rPr>
              <w:t>14.8</w:t>
            </w:r>
          </w:p>
        </w:tc>
        <w:tc>
          <w:p>
            <w:pPr>
              <w:pStyle w:val="TableCell"/>
            </w:pPr>
            <w:r>
              <w:rPr>
                <w:sz w:val="20"/>
              </w:rPr>
              <w:t>4.5</w:t>
            </w:r>
          </w:p>
        </w:tc>
        <w:tc>
          <w:p>
            <w:pPr>
              <w:pStyle w:val="TableCell"/>
            </w:pPr>
            <w:r>
              <w:rPr>
                <w:sz w:val="20"/>
              </w:rPr>
              <w:t>48</w:t>
            </w:r>
          </w:p>
        </w:tc>
      </w:tr>
      <w:tr>
        <w:tc>
          <w:p>
            <w:pPr>
              <w:pStyle w:val="TableCell"/>
            </w:pPr>
            <w:r>
              <w:rPr>
                <w:sz w:val="20"/>
              </w:rPr>
              <w:t>DDPG</w:t>
            </w:r>
          </w:p>
        </w:tc>
        <w:tc>
          <w:p>
            <w:pPr>
              <w:pStyle w:val="TableCell"/>
            </w:pPr>
            <w:r>
              <w:rPr>
                <w:sz w:val="20"/>
              </w:rPr>
              <w:t>19.3</w:t>
            </w:r>
          </w:p>
        </w:tc>
        <w:tc>
          <w:p>
            <w:pPr>
              <w:pStyle w:val="TableCell"/>
            </w:pPr>
            <w:r>
              <w:rPr>
                <w:sz w:val="20"/>
              </w:rPr>
              <w:t>4.1</w:t>
            </w:r>
          </w:p>
        </w:tc>
        <w:tc>
          <w:p>
            <w:pPr>
              <w:pStyle w:val="TableCell"/>
            </w:pPr>
            <w:r>
              <w:rPr>
                <w:sz w:val="20"/>
              </w:rPr>
              <w:t>56</w:t>
            </w:r>
          </w:p>
        </w:tc>
      </w:tr>
      <w:tr>
        <w:tc>
          <w:p>
            <w:pPr>
              <w:pStyle w:val="TableCell"/>
            </w:pPr>
            <w:r>
              <w:rPr>
                <w:sz w:val="20"/>
              </w:rPr>
              <w:t>SAC</w:t>
            </w:r>
          </w:p>
        </w:tc>
        <w:tc>
          <w:p>
            <w:pPr>
              <w:pStyle w:val="TableCell"/>
            </w:pPr>
            <w:r>
              <w:rPr>
                <w:sz w:val="20"/>
              </w:rPr>
              <w:t>21.1</w:t>
            </w:r>
          </w:p>
        </w:tc>
        <w:tc>
          <w:p>
            <w:pPr>
              <w:pStyle w:val="TableCell"/>
            </w:pPr>
            <w:r>
              <w:rPr>
                <w:sz w:val="20"/>
              </w:rPr>
              <w:t>3.6</w:t>
            </w:r>
          </w:p>
        </w:tc>
        <w:tc>
          <w:p>
            <w:pPr>
              <w:pStyle w:val="TableCell"/>
            </w:pPr>
            <w:r>
              <w:rPr>
                <w:sz w:val="20"/>
              </w:rPr>
              <w:t>64</w:t>
            </w:r>
          </w:p>
        </w:tc>
      </w:tr>
      <w:tr>
        <w:tc>
          <w:p>
            <w:pPr>
              <w:pStyle w:val="TableCell"/>
            </w:pPr>
            <w:r>
              <w:rPr>
                <w:sz w:val="20"/>
              </w:rPr>
              <w:t>**Proposed TD3 + DT**</w:t>
            </w:r>
          </w:p>
        </w:tc>
        <w:tc>
          <w:p>
            <w:pPr>
              <w:pStyle w:val="TableCell"/>
            </w:pPr>
            <w:r>
              <w:rPr>
                <w:sz w:val="20"/>
              </w:rPr>
              <w:t>**23.7**</w:t>
            </w:r>
          </w:p>
        </w:tc>
        <w:tc>
          <w:p>
            <w:pPr>
              <w:pStyle w:val="TableCell"/>
            </w:pPr>
            <w:r>
              <w:rPr>
                <w:sz w:val="20"/>
              </w:rPr>
              <w:t>**3.2**</w:t>
            </w:r>
          </w:p>
        </w:tc>
        <w:tc>
          <w:p>
            <w:pPr>
              <w:pStyle w:val="TableCell"/>
            </w:pPr>
            <w:r>
              <w:rPr>
                <w:sz w:val="20"/>
              </w:rPr>
              <w:t>**72**</w:t>
            </w:r>
          </w:p>
        </w:tc>
      </w:tr>
    </w:tbl>
    <w:p>
      <w:pPr>
        <w:spacing w:before="120"/>
      </w:pPr>
    </w:p>
    <w:p>
      <w:pPr/>
      <w:r>
        <w:t xml:space="preserve">The proposed framework outperforms all alternative approaches across both energy savings and comfort metrics. The advantage over standard TD3 without the digital twin (not shown separately but achieving approximately 20.5% savings) demonstrates the value of the digital twin for enabling comprehensive exploration and domain randomization during training.</w:t>
      </w:r>
    </w:p>
    <w:p>
      <w:pPr>
        <w:pStyle w:val="Heading3"/>
      </w:pPr>
      <w:r>
        <w:rPr>
          <w:b/>
        </w:rPr>
        <w:t xml:space="preserve">6.7 Ablation Study</w:t>
      </w:r>
    </w:p>
    <w:p>
      <w:pPr/>
      <w:r>
        <w:t xml:space="preserve">To understand the contribution of each framework component, we conduct an ablation study by systematically removing individual innovations:</w:t>
      </w:r>
    </w:p>
    <w:p>
      <w:pPr/>
      <w:r>
        <w:rPr>
          <w:b/>
        </w:rPr>
        <w:t xml:space="preserve">Table 6: Ablation Study Results</w:t>
      </w:r>
    </w:p>
    <w:tbl>
      <w:tblPr>
        <w:tblW w:w="90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jc w:val="center"/>
      </w:tblPr>
      <w:tblGrid>
        <w:gridCol w:w="3000"/>
        <w:gridCol w:w="3000"/>
        <w:gridCol w:w="3000"/>
      </w:tblGrid>
      <w:tr>
        <w:tc>
          <w:tcPr>
            <w:shd w:val="clear" w:fill="E8E8E8"/>
          </w:tcPr>
          <w:p>
            <w:pPr>
              <w:pStyle w:val="TableHeader"/>
            </w:pPr>
            <w:r>
              <w:rPr>
                <w:b/>
                <w:sz w:val="20"/>
              </w:rPr>
              <w:t>Configuration</w:t>
            </w:r>
          </w:p>
        </w:tc>
        <w:tc>
          <w:tcPr>
            <w:shd w:val="clear" w:fill="E8E8E8"/>
          </w:tcPr>
          <w:p>
            <w:pPr>
              <w:pStyle w:val="TableHeader"/>
            </w:pPr>
            <w:r>
              <w:rPr>
                <w:b/>
                <w:sz w:val="20"/>
              </w:rPr>
              <w:t>Energy Savings (%)</w:t>
            </w:r>
          </w:p>
        </w:tc>
        <w:tc>
          <w:tcPr>
            <w:shd w:val="clear" w:fill="E8E8E8"/>
          </w:tcPr>
          <w:p>
            <w:pPr>
              <w:pStyle w:val="TableHeader"/>
            </w:pPr>
            <w:r>
              <w:rPr>
                <w:b/>
                <w:sz w:val="20"/>
              </w:rPr>
              <w:t>Comfort Compliance (%)</w:t>
            </w:r>
          </w:p>
        </w:tc>
      </w:tr>
      <w:tr>
        <w:tc>
          <w:p>
            <w:pPr>
              <w:pStyle w:val="TableCell"/>
            </w:pPr>
            <w:r>
              <w:rPr>
                <w:sz w:val="20"/>
              </w:rPr>
              <w:t>Full framework</w:t>
            </w:r>
          </w:p>
        </w:tc>
        <w:tc>
          <w:p>
            <w:pPr>
              <w:pStyle w:val="TableCell"/>
            </w:pPr>
            <w:r>
              <w:rPr>
                <w:sz w:val="20"/>
              </w:rPr>
              <w:t>23.7</w:t>
            </w:r>
          </w:p>
        </w:tc>
        <w:tc>
          <w:p>
            <w:pPr>
              <w:pStyle w:val="TableCell"/>
            </w:pPr>
            <w:r>
              <w:rPr>
                <w:sz w:val="20"/>
              </w:rPr>
              <w:t>96.8</w:t>
            </w:r>
          </w:p>
        </w:tc>
      </w:tr>
      <w:tr>
        <w:tc>
          <w:p>
            <w:pPr>
              <w:pStyle w:val="TableCell"/>
            </w:pPr>
            <w:r>
              <w:rPr>
                <w:sz w:val="20"/>
              </w:rPr>
              <w:t>Without adaptive reward weighting</w:t>
            </w:r>
          </w:p>
        </w:tc>
        <w:tc>
          <w:p>
            <w:pPr>
              <w:pStyle w:val="TableCell"/>
            </w:pPr>
            <w:r>
              <w:rPr>
                <w:sz w:val="20"/>
              </w:rPr>
              <w:t>20.4</w:t>
            </w:r>
          </w:p>
        </w:tc>
        <w:tc>
          <w:p>
            <w:pPr>
              <w:pStyle w:val="TableCell"/>
            </w:pPr>
            <w:r>
              <w:rPr>
                <w:sz w:val="20"/>
              </w:rPr>
              <w:t>93.2</w:t>
            </w:r>
          </w:p>
        </w:tc>
      </w:tr>
      <w:tr>
        <w:tc>
          <w:p>
            <w:pPr>
              <w:pStyle w:val="TableCell"/>
            </w:pPr>
            <w:r>
              <w:rPr>
                <w:sz w:val="20"/>
              </w:rPr>
              <w:t>Without prioritized experience replay</w:t>
            </w:r>
          </w:p>
        </w:tc>
        <w:tc>
          <w:p>
            <w:pPr>
              <w:pStyle w:val="TableCell"/>
            </w:pPr>
            <w:r>
              <w:rPr>
                <w:sz w:val="20"/>
              </w:rPr>
              <w:t>21.8</w:t>
            </w:r>
          </w:p>
        </w:tc>
        <w:tc>
          <w:p>
            <w:pPr>
              <w:pStyle w:val="TableCell"/>
            </w:pPr>
            <w:r>
              <w:rPr>
                <w:sz w:val="20"/>
              </w:rPr>
              <w:t>95.4</w:t>
            </w:r>
          </w:p>
        </w:tc>
      </w:tr>
      <w:tr>
        <w:tc>
          <w:p>
            <w:pPr>
              <w:pStyle w:val="TableCell"/>
            </w:pPr>
            <w:r>
              <w:rPr>
                <w:sz w:val="20"/>
              </w:rPr>
              <w:t>Without behavioral cloning pre-training</w:t>
            </w:r>
          </w:p>
        </w:tc>
        <w:tc>
          <w:p>
            <w:pPr>
              <w:pStyle w:val="TableCell"/>
            </w:pPr>
            <w:r>
              <w:rPr>
                <w:sz w:val="20"/>
              </w:rPr>
              <w:t>22.1</w:t>
            </w:r>
          </w:p>
        </w:tc>
        <w:tc>
          <w:p>
            <w:pPr>
              <w:pStyle w:val="TableCell"/>
            </w:pPr>
            <w:r>
              <w:rPr>
                <w:sz w:val="20"/>
              </w:rPr>
              <w:t>94.8</w:t>
            </w:r>
          </w:p>
        </w:tc>
      </w:tr>
      <w:tr>
        <w:tc>
          <w:p>
            <w:pPr>
              <w:pStyle w:val="TableCell"/>
            </w:pPr>
            <w:r>
              <w:rPr>
                <w:sz w:val="20"/>
              </w:rPr>
              <w:t>Without domain randomization</w:t>
            </w:r>
          </w:p>
        </w:tc>
        <w:tc>
          <w:p>
            <w:pPr>
              <w:pStyle w:val="TableCell"/>
            </w:pPr>
            <w:r>
              <w:rPr>
                <w:sz w:val="20"/>
              </w:rPr>
              <w:t>22.9</w:t>
            </w:r>
          </w:p>
        </w:tc>
        <w:tc>
          <w:p>
            <w:pPr>
              <w:pStyle w:val="TableCell"/>
            </w:pPr>
            <w:r>
              <w:rPr>
                <w:sz w:val="20"/>
              </w:rPr>
              <w:t>95.1</w:t>
            </w:r>
          </w:p>
        </w:tc>
      </w:tr>
      <w:tr>
        <w:tc>
          <w:p>
            <w:pPr>
              <w:pStyle w:val="TableCell"/>
            </w:pPr>
            <w:r>
              <w:rPr>
                <w:sz w:val="20"/>
              </w:rPr>
              <w:t>Without digital twin (direct building training*)</w:t>
            </w:r>
          </w:p>
        </w:tc>
        <w:tc>
          <w:p>
            <w:pPr>
              <w:pStyle w:val="TableCell"/>
            </w:pPr>
            <w:r>
              <w:rPr>
                <w:sz w:val="20"/>
              </w:rPr>
              <w:t>18.6</w:t>
            </w:r>
          </w:p>
        </w:tc>
        <w:tc>
          <w:p>
            <w:pPr>
              <w:pStyle w:val="TableCell"/>
            </w:pPr>
            <w:r>
              <w:rPr>
                <w:sz w:val="20"/>
              </w:rPr>
              <w:t>91.7</w:t>
            </w:r>
          </w:p>
        </w:tc>
      </w:tr>
    </w:tbl>
    <w:p>
      <w:pPr>
        <w:spacing w:before="120"/>
      </w:pPr>
    </w:p>
    <w:p>
      <w:pPr/>
      <w:r>
        <w:t xml:space="preserve">Simulated using limited exploration budget equivalent to 3 months of real-time operation.</w:t>
      </w:r>
    </w:p>
    <w:p>
      <w:pPr/>
      <w:r>
        <w:t xml:space="preserve">The ablation study reveals that adaptive reward weighting provides the largest performance improvement (+3.3% energy savings, +3.6% comfort compliance), followed by the digital twin environment which enables comprehensive exploration. Prioritized experience replay and behavioral cloning pre-training provide complementary benefits, while domain randomization primarily improves robustness to model-reality gaps.</w:t>
      </w:r>
    </w:p>
    <w:p>
      <w:pPr>
        <w:pStyle w:val="Heading2"/>
      </w:pPr>
      <w:r>
        <w:rPr>
          <w:b/>
        </w:rPr>
        <w:t xml:space="preserve">7. Discussion</w:t>
      </w:r>
    </w:p>
    <w:p>
      <w:pPr>
        <w:pStyle w:val="Heading3"/>
      </w:pPr>
      <w:r>
        <w:rPr>
          <w:b/>
        </w:rPr>
        <w:t xml:space="preserve">7.1 Practical Deployment Considerations</w:t>
      </w:r>
    </w:p>
    <w:p>
      <w:pPr/>
      <w:r>
        <w:t xml:space="preserve">The transition from simulation to real-world deployment introduces several challenges that must be addressed for successful adoption:</w:t>
      </w:r>
    </w:p>
    <w:p>
      <w:pPr/>
      <w:r>
        <w:t xml:space="preserve">Model-Reality Gap: Despite careful calibration, the digital twin inevitably exhibits discrepancies with the physical building. Our domain randomization approach during training (Phase 4) substantially mitigates this issue, but continuous monitoring and periodic model recalibration remain essential. In our deployment, the digital twin model is recalibrated monthly using the latest 3 months of operational data, with automated detection of calibration drift triggering emergency recalibration.</w:t>
      </w:r>
    </w:p>
    <w:p>
      <w:pPr/>
      <w:r>
        <w:t xml:space="preserve">Occupant Acceptance: Building occupants are sensitive to environmental changes, and unexpected thermal conditions—even within acceptable comfort bounds—can generate complaints. Our gradual authority transfer protocol (Section 3.3) proved essential for building occupant trust. During the initial deployment month, approximately 15% more comfort-related service requests were received compared to the baseline period, decreasing to 8% fewer requests by month 3 as the DRL agent's superior comfort consistency was recognized.</w:t>
      </w:r>
    </w:p>
    <w:p>
      <w:pPr/>
      <w:r>
        <w:t xml:space="preserve">IT Infrastructure Requirements: The framework requires reliable networking between the BMS, edge computing infrastructure, and cloud services. Network interruptions during our 6-month evaluation occurred on 7 occasions (total downtime: 4.2 hours), during which the fallback controller maintained building operations without incident. The edge inference server proved critical for ensuring uninterrupted control decisions.</w:t>
      </w:r>
    </w:p>
    <w:p>
      <w:pPr/>
      <w:r>
        <w:t xml:space="preserve">Scalability: The framework's computational requirements scale linearly with the number of controlled zones for the inference phase (approximately 50ms per control decision for 48 zones on a standard CPU). However, training computational requirements scale quadratically with the state space dimension, suggesting that very large buildings may benefit from hierarchical decomposition into independently controlled clusters.</w:t>
      </w:r>
    </w:p>
    <w:p>
      <w:pPr>
        <w:pStyle w:val="Heading3"/>
      </w:pPr>
      <w:r>
        <w:rPr>
          <w:b/>
        </w:rPr>
        <w:t xml:space="preserve">7.2 Economic Analysis</w:t>
      </w:r>
    </w:p>
    <w:p>
      <w:pPr/>
      <w:r>
        <w:t xml:space="preserve">The economic viability of the proposed system is assessed through a comprehensive cost-benefit analysis:</w:t>
      </w:r>
    </w:p>
    <w:p>
      <w:pPr/>
      <w:r>
        <w:rPr>
          <w:b/>
        </w:rPr>
        <w:t xml:space="preserve">Implementation Costs:</w:t>
      </w:r>
    </w:p>
    <w:p>
      <w:pPr>
        <w:numPr>
          <w:ilvl w:val="0"/>
          <w:numId w:val="1"/>
        </w:numPr>
        <w:ind w:left="720" w:hanging="360"/>
      </w:pPr>
      <w:r>
        <w:t xml:space="preserve">Digital twin model development and calibration: $45,000 (one-time)</w:t>
      </w:r>
    </w:p>
    <w:p>
      <w:pPr>
        <w:numPr>
          <w:ilvl w:val="0"/>
          <w:numId w:val="1"/>
        </w:numPr>
        <w:ind w:left="720" w:hanging="360"/>
      </w:pPr>
      <w:r>
        <w:t xml:space="preserve">DRL framework development and training infrastructure: $35,000 (one-time)</w:t>
      </w:r>
    </w:p>
    <w:p>
      <w:pPr>
        <w:numPr>
          <w:ilvl w:val="0"/>
          <w:numId w:val="1"/>
        </w:numPr>
        <w:ind w:left="720" w:hanging="360"/>
      </w:pPr>
      <w:r>
        <w:t xml:space="preserve">Edge computing hardware: $8,000 (replaced every 5 years)</w:t>
      </w:r>
    </w:p>
    <w:p>
      <w:pPr>
        <w:numPr>
          <w:ilvl w:val="0"/>
          <w:numId w:val="1"/>
        </w:numPr>
        <w:ind w:left="720" w:hanging="360"/>
      </w:pPr>
      <w:r>
        <w:t xml:space="preserve">Additional sensors and BMS integration: $22,000 (one-time)</w:t>
      </w:r>
    </w:p>
    <w:p>
      <w:pPr>
        <w:numPr>
          <w:ilvl w:val="0"/>
          <w:numId w:val="1"/>
        </w:numPr>
        <w:ind w:left="720" w:hanging="360"/>
      </w:pPr>
      <w:r>
        <w:t xml:space="preserve">Annual maintenance and model updates: $15,000/year</w:t>
      </w:r>
    </w:p>
    <w:p>
      <w:pPr/>
      <w:r>
        <w:rPr>
          <w:b/>
        </w:rPr>
        <w:t xml:space="preserve">Annual Benefits:</w:t>
      </w:r>
    </w:p>
    <w:p>
      <w:pPr>
        <w:numPr>
          <w:ilvl w:val="0"/>
          <w:numId w:val="1"/>
        </w:numPr>
        <w:ind w:left="720" w:hanging="360"/>
      </w:pPr>
      <w:r>
        <w:t xml:space="preserve">Energy cost savings (23.7% of $480,000 annual bill): $113,760/year</w:t>
      </w:r>
    </w:p>
    <w:p>
      <w:pPr>
        <w:numPr>
          <w:ilvl w:val="0"/>
          <w:numId w:val="1"/>
        </w:numPr>
        <w:ind w:left="720" w:hanging="360"/>
      </w:pPr>
      <w:r>
        <w:t xml:space="preserve">Peak demand charge reduction (31.2% of $96,000 annual demand charges): $29,952/year</w:t>
      </w:r>
    </w:p>
    <w:p>
      <w:pPr>
        <w:numPr>
          <w:ilvl w:val="0"/>
          <w:numId w:val="1"/>
        </w:numPr>
        <w:ind w:left="720" w:hanging="360"/>
      </w:pPr>
      <w:r>
        <w:t xml:space="preserve">Reduced maintenance costs (estimated 12% reduction from optimized equipment operation): $18,400/year</w:t>
      </w:r>
    </w:p>
    <w:p>
      <w:pPr>
        <w:numPr>
          <w:ilvl w:val="0"/>
          <w:numId w:val="1"/>
        </w:numPr>
        <w:ind w:left="720" w:hanging="360"/>
      </w:pPr>
      <w:r>
        <w:t xml:space="preserve">Total annual benefit: $162,112/year</w:t>
      </w:r>
    </w:p>
    <w:p>
      <w:pPr/>
      <w:r>
        <w:rPr>
          <w:b/>
        </w:rPr>
        <w:t xml:space="preserve">Return on Investment:</w:t>
      </w:r>
    </w:p>
    <w:p>
      <w:pPr>
        <w:numPr>
          <w:ilvl w:val="0"/>
          <w:numId w:val="1"/>
        </w:numPr>
        <w:ind w:left="720" w:hanging="360"/>
      </w:pPr>
      <w:r>
        <w:t xml:space="preserve">Total initial investment: $110,000</w:t>
      </w:r>
    </w:p>
    <w:p>
      <w:pPr>
        <w:numPr>
          <w:ilvl w:val="0"/>
          <w:numId w:val="1"/>
        </w:numPr>
        <w:ind w:left="720" w:hanging="360"/>
      </w:pPr>
      <w:r>
        <w:t xml:space="preserve">Simple payback period: 8.1 months</w:t>
      </w:r>
    </w:p>
    <w:p>
      <w:pPr>
        <w:numPr>
          <w:ilvl w:val="0"/>
          <w:numId w:val="1"/>
        </w:numPr>
        <w:ind w:left="720" w:hanging="360"/>
      </w:pPr>
      <w:r>
        <w:t xml:space="preserve">Net present value (10-year, 8% discount): $978,450</w:t>
      </w:r>
    </w:p>
    <w:p>
      <w:pPr>
        <w:numPr>
          <w:ilvl w:val="0"/>
          <w:numId w:val="1"/>
        </w:numPr>
        <w:ind w:left="720" w:hanging="360"/>
      </w:pPr>
      <w:r>
        <w:t xml:space="preserve">Internal rate of return: 147%</w:t>
      </w:r>
    </w:p>
    <w:p>
      <w:pPr/>
      <w:r>
        <w:t xml:space="preserve">These economics make the proposed framework highly attractive for commercial building operators, with payback periods substantially shorter than typical building energy efficiency investments.</w:t>
      </w:r>
    </w:p>
    <w:p>
      <w:pPr>
        <w:pStyle w:val="Heading3"/>
      </w:pPr>
      <w:r>
        <w:rPr>
          <w:b/>
        </w:rPr>
        <w:t xml:space="preserve">7.3 Limitations and Challenges</w:t>
      </w:r>
    </w:p>
    <w:p>
      <w:pPr/>
      <w:r>
        <w:t xml:space="preserve">Several limitations of the current work should be acknowledged:</w:t>
      </w:r>
    </w:p>
    <w:p>
      <w:pPr>
        <w:numPr>
          <w:ilvl w:val="0"/>
          <w:numId w:val="1"/>
        </w:numPr>
        <w:ind w:left="720" w:hanging="360"/>
      </w:pPr>
      <w:r>
        <w:t xml:space="preserve">Climate Specificity: The evaluation was conducted in a tropical climate (Singapore) with relatively stable weather patterns. Performance in climates with significant heating requirements or extreme seasonal variations requires further investigation.</w:t>
      </w:r>
    </w:p>
    <w:p>
      <w:pPr>
        <w:numPr>
          <w:ilvl w:val="0"/>
          <w:numId w:val="1"/>
        </w:numPr>
        <w:ind w:left="720" w:hanging="360"/>
      </w:pPr>
      <w:r>
        <w:t xml:space="preserve">Building Type Specificity: The reference building is a modern Class A office tower with well-maintained HVAC systems. Older buildings with degraded equipment or less sophisticated BMS infrastructure may present additional challenges.</w:t>
      </w:r>
    </w:p>
    <w:p>
      <w:pPr>
        <w:numPr>
          <w:ilvl w:val="0"/>
          <w:numId w:val="1"/>
        </w:numPr>
        <w:ind w:left="720" w:hanging="360"/>
      </w:pPr>
      <w:r>
        <w:t xml:space="preserve">Single-Building Training: The current DRL agent is trained for a specific building. Transfer learning approaches that could enable pre-training on a portfolio of buildings and fine-tuning for individual assets represent an important direction for reducing deployment costs.</w:t>
      </w:r>
    </w:p>
    <w:p>
      <w:pPr>
        <w:numPr>
          <w:ilvl w:val="0"/>
          <w:numId w:val="1"/>
        </w:numPr>
        <w:ind w:left="720" w:hanging="360"/>
      </w:pPr>
      <w:r>
        <w:t xml:space="preserve">Occupancy Model Accuracy: The framework's performance depends partly on occupancy prediction accuracy. During unexpected events (holidays not in the calendar, emergency evacuations), the DRL agent must rely on reactive rather than predictive optimization.</w:t>
      </w:r>
    </w:p>
    <w:p>
      <w:pPr>
        <w:numPr>
          <w:ilvl w:val="0"/>
          <w:numId w:val="1"/>
        </w:numPr>
        <w:ind w:left="720" w:hanging="360"/>
      </w:pPr>
      <w:r>
        <w:t xml:space="preserve">Long-term Performance: The 6-month evaluation, while substantial, does not capture potential performance degradation over multiple years as building systems age or usage patterns shift significantly.</w:t>
      </w:r>
    </w:p>
    <w:p>
      <w:pPr>
        <w:pStyle w:val="Heading3"/>
      </w:pPr>
      <w:r>
        <w:rPr>
          <w:b/>
        </w:rPr>
        <w:t xml:space="preserve">7.4 Comparison with State-of-the-Art</w:t>
      </w:r>
    </w:p>
    <w:p>
      <w:pPr/>
      <w:r>
        <w:t xml:space="preserve">Compared to recent literature, our results represent a meaningful advancement. Zhang et al. (2019) reported 15% energy savings using DDPG in a simulated 5-zone building, while Du et al. (2021) achieved 20% savings with multi-agent RL in a larger facility. Our 23.7% savings exceed these results, which we attribute to the combination of the digital twin training environment (enabling thorough exploration), adaptive reward weighting (balancing objectives dynamically), and the enhanced TD3 algorithm (providing stable and efficient learning).</w:t>
      </w:r>
    </w:p>
    <w:p>
      <w:pPr/>
      <w:r>
        <w:t xml:space="preserve">The closest comparable work is by Chen et al. (2022), who achieved 21.8% savings using SAC with a digital twin in a university campus building. Our additional 1.9% improvement likely stems from the multi-phase training procedure and domain randomization, which improve policy robustness in deployment.</w:t>
      </w:r>
    </w:p>
    <w:p>
      <w:pPr>
        <w:pStyle w:val="Heading2"/>
      </w:pPr>
      <w:r>
        <w:rPr>
          <w:b/>
        </w:rPr>
        <w:t xml:space="preserve">8. Conclusion and Future Directions</w:t>
      </w:r>
    </w:p>
    <w:p>
      <w:pPr>
        <w:pStyle w:val="Heading3"/>
      </w:pPr>
      <w:r>
        <w:rPr>
          <w:b/>
        </w:rPr>
        <w:t xml:space="preserve">8.1 Summary of Contributions</w:t>
      </w:r>
    </w:p>
    <w:p>
      <w:pPr/>
      <w:r>
        <w:t xml:space="preserve">This chapter presented a comprehensive implementation framework integrating deep reinforcement learning with digital twin technology for multi-objective optimization of building HVAC systems. The key findings and contributions are summarized as follows:</w:t>
      </w:r>
    </w:p>
    <w:p>
      <w:pPr>
        <w:numPr>
          <w:ilvl w:val="0"/>
          <w:numId w:val="1"/>
        </w:numPr>
        <w:ind w:left="720" w:hanging="360"/>
      </w:pPr>
      <w:r>
        <w:t xml:space="preserve">Significant Energy Savings: The proposed framework achieves 23.7% average energy savings compared to conventional rule-based HVAC control, corresponding to annual cost savings exceeding $160,000 for the reference building. These savings are achieved consistently across all months of the evaluation period.</w:t>
      </w:r>
    </w:p>
    <w:p>
      <w:pPr>
        <w:numPr>
          <w:ilvl w:val="0"/>
          <w:numId w:val="1"/>
        </w:numPr>
        <w:ind w:left="720" w:hanging="360"/>
      </w:pPr>
      <w:r>
        <w:t xml:space="preserve">Improved Occupant Comfort: Contrary to the common trade-off between energy efficiency and comfort, the DRL agent simultaneously improves thermal comfort compliance from 94.2% to 96.8% of occupied hours. This is achieved through predictive control that anticipates disturbances rather than reacting to them.</w:t>
      </w:r>
    </w:p>
    <w:p>
      <w:pPr>
        <w:numPr>
          <w:ilvl w:val="0"/>
          <w:numId w:val="1"/>
        </w:numPr>
        <w:ind w:left="720" w:hanging="360"/>
      </w:pPr>
      <w:r>
        <w:t xml:space="preserve">Enhanced Indoor Air Quality: The intelligent ventilation control strategy reduces CO2 exceedance events by 75% while actually reducing ventilation energy consumption, demonstrating that optimized control timing can achieve superior air quality with less energy.</w:t>
      </w:r>
    </w:p>
    <w:p>
      <w:pPr>
        <w:numPr>
          <w:ilvl w:val="0"/>
          <w:numId w:val="1"/>
        </w:numPr>
        <w:ind w:left="720" w:hanging="360"/>
      </w:pPr>
      <w:r>
        <w:t xml:space="preserve">Substantial Peak Demand Reduction: A 31.2% reduction in peak demand translates directly to reduced demand charges and contributes to grid stability during peak periods.</w:t>
      </w:r>
    </w:p>
    <w:p>
      <w:pPr>
        <w:numPr>
          <w:ilvl w:val="0"/>
          <w:numId w:val="1"/>
        </w:numPr>
        <w:ind w:left="720" w:hanging="360"/>
      </w:pPr>
      <w:r>
        <w:t xml:space="preserve">Practical Implementation Methodology: The complete implementation details provided—including system architecture, data pipeline design, training procedures, safety mechanisms, and deployment strategies—enable practitioners to adopt this framework in their own buildings.</w:t>
      </w:r>
    </w:p>
    <w:p>
      <w:pPr>
        <w:numPr>
          <w:ilvl w:val="0"/>
          <w:numId w:val="1"/>
        </w:numPr>
        <w:ind w:left="720" w:hanging="360"/>
      </w:pPr>
      <w:r>
        <w:t xml:space="preserve">Rapid Economic Payback: The 8.1-month simple payback period makes this investment highly attractive compared to traditional building energy efficiency measures that typically require 3-7 year payback periods.</w:t>
      </w:r>
    </w:p>
    <w:p>
      <w:pPr>
        <w:pStyle w:val="Heading3"/>
      </w:pPr>
      <w:r>
        <w:rPr>
          <w:b/>
        </w:rPr>
        <w:t xml:space="preserve">8.2 Future Research Directions</w:t>
      </w:r>
    </w:p>
    <w:p>
      <w:pPr/>
      <w:r>
        <w:t xml:space="preserve">Several promising directions for extending this work are identified:</w:t>
      </w:r>
    </w:p>
    <w:p>
      <w:pPr/>
      <w:r>
        <w:t xml:space="preserve">Transfer Learning Across Buildings: Developing pre-trained foundation models for building HVAC control that can be rapidly fine-tuned for specific buildings would dramatically reduce deployment costs and time. Initial experiments with domain adaptation techniques suggest that 80% of the learned policy transfers between buildings of similar type, requiring only 100,000 fine-tuning steps for the remaining building-specific adaptation.</w:t>
      </w:r>
    </w:p>
    <w:p>
      <w:pPr/>
      <w:r>
        <w:t xml:space="preserve">Multi-Agent Coordination: Extending the framework to coordinate multiple buildings within a district or campus, enabling inter-building energy sharing and coordinated demand response. This hierarchical multi-agent formulation could optimize both individual building performance and portfolio-level grid interaction.</w:t>
      </w:r>
    </w:p>
    <w:p>
      <w:pPr/>
      <w:r>
        <w:t xml:space="preserve">Integration with Renewable Energy and Storage: Incorporating on-site photovoltaic generation forecasts and battery storage dispatch decisions into the optimization framework would enable maximum self-consumption of renewable energy while minimizing grid interaction costs.</w:t>
      </w:r>
    </w:p>
    <w:p>
      <w:pPr/>
      <w:r>
        <w:t xml:space="preserve">Occupant-Centric Personalization: Incorporating individual occupant comfort preferences through personal comfort models and wearable sensor data could enable zone-level or even desk-level thermal environment personalization, further improving satisfaction while maintaining system-level efficiency.</w:t>
      </w:r>
    </w:p>
    <w:p>
      <w:pPr/>
      <w:r>
        <w:t xml:space="preserve">Explainable AI for Building Operators: Developing interpretable policy representations or post-hoc explanation methods that allow building operators to understand and trust the DRL agent's decisions. Preliminary work using SHAP values for action explanation shows promise in improving operator confidence and facilitating fault diagnosis.</w:t>
      </w:r>
    </w:p>
    <w:p>
      <w:pPr/>
      <w:r>
        <w:t xml:space="preserve">Resilient Control Under Extreme Events: Enhancing the framework's robustness to extreme weather events, equipment failures, and pandemic-related occupancy disruptions. The digital twin provides a natural platform for stress-testing control policies under simulated extreme scenarios.</w:t>
      </w:r>
    </w:p>
    <w:p>
      <w:pPr>
        <w:pStyle w:val="Heading2"/>
      </w:pPr>
      <w:r>
        <w:rPr>
          <w:b/>
        </w:rPr>
        <w:t xml:space="preserve">Acknowledgments</w:t>
      </w:r>
    </w:p>
    <w:p>
      <w:pPr/>
      <w:r>
        <w:t xml:space="preserve">The authors acknowledge the building management team for providing access to the reference building's BMS data and supporting the deployment of experimental control equipment. This research was supported by the National Research Foundation Singapore under the Green Buildings Innovation Cluster programme (Grant No. NRF-GBIC-2021-0043).</w:t>
      </w:r>
    </w:p>
    <w:p>
      <w:pPr>
        <w:pStyle w:val="Heading2"/>
      </w:pPr>
      <w:r>
        <w:rPr>
          <w:b/>
        </w:rPr>
        <w:t xml:space="preserve">References</w:t>
      </w:r>
    </w:p>
    <w:p>
      <w:pPr>
        <w:numPr>
          <w:ilvl w:val="0"/>
          <w:numId w:val="1"/>
        </w:numPr>
        <w:ind w:left="720" w:hanging="360"/>
      </w:pPr>
      <w:r>
        <w:t xml:space="preserve">Ascione, F., Bianco, N., De Stasio, C., Mauro, G. M., &amp; Vanoli, G. P. (2016). Multi-stage and multi-objective optimization for energy retrofitting a developed hospital reference building: A new approach to assess cost-optimality. Applied Energy, 174, 37-68.</w:t>
      </w:r>
    </w:p>
    <w:p>
      <w:pPr>
        <w:numPr>
          <w:ilvl w:val="0"/>
          <w:numId w:val="1"/>
        </w:numPr>
        <w:ind w:left="720" w:hanging="360"/>
      </w:pPr>
      <w:r>
        <w:t xml:space="preserve">Barrett, E., &amp; Linder, S. (2015). Autonomous HVAC control, a reinforcement learning approach. In Machine Learning and Data Mining in Pattern Recognition (pp. 3-19). Springer.</w:t>
      </w:r>
    </w:p>
    <w:p>
      <w:pPr>
        <w:numPr>
          <w:ilvl w:val="0"/>
          <w:numId w:val="1"/>
        </w:numPr>
        <w:ind w:left="720" w:hanging="360"/>
      </w:pPr>
      <w:r>
        <w:t xml:space="preserve">Biemann, M., Scheller, F., Liu, X., &amp; Huang, L. (2021). Experimental evaluation of model-free reinforcement learning algorithms for continuous HVAC control. Applied Energy, 298, 117164.</w:t>
      </w:r>
    </w:p>
    <w:p>
      <w:pPr>
        <w:numPr>
          <w:ilvl w:val="0"/>
          <w:numId w:val="1"/>
        </w:numPr>
        <w:ind w:left="720" w:hanging="360"/>
      </w:pPr>
      <w:r>
        <w:t xml:space="preserve">Chen, Y., Tong, Z., Zheng, Y., Samuelson, H., &amp; Norford, L. (2020). Transfer learning with deep neural networks for model predictive control of HVAC and natural ventilation in smart buildings. Journal of Cleaner Production, 254, 119866.</w:t>
      </w:r>
    </w:p>
    <w:p>
      <w:pPr>
        <w:numPr>
          <w:ilvl w:val="0"/>
          <w:numId w:val="1"/>
        </w:numPr>
        <w:ind w:left="720" w:hanging="360"/>
      </w:pPr>
      <w:r>
        <w:t xml:space="preserve">Chen, Z., Zhang, Z., Chen, J., &amp; Hu, J. (2022). Deep reinforcement learning-based HVAC control with digital twin: A case study of university campus building. Energy and Buildings, 268, 112184.</w:t>
      </w:r>
    </w:p>
    <w:p>
      <w:pPr>
        <w:numPr>
          <w:ilvl w:val="0"/>
          <w:numId w:val="1"/>
        </w:numPr>
        <w:ind w:left="720" w:hanging="360"/>
      </w:pPr>
      <w:r>
        <w:t xml:space="preserve">Dalamagkidis, K., Kolokotsa, D., Kalaitzakis, K., &amp; Stavrakakis, G. S. (2007). Reinforcement learning for energy conservation and comfort in buildings. Building and Environment, 42(8), 2686-2698.</w:t>
      </w:r>
    </w:p>
    <w:p>
      <w:pPr>
        <w:numPr>
          <w:ilvl w:val="0"/>
          <w:numId w:val="1"/>
        </w:numPr>
        <w:ind w:left="720" w:hanging="360"/>
      </w:pPr>
      <w:r>
        <w:t xml:space="preserve">Du, Y., Zandi, H., Kotevska, O., Kurte, K., Munk, J., Amasyali, K., ... &amp; Li, F. (2021). Intelligent multi-zone residential HVAC control strategy based on deep reinforcement learning. Applied Energy, 281, 116117.</w:t>
      </w:r>
    </w:p>
    <w:p>
      <w:pPr>
        <w:numPr>
          <w:ilvl w:val="0"/>
          <w:numId w:val="1"/>
        </w:numPr>
        <w:ind w:left="720" w:hanging="360"/>
      </w:pPr>
      <w:r>
        <w:t xml:space="preserve">Francisco, A., Mohammadi, N., &amp; Taylor, J. E. (2020). Smart city digital twin-enabled energy management: Toward real-time urban building energy benchmarking. Journal of Management in Engineering, 36(2), 04019045.</w:t>
      </w:r>
    </w:p>
    <w:p>
      <w:pPr>
        <w:numPr>
          <w:ilvl w:val="0"/>
          <w:numId w:val="1"/>
        </w:numPr>
        <w:ind w:left="720" w:hanging="360"/>
      </w:pPr>
      <w:r>
        <w:t xml:space="preserve">Fujimoto, S., Hoof, H., &amp; Meger, D. (2018). Addressing function approximation error in actor-critic methods. In International Conference on Machine Learning (pp. 1587-1596). PMLR.</w:t>
      </w:r>
    </w:p>
    <w:p>
      <w:pPr>
        <w:numPr>
          <w:ilvl w:val="0"/>
          <w:numId w:val="1"/>
        </w:numPr>
        <w:ind w:left="720" w:hanging="360"/>
      </w:pPr>
      <w:r>
        <w:t xml:space="preserve">Grieves, M., &amp; Vickers, J. (2017). Digital twin: Mitigating unpredictable, undesirable emergent behavior in complex systems. In Transdisciplinary Perspectives on Complex Systems (pp. 85-113). Springer.</w:t>
      </w:r>
    </w:p>
    <w:p>
      <w:pPr>
        <w:numPr>
          <w:ilvl w:val="0"/>
          <w:numId w:val="1"/>
        </w:numPr>
        <w:ind w:left="720" w:hanging="360"/>
      </w:pPr>
      <w:r>
        <w:t xml:space="preserve">International Energy Agency. (2022). Buildings: Tracking Report. IEA, Paris.</w:t>
      </w:r>
    </w:p>
    <w:p>
      <w:pPr>
        <w:numPr>
          <w:ilvl w:val="0"/>
          <w:numId w:val="1"/>
        </w:numPr>
        <w:ind w:left="720" w:hanging="360"/>
      </w:pPr>
      <w:r>
        <w:t xml:space="preserve">Khajavi, S. H., Motlagh, N. H., Jaribion, A., Werner, L. C., &amp; Holmstrom, J. (2019). Digital twin: Vision, benefits, boundaries, and creation for buildings. IEEE Access, 7, 147406-147419.</w:t>
      </w:r>
    </w:p>
    <w:p>
      <w:pPr>
        <w:numPr>
          <w:ilvl w:val="0"/>
          <w:numId w:val="1"/>
        </w:numPr>
        <w:ind w:left="720" w:hanging="360"/>
      </w:pPr>
      <w:r>
        <w:t xml:space="preserve">Killian, M., &amp; Kozek, M. (2016). Ten questions on model predictive control for energy efficient buildings. Building and Environment, 105, 403-412.</w:t>
      </w:r>
    </w:p>
    <w:p>
      <w:pPr>
        <w:numPr>
          <w:ilvl w:val="0"/>
          <w:numId w:val="1"/>
        </w:numPr>
        <w:ind w:left="720" w:hanging="360"/>
      </w:pPr>
      <w:r>
        <w:t xml:space="preserve">Lei, Y., Rao, Y., Wu, J., &amp; Lin, C. H. (2022). BIM based cyber-physical systems for intelligent disaster prevention. Journal of Industrial Information Integration, 25, 100257.</w:t>
      </w:r>
    </w:p>
    <w:p>
      <w:pPr>
        <w:numPr>
          <w:ilvl w:val="0"/>
          <w:numId w:val="1"/>
        </w:numPr>
        <w:ind w:left="720" w:hanging="360"/>
      </w:pPr>
      <w:r>
        <w:t xml:space="preserve">Perez-Lombard, L., Ortiz, J., &amp; Pout, C. (2008). A review on buildings energy consumption information. Energy and Buildings, 40(3), 394-398.</w:t>
      </w:r>
    </w:p>
    <w:p>
      <w:pPr>
        <w:numPr>
          <w:ilvl w:val="0"/>
          <w:numId w:val="1"/>
        </w:numPr>
        <w:ind w:left="720" w:hanging="360"/>
      </w:pPr>
      <w:r>
        <w:t xml:space="preserve">Vazquez-Canteli, J. R., Dey, S., Henze, G., &amp; Nagy, Z. (2020). CityLearn: Standardizing research in multi-agent reinforcement learning for demand response and urban energy management. arXiv preprint arXiv:2012.10504.</w:t>
      </w:r>
    </w:p>
    <w:p>
      <w:pPr>
        <w:numPr>
          <w:ilvl w:val="0"/>
          <w:numId w:val="1"/>
        </w:numPr>
        <w:ind w:left="720" w:hanging="360"/>
      </w:pPr>
      <w:r>
        <w:t xml:space="preserve">Wang, S., &amp; Ma, Z. (2008). Supervisory and optimal control of building HVAC systems: A review. HVAC&amp;R Research, 14(1), 3-32.</w:t>
      </w:r>
    </w:p>
    <w:p>
      <w:pPr>
        <w:numPr>
          <w:ilvl w:val="0"/>
          <w:numId w:val="1"/>
        </w:numPr>
        <w:ind w:left="720" w:hanging="360"/>
      </w:pPr>
      <w:r>
        <w:t xml:space="preserve">Wei, T., Wang, Y., &amp; Zhu, Q. (2017). Deep reinforcement learning for building HVAC control. In Proceedings of the 54th Annual Design Automation Conference (pp. 1-6). ACM.</w:t>
      </w:r>
    </w:p>
    <w:p>
      <w:pPr>
        <w:numPr>
          <w:ilvl w:val="0"/>
          <w:numId w:val="1"/>
        </w:numPr>
        <w:ind w:left="720" w:hanging="360"/>
      </w:pPr>
      <w:r>
        <w:t xml:space="preserve">Yu, L., Qin, S., Zhang, M., Shen, C., Jiang, T., &amp; Guan, X. (2021). A review of deep reinforcement learning for smart building energy management. IEEE Internet of Things Journal, 8(15), 12046-12063.</w:t>
      </w:r>
    </w:p>
    <w:p>
      <w:pPr>
        <w:numPr>
          <w:ilvl w:val="0"/>
          <w:numId w:val="1"/>
        </w:numPr>
        <w:ind w:left="720" w:hanging="360"/>
      </w:pPr>
      <w:r>
        <w:t xml:space="preserve">Zhang, Z., Chong, A., Pan, Y., Zhang, C., &amp; Lam, K. P. (2019). Whole building energy model for HVAC optimal control: A practical framework based on deep reinforcement learning. Energy and Buildings, 199, 472-490.</w:t>
      </w:r>
    </w:p>
    <w:p>
      <w:pPr>
        <w:numPr>
          <w:ilvl w:val="0"/>
          <w:numId w:val="1"/>
        </w:numPr>
        <w:ind w:left="720" w:hanging="360"/>
      </w:pPr>
      <w:r>
        <w:t xml:space="preserve">ASHRAE. (2020). ASHRAE Standard 55-2020: Thermal Environmental Conditions for Human Occupancy. American Society of Heating, Refrigerating and Air-Conditioning Engineers.</w:t>
      </w:r>
    </w:p>
    <w:p>
      <w:pPr>
        <w:numPr>
          <w:ilvl w:val="0"/>
          <w:numId w:val="1"/>
        </w:numPr>
        <w:ind w:left="720" w:hanging="360"/>
      </w:pPr>
      <w:r>
        <w:t xml:space="preserve">ASHRAE. (2014). ASHRAE Guideline 14-2014: Measurement of Energy, Demand, and Water Savings. American Society of Heating, Refrigerating and Air-Conditioning Engineers.</w:t>
      </w:r>
    </w:p>
    <w:p>
      <w:pPr>
        <w:numPr>
          <w:ilvl w:val="0"/>
          <w:numId w:val="1"/>
        </w:numPr>
        <w:ind w:left="720" w:hanging="360"/>
      </w:pPr>
      <w:r>
        <w:t xml:space="preserve">Mocanu, E., Mocanu, D. C., Nguyen, P. H., Liotta, A., Webber, M. E., Gibescu, M., &amp; Slootweg, J. G. (2019). On-line building energy optimization using deep reinforcement learning. IEEE Transactions on Smart Grid, 10(4), 3698-3708.</w:t>
      </w:r>
    </w:p>
    <w:p>
      <w:pPr>
        <w:numPr>
          <w:ilvl w:val="0"/>
          <w:numId w:val="1"/>
        </w:numPr>
        <w:ind w:left="720" w:hanging="360"/>
      </w:pPr>
      <w:r>
        <w:t xml:space="preserve">Park, J. Y., &amp; Nagy, Z. (2020). Comprehensive analysis of the relationship between thermal comfort and building control research - A data-driven literature review. Renewable and Sustainable Energy Reviews, 82, 2664-2679.</w:t>
      </w:r>
    </w:p>
    <w:p>
      <w:pPr>
        <w:numPr>
          <w:ilvl w:val="0"/>
          <w:numId w:val="1"/>
        </w:numPr>
        <w:ind w:left="720" w:hanging="360"/>
      </w:pPr>
      <w:r>
        <w:t xml:space="preserve">Gao, G., Li, J., &amp; Wen, Y. (2020). Energy-efficient thermal comfort control in smart buildings via deep reinforcement learning. arXiv preprint arXiv:2005.12238.</w:t>
      </w:r>
    </w:p>
  </w:body>
</w:document>
</file>

<file path=word/numbering.xml><?xml version="1.0" encoding="utf-8"?>
<w:numbering xmlns:w="http://schemas.openxmlformats.org/wordprocessingml/2006/main">
  <w:abstractNum w:abstractNumId="0">
    <w:lvl w:ilvl="0">
      <w:start w:val="1"/>
      <w:numFmt w:val="decimal"/>
      <w:lvlText w:val="%1."/>
      <w:lvlJc w:val="left"/>
      <w:pPr>
        <w:ind w:left="720" w:hanging="360"/>
      </w:pPr>
    </w:lvl>
  </w:abstractNum>
  <w:num w:numId="1">
    <w:abstractNumId w:val="0"/>
  </w:num>
</w:numbering>
</file>

<file path=word/settings.xml><?xml version="1.0" encoding="utf-8"?>
<w:settings xmlns:w="http://schemas.openxmlformats.org/wordprocessingml/2006/main">
  <w:defaultTabStop w:val="720"/>
  <w:compat>
    <w:compatSetting w:name="compatibilityMode" w:uri="http://schemas.microsoft.com/office/word" w:val="15"/>
  </w:compat>
</w:settings>
</file>

<file path=word/styles.xml><?xml version="1.0" encoding="utf-8"?>
<w:styles xmlns:w="http://schemas.openxmlformats.org/wordprocessingml/2006/main">
  <w:docDefaults>
    <w:rPrDefault>
      <w:rPr>
        <w:rFonts w:ascii="Times New Roman" w:hAnsi="Times New Roman" w:cs="Times New Roman"/>
        <w:sz w:val="22"/>
        <w:szCs w:val="22"/>
      </w:rPr>
    </w:rPrDefault>
    <w:pPrDefault>
      <w:pPr>
        <w:spacing w:after="120" w:line="360" w:lineRule="auto"/>
        <w:jc w:val="both"/>
      </w:pPr>
    </w:pPrDefault>
  </w:docDefaults>
  <w:style w:type="paragraph" w:styleId="Normal" w:default="1">
    <w:name w:val="Normal"/>
    <w:rPr>
      <w:rFonts w:ascii="Times New Roman" w:hAnsi="Times New Roman"/>
      <w:sz w:val="22"/>
    </w:rPr>
  </w:style>
  <w:style w:type="paragraph" w:styleId="Heading1">
    <w:name w:val="heading 1"/>
    <w:basedOn w:val="Normal"/>
    <w:next w:val="Normal"/>
    <w:pPr>
      <w:keepNext/>
      <w:spacing w:before="360" w:after="120"/>
      <w:jc w:val="center"/>
      <w:outlineLvl w:val="0"/>
    </w:pPr>
    <w:rPr>
      <w:rFonts w:ascii="Times New Roman" w:hAnsi="Times New Roman"/>
      <w:b/>
      <w:sz w:val="28"/>
      <w:szCs w:val="28"/>
    </w:rPr>
  </w:style>
  <w:style w:type="paragraph" w:styleId="Heading2">
    <w:name w:val="heading 2"/>
    <w:basedOn w:val="Normal"/>
    <w:next w:val="Normal"/>
    <w:pPr>
      <w:keepNext/>
      <w:spacing w:before="240" w:after="120"/>
      <w:outlineLvl w:val="1"/>
    </w:pPr>
    <w:rPr>
      <w:rFonts w:ascii="Times New Roman" w:hAnsi="Times New Roman"/>
      <w:b/>
      <w:sz w:val="24"/>
      <w:szCs w:val="24"/>
    </w:rPr>
  </w:style>
  <w:style w:type="paragraph" w:styleId="Heading3">
    <w:name w:val="heading 3"/>
    <w:basedOn w:val="Normal"/>
    <w:next w:val="Normal"/>
    <w:pPr>
      <w:keepNext/>
      <w:spacing w:before="200" w:after="80"/>
      <w:outlineLvl w:val="2"/>
    </w:pPr>
    <w:rPr>
      <w:rFonts w:ascii="Times New Roman" w:hAnsi="Times New Roman"/>
      <w:b/>
      <w:i/>
      <w:sz w:val="22"/>
      <w:szCs w:val="22"/>
    </w:rPr>
  </w:style>
  <w:style w:type="paragraph" w:styleId="Abstract">
    <w:name w:val="Abstract"/>
    <w:basedOn w:val="Normal"/>
    <w:pPr>
      <w:spacing w:before="120" w:after="120"/>
      <w:ind w:left="720" w:right="720"/>
    </w:pPr>
    <w:rPr>
      <w:i/>
      <w:sz w:val="20"/>
    </w:rPr>
  </w:style>
  <w:style w:type="paragraph" w:styleId="FigureCaption">
    <w:name w:val="Figure Caption"/>
    <w:basedOn w:val="Normal"/>
    <w:pPr>
      <w:spacing w:before="60" w:after="200"/>
      <w:jc w:val="center"/>
    </w:pPr>
    <w:rPr>
      <w:i/>
      <w:sz w:val="20"/>
    </w:rPr>
  </w:style>
  <w:style w:type="paragraph" w:styleId="TableHeader">
    <w:name w:val="Table Header"/>
    <w:basedOn w:val="Normal"/>
    <w:pPr>
      <w:jc w:val="center"/>
      <w:spacing w:before="60" w:after="60"/>
    </w:pPr>
    <w:rPr>
      <w:b/>
      <w:sz w:val="20"/>
    </w:rPr>
  </w:style>
  <w:style w:type="paragraph" w:styleId="TableCell">
    <w:name w:val="Table Cell"/>
    <w:basedOn w:val="Normal"/>
    <w:pPr>
      <w:jc w:val="center"/>
      <w:spacing w:before="40" w:after="40" w:line="240" w:lineRule="auto"/>
    </w:pPr>
    <w:rPr>
      <w:sz w:val="20"/>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numbering" Target="numbering.xml"/>
  <Relationship Id="rId10" Type="http://schemas.openxmlformats.org/officeDocument/2006/relationships/image" Target="media/Figure_1_System_Architecture.svg"/>
  <Relationship Id="rId11" Type="http://schemas.openxmlformats.org/officeDocument/2006/relationships/image" Target="media/Figure_2_TD3_Architecture.svg"/>
  <Relationship Id="rId12" Type="http://schemas.openxmlformats.org/officeDocument/2006/relationships/image" Target="media/Figure_3_Calibration_Results.svg"/>
  <Relationship Id="rId13" Type="http://schemas.openxmlformats.org/officeDocument/2006/relationships/image" Target="media/Figure_4_Training_Convergence.svg"/>
  <Relationship Id="rId14" Type="http://schemas.openxmlformats.org/officeDocument/2006/relationships/image" Target="media/Figure_5_Energy_Comparison.svg"/>
  <Relationship Id="rId15" Type="http://schemas.openxmlformats.org/officeDocument/2006/relationships/image" Target="media/Figure_6_Load_Profiles.svg"/>
</Relationships>
</file>