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i/>
          <w:sz w:val="20"/>
        </w:rPr>
        <w:t xml:space="preserve">POLYMER-CARBON QUANTUM DOT NANOCOMPOSITES: Computational Intelligence Techniques for Environmental and Biomedical Applications</w:t>
      </w:r>
    </w:p>
    <w:p>
      <w:pPr>
        <w:pStyle w:val="Title"/>
      </w:pPr>
      <w:r>
        <w:rPr>
          <w:b/>
          <w:sz w:val="28"/>
        </w:rPr>
        <w:t xml:space="preserve">Chapter 2</w:t>
      </w:r>
    </w:p>
    <w:p>
      <w:pPr>
        <w:pStyle w:val="Title"/>
      </w:pPr>
      <w:r>
        <w:rPr>
          <w:b/>
          <w:sz w:val="28"/>
        </w:rPr>
        <w:t xml:space="preserve">Green Chemistry Principles in Sustainable Nanomaterial Design and Synthesis</w:t>
      </w:r>
    </w:p>
    <w:p>
      <w:pPr>
        <w:pStyle w:val="Normal"/>
      </w:pPr>
    </w:p>
    <w:p>
      <w:pPr>
        <w:jc w:val="center"/>
      </w:pPr>
      <w:r>
        <w:rPr>
          <w:b/>
          <w:sz w:val="24"/>
        </w:rPr>
        <w:t xml:space="preserve">Amman Jakhar and Sachin Kalsi</w:t>
      </w:r>
    </w:p>
    <w:p>
      <w:pPr>
        <w:pStyle w:val="Normal"/>
      </w:pPr>
    </w:p>
    <w:p>
      <w:pPr>
        <w:pStyle w:val="Normal"/>
      </w:pPr>
    </w:p>
    <w:p>
      <w:r>
        <w:rPr>
          <w:b/>
          <w:sz w:val="26"/>
        </w:rPr>
        <w:t xml:space="preserve">Abstract</w:t>
      </w:r>
    </w:p>
    <w:p>
      <w:r>
        <w:rPr>
          <w:sz w:val="24"/>
        </w:rPr>
        <w:t xml:space="preserve">Cancer remains one of the most complex and heterogeneous diseases, presenting formidable challenges in diagnosis, prognosis, and treatment optimization. The emergence of artificial intelligence and advanced data analytics has fundamentally transformed the landscape of cancer precision medicine, enabling clinicians and researchers to harness the power of multimodal biomedical data for improved patient outcomes. This chapter provides a comprehensive examination of AI-driven data analytics techniques applied to cancer precision medicine, encompassing the foundational principles of machine learning and deep learning in oncology, multimodal data acquisition and integration strategies, and advanced data mining methodologies for cancer research. The discussion systematically addresses classification, clustering, association rule mining, and feature selection techniques that form the computational backbone of cancer analytics, with detailed analysis of their strengths, limitations, and clinical applications. Critical aspects of data preprocessing are explored in depth, including biomedical data cleaning and transformation, class balancing through sampling and augmentation strategies, and intelligent frameworks incorporating explainable AI, federated learning, and automated machine learning for reliable and reproducible cancer prediction models. Furthermore, the chapter explores emerging directions including multimodal data fusion architectures employing cross-modal transformers and graph neural networks, real-time clinical decision support systems for continuous patient monitoring, reinforcement learning for treatment optimization, and foundation models for precision oncology. Through systematic analysis of current methodologies and future perspectives, including challenges related to data privacy, algorithmic fairness, regulatory compliance, and clinical validation, this chapter establishes the essential computational intelligence framework for advancing cancer precision medicine toward more personalized, effective, and equitable healthcare delivery.</w:t>
      </w:r>
    </w:p>
    <w:p>
      <w:pPr>
        <w:pStyle w:val="Normal"/>
      </w:pPr>
    </w:p>
    <w:p>
      <w:r>
        <w:rPr>
          <w:i/>
          <w:sz w:val="22"/>
        </w:rPr>
        <w:t xml:space="preserve">Keywords: Artificial intelligence, cancer precision medicine, data analytics, machine learning, deep learning, multimodal data fusion, explainable AI, federated learning, clinical decision support, biomarker discovery</w:t>
      </w:r>
    </w:p>
    <w:p>
      <w:pPr>
        <w:pStyle w:val="Normal"/>
      </w:pPr>
    </w:p>
    <w:p>
      <w:pPr>
        <w:pStyle w:val="Heading1"/>
      </w:pPr>
      <w:r>
        <w:rPr>
          <w:b/>
        </w:rPr>
        <w:t xml:space="preserve">1. Foundations of AI-Driven Data Analytics in Cancer Precision Medicine</w:t>
      </w:r>
    </w:p>
    <w:p>
      <w:r>
        <w:rPr>
          <w:sz w:val="24"/>
        </w:rPr>
        <w:t xml:space="preserve">The convergence of artificial intelligence with precision medicine has created unprecedented opportunities for advancing cancer research and clinical care. This foundational section establishes the conceptual and technical framework for understanding how AI-driven data analytics transforms the cancer precision medicine landscape, examining the evolution of AI technologies in oncology, the diverse biomedical data sources that fuel analytical pipelines, and the critical challenges of data integration and quality management that must be addressed to ensure reliable clinical applications.</w:t>
      </w:r>
    </w:p>
    <w:p>
      <w:pPr>
        <w:pStyle w:val="Heading2"/>
      </w:pPr>
      <w:r>
        <w:rPr>
          <w:b/>
        </w:rPr>
        <w:t xml:space="preserve">1.1 Role of Artificial Intelligence in Cancer Precision Medicine</w:t>
      </w:r>
    </w:p>
    <w:p>
      <w:r>
        <w:rPr>
          <w:sz w:val="24"/>
        </w:rPr>
        <w:t xml:space="preserve">The integration of artificial intelligence into cancer research and clinical decision-making represents a paradigm shift in how oncological diseases are understood, diagnosed, and treated [1]. Over the past two decades, AI has evolved from rudimentary rule-based expert systems to sophisticated deep learning architectures capable of processing complex, high-dimensional biomedical data with unprecedented accuracy [2]. The evolution of AI in cancer research can be traced through several distinct phases, beginning with early statistical pattern recognition methods in the 1990s, progressing through the machine learning revolution of the 2000s, and culminating in the deep learning era that began around 2012 with breakthrough achievements in medical image analysis [3]. Each successive generation of AI technology has expanded the scope of problems addressable through computational methods, from simple binary classification tasks to complex multimodal reasoning that integrates diverse information sources into coherent clinical recommendations. The pace of innovation continues to accelerate, driven by exponential growth in available data, computational resources, and algorithmic sophistication.</w:t>
      </w:r>
    </w:p>
    <w:p>
      <w:r>
        <w:rPr>
          <w:sz w:val="24"/>
        </w:rPr>
        <w:t xml:space="preserve">Machine learning algorithms, including support vector machines, random forests, and gradient boosting methods, have demonstrated remarkable efficacy in cancer diagnosis and prognosis prediction [4]. These supervised learning approaches leverage labeled clinical datasets to identify complex patterns associated with malignant transformation, tumor progression, and treatment response [5]. The strength of these traditional machine learning methods lies in their relatively modest data requirements, computational efficiency, and interpretability, making them particularly suitable for structured clinical datasets with well-defined features. Ensemble methods that combine multiple weak learners into strong predictive systems have shown consistently superior performance across diverse cancer classification tasks, achieving diagnostic accuracy comparable to experienced clinicians in many standardized evaluation benchmarks.</w:t>
      </w:r>
    </w:p>
    <w:p>
      <w:r>
        <w:rPr>
          <w:sz w:val="24"/>
        </w:rPr>
        <w:t xml:space="preserve">Deep learning architectures, particularly convolutional neural networks and recurrent neural networks, have achieved pathologist-level performance in histopathological image classification and have enabled automated detection of cancerous lesions in radiological imaging [6]. The hierarchical feature learning capability of deep neural networks eliminates the need for manual feature engineering, allowing models to discover optimal representations directly from raw data. This end-to-end learning paradigm has proven particularly transformative in medical imaging applications, where subtle visual patterns indicative of malignancy may be imperceptible to human observers but are reliably detected by appropriately trained neural networks.</w:t>
      </w:r>
    </w:p>
    <w:p>
      <w:r>
        <w:rPr>
          <w:sz w:val="24"/>
        </w:rPr>
        <w:t xml:space="preserve">The application of AI in precision oncology extends beyond diagnosis to encompass treatment selection, drug response prediction, and survival outcome estimation [7]. Reinforcement learning algorithms have been explored for optimizing treatment sequencing and dosing strategies, while natural language processing techniques enable extraction of valuable clinical insights from unstructured electronic health records [8]. Multi-task learning frameworks that simultaneously predict multiple clinical endpoints leverage shared representations across related prediction problems, improving performance on individual tasks through beneficial knowledge transfer. Transfer learning strategies that adapt models pre-trained on large general datasets to specific cancer domains have proven essential for applications where labeled training data is limited.</w:t>
      </w:r>
    </w:p>
    <w:p>
      <w:r>
        <w:rPr>
          <w:sz w:val="24"/>
        </w:rPr>
        <w:t xml:space="preserve">However, significant challenges remain in translating AI research findings into clinical practice, including issues of model generalizability, interpretability, and regulatory approval [9]. The development of clinically validated AI systems requires rigorous evaluation frameworks, prospective clinical trials, and collaborative efforts between computational scientists, clinicians, and regulatory bodies [10]. Algorithmic bias, data representativeness, and the need for continuous model monitoring in deployed clinical settings present ongoing challenges that the field must systematically address to ensure safe, effective, and equitable AI-assisted cancer care. The establishment of robust model governance frameworks, including version control, performance monitoring, and drift detection mechanisms, is essential for maintaining the reliability of deployed AI systems over time as patient populations and clinical practices evolve.</w:t>
      </w:r>
    </w:p>
    <w:p>
      <w:r>
        <w:rPr>
          <w:sz w:val="24"/>
        </w:rPr>
        <w:t xml:space="preserve">As illustrated in Figure 1, the AI-driven cancer precision medicine framework integrates multiple data modalities through sophisticated computational pipelines to generate actionable clinical insights. This comprehensive framework encompasses data acquisition, preprocessing, model development, and clinical decision support, forming a cohesive system for precision oncology applications [11]. The framework demonstrates how heterogeneous data streams are harmonized, processed through specialized analytical modules, and ultimately translated into personalized treatment recommendations that account for individual patient characteristics and tumor biology.</w:t>
      </w:r>
    </w:p>
    <w:p>
      <w:pPr>
        <w:jc w:val="center"/>
      </w:pPr>
      <w:r>
        <w:drawing>
          <wp:inline xmlns:wp="http://schemas.openxmlformats.org/drawingml/2006/wordprocessingDrawing" distT="0" distB="0" distL="0" distR="0">
            <wp:extent cx="5400000" cy="3600000"/>
            <wp:docPr id="1" name="Picture 1"/>
            <a:graphic xmlns:a="http://schemas.openxmlformats.org/drawingml/2006/main">
              <a:graphicData uri="http://schemas.openxmlformats.org/drawingml/2006/picture">
                <pic:pic xmlns:pic="http://schemas.openxmlformats.org/drawingml/2006/picture">
                  <pic:nvPicPr>
                    <pic:cNvPr id="1" name="image1.png"/>
                    <pic:cNvPicPr/>
                  </pic:nvPicPr>
                  <pic:blipFill>
                    <a:blip xmlns:r="http://schemas.openxmlformats.org/officeDocument/2006/relationships" r:embed="rId10"/>
                    <a:stretch>
                      <a:fillRect/>
                    </a:stretch>
                  </pic:blipFill>
                  <pic:spPr>
                    <a:xfrm>
                      <a:off x="0" y="0"/>
                      <a:ext cx="5400000" cy="3600000"/>
                    </a:xfrm>
                    <a:prstGeom prst="rect">
                      <a:avLst/>
                    </a:prstGeom>
                  </pic:spPr>
                </pic:pic>
              </a:graphicData>
            </a:graphic>
          </wp:inline>
        </w:drawing>
      </w:r>
    </w:p>
    <w:p>
      <w:pPr>
        <w:pStyle w:val="Caption"/>
        <w:jc w:val="center"/>
      </w:pPr>
      <w:r>
        <w:rPr>
          <w:i/>
          <w:sz w:val="20"/>
        </w:rPr>
        <w:t xml:space="preserve">Figure 1. AI-Driven Cancer Precision Medicine Framework: Multimodal data sources (genomics, imaging, EHR, proteomics, wearables) are integrated through sophisticated AI/ML pipelines to generate actionable clinical insights for diagnosis, prognosis, treatment selection, and monitoring.</w:t>
      </w:r>
    </w:p>
    <w:p>
      <w:pPr>
        <w:pStyle w:val="Heading2"/>
      </w:pPr>
      <w:r>
        <w:rPr>
          <w:b/>
        </w:rPr>
        <w:t xml:space="preserve">1.2 Biomedical Data Sources and Multimodal Data Acquisition</w:t>
      </w:r>
    </w:p>
    <w:p>
      <w:r>
        <w:rPr>
          <w:sz w:val="24"/>
        </w:rPr>
        <w:t xml:space="preserve">The foundation of AI-driven cancer analytics rests upon diverse and comprehensive biomedical data sources that collectively capture the multifaceted nature of oncological diseases [12]. Electronic health records constitute a primary data source, containing structured clinical variables such as demographics, laboratory values, medication histories, and treatment outcomes, alongside unstructured clinical narratives documenting physician assessments and patient interactions [13]. The digitization of healthcare systems has generated vast repositories of clinical data that, when properly curated and analyzed, offer unprecedented opportunities for pattern discovery and predictive modeling in oncology [14]. Modern EHR systems integrate data from multiple clinical departments, creating longitudinal patient records that capture the complete trajectory of cancer diagnosis, treatment, and follow-up over extended time periods.</w:t>
      </w:r>
    </w:p>
    <w:p>
      <w:r>
        <w:rPr>
          <w:sz w:val="24"/>
        </w:rPr>
        <w:t xml:space="preserve">Medical imaging data represents another critical modality for AI-based cancer analytics. Computed tomography, magnetic resonance imaging, positron emission tomography, and mammographic imaging provide detailed anatomical and functional information essential for tumor detection, characterization, and treatment monitoring [15]. Digital histopathology has emerged as a particularly promising domain, where whole-slide imaging technology combined with deep learning algorithms enables automated tissue classification, biomarker quantification, and prognostic assessment [16]. The integration of radiomics features extracted from medical images with clinical and molecular data has demonstrated significant potential for improving diagnostic accuracy and treatment response prediction [17]. Advanced imaging modalities including dynamic contrast-enhanced MRI, diffusion-weighted imaging, and spectroscopic imaging provide functional and metabolic information that complements structural anatomical data, enabling more comprehensive tumor characterization.</w:t>
      </w:r>
    </w:p>
    <w:p>
      <w:r>
        <w:rPr>
          <w:sz w:val="24"/>
        </w:rPr>
        <w:t xml:space="preserve">Genomic data, including whole-genome sequencing, whole-exome sequencing, and targeted gene panel data, provides fundamental molecular characterization of tumors [18]. The identification of driver mutations, copy number alterations, and structural variants through genomic analysis enables molecular subtyping of cancers and guides targeted therapy selection. Transcriptomic profiling through RNA sequencing reveals gene expression patterns associated with tumor biology, while proteomic and metabolomic data offer complementary information about protein abundance and metabolic pathway alterations [19]. The emergence of single-cell sequencing technologies has further expanded the resolution of molecular characterization, enabling analysis of tumor heterogeneity at unprecedented granularity [20]. Epigenomic profiling, including DNA methylation arrays and chromatin accessibility assays, adds another layer of molecular information that captures regulatory mechanisms underlying cancer development and progression.</w:t>
      </w:r>
    </w:p>
    <w:p>
      <w:r>
        <w:rPr>
          <w:sz w:val="24"/>
        </w:rPr>
        <w:t xml:space="preserve">Wearable health devices and remote patient monitoring systems represent an increasingly important data source for longitudinal cancer care [21]. These technologies capture continuous physiological measurements including heart rate, physical activity, sleep patterns, and symptom reports that provide real-time insights into patient wellbeing and treatment tolerability. The integration of patient-generated health data with traditional clinical datasets offers opportunities for more comprehensive and personalized cancer management approaches. Smart devices equipped with accelerometers, photoplethysmography sensors, and electrodermal activity monitors generate continuous data streams that, when analyzed with appropriate machine learning algorithms, can detect subtle physiological changes indicative of disease progression or treatment-related complications.</w:t>
      </w:r>
    </w:p>
    <w:p>
      <w:r>
        <w:rPr>
          <w:sz w:val="24"/>
        </w:rPr>
        <w:t xml:space="preserve">Table 1 presents a comprehensive overview of biomedical data sources utilized in AI-driven cancer analytics, including their characteristics, typical data volumes, and primary applications in precision oncology.</w:t>
      </w:r>
    </w:p>
    <w:p>
      <w:pPr>
        <w:spacing w:before="240" w:after="120"/>
      </w:pPr>
      <w:r>
        <w:rPr>
          <w:b/>
          <w:sz w:val="22"/>
        </w:rPr>
        <w:t>Table 1. Biomedical Data Sources for AI-Driven Cancer Analytics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250" w:type="dxa"/>
            <w:shd w:val="clear" w:color="auto" w:fill="D9E2F3"/>
          </w:tcPr>
          <w:p>
            <w:pPr>
              <w:jc w:val="center"/>
            </w:pPr>
            <w:r>
              <w:rPr>
                <w:b/>
                <w:sz w:val="20"/>
              </w:rPr>
              <w:t>Data Source</w:t>
            </w:r>
          </w:p>
        </w:tc>
        <w:tc>
          <w:tcPr>
            <w:tcW w:w="2250" w:type="dxa"/>
            <w:shd w:val="clear" w:color="auto" w:fill="D9E2F3"/>
          </w:tcPr>
          <w:p>
            <w:pPr>
              <w:jc w:val="center"/>
            </w:pPr>
            <w:r>
              <w:rPr>
                <w:b/>
                <w:sz w:val="20"/>
              </w:rPr>
              <w:t>Data Type</w:t>
            </w:r>
          </w:p>
        </w:tc>
        <w:tc>
          <w:tcPr>
            <w:tcW w:w="2250" w:type="dxa"/>
            <w:shd w:val="clear" w:color="auto" w:fill="D9E2F3"/>
          </w:tcPr>
          <w:p>
            <w:pPr>
              <w:jc w:val="center"/>
            </w:pPr>
            <w:r>
              <w:rPr>
                <w:b/>
                <w:sz w:val="20"/>
              </w:rPr>
              <w:t>Typical Volume</w:t>
            </w:r>
          </w:p>
        </w:tc>
        <w:tc>
          <w:tcPr>
            <w:tcW w:w="2250" w:type="dxa"/>
            <w:shd w:val="clear" w:color="auto" w:fill="D9E2F3"/>
          </w:tcPr>
          <w:p>
            <w:pPr>
              <w:jc w:val="center"/>
            </w:pPr>
            <w:r>
              <w:rPr>
                <w:b/>
                <w:sz w:val="20"/>
              </w:rPr>
              <w:t>Primary Applications</w:t>
            </w:r>
          </w:p>
        </w:tc>
      </w:tr>
      <w:tr>
        <w:tc>
          <w:tcPr>
            <w:tcW w:w="2250" w:type="dxa"/>
          </w:tcPr>
          <w:p>
            <w:r>
              <w:rPr>
                <w:sz w:val="20"/>
              </w:rPr>
              <w:t xml:space="preserve">Electronic Health Records</w:t>
            </w:r>
          </w:p>
        </w:tc>
        <w:tc>
          <w:tcPr>
            <w:tcW w:w="2250" w:type="dxa"/>
          </w:tcPr>
          <w:p>
            <w:r>
              <w:rPr>
                <w:sz w:val="20"/>
              </w:rPr>
              <w:t xml:space="preserve">Structured/Unstructured</w:t>
            </w:r>
          </w:p>
        </w:tc>
        <w:tc>
          <w:tcPr>
            <w:tcW w:w="2250" w:type="dxa"/>
          </w:tcPr>
          <w:p>
            <w:r>
              <w:rPr>
                <w:sz w:val="20"/>
              </w:rPr>
              <w:t xml:space="preserve">10-50 GB per institution</w:t>
            </w:r>
          </w:p>
        </w:tc>
        <w:tc>
          <w:tcPr>
            <w:tcW w:w="2250" w:type="dxa"/>
          </w:tcPr>
          <w:p>
            <w:r>
              <w:rPr>
                <w:sz w:val="20"/>
              </w:rPr>
              <w:t xml:space="preserve">Clinical decision support, outcome prediction</w:t>
            </w:r>
          </w:p>
        </w:tc>
      </w:tr>
      <w:tr>
        <w:tc>
          <w:tcPr>
            <w:tcW w:w="2250" w:type="dxa"/>
          </w:tcPr>
          <w:p>
            <w:r>
              <w:rPr>
                <w:sz w:val="20"/>
              </w:rPr>
              <w:t xml:space="preserve">Medical Imaging (CT/MRI/PET)</w:t>
            </w:r>
          </w:p>
        </w:tc>
        <w:tc>
          <w:tcPr>
            <w:tcW w:w="2250" w:type="dxa"/>
          </w:tcPr>
          <w:p>
            <w:r>
              <w:rPr>
                <w:sz w:val="20"/>
              </w:rPr>
              <w:t xml:space="preserve">Image (DICOM)</w:t>
            </w:r>
          </w:p>
        </w:tc>
        <w:tc>
          <w:tcPr>
            <w:tcW w:w="2250" w:type="dxa"/>
          </w:tcPr>
          <w:p>
            <w:r>
              <w:rPr>
                <w:sz w:val="20"/>
              </w:rPr>
              <w:t xml:space="preserve">500 GB - 5 TB</w:t>
            </w:r>
          </w:p>
        </w:tc>
        <w:tc>
          <w:tcPr>
            <w:tcW w:w="2250" w:type="dxa"/>
          </w:tcPr>
          <w:p>
            <w:r>
              <w:rPr>
                <w:sz w:val="20"/>
              </w:rPr>
              <w:t xml:space="preserve">Tumor detection, staging, response monitoring</w:t>
            </w:r>
          </w:p>
        </w:tc>
      </w:tr>
      <w:tr>
        <w:tc>
          <w:tcPr>
            <w:tcW w:w="2250" w:type="dxa"/>
          </w:tcPr>
          <w:p>
            <w:r>
              <w:rPr>
                <w:sz w:val="20"/>
              </w:rPr>
              <w:t xml:space="preserve">Digital Histopathology</w:t>
            </w:r>
          </w:p>
        </w:tc>
        <w:tc>
          <w:tcPr>
            <w:tcW w:w="2250" w:type="dxa"/>
          </w:tcPr>
          <w:p>
            <w:r>
              <w:rPr>
                <w:sz w:val="20"/>
              </w:rPr>
              <w:t xml:space="preserve">Whole-slide images</w:t>
            </w:r>
          </w:p>
        </w:tc>
        <w:tc>
          <w:tcPr>
            <w:tcW w:w="2250" w:type="dxa"/>
          </w:tcPr>
          <w:p>
            <w:r>
              <w:rPr>
                <w:sz w:val="20"/>
              </w:rPr>
              <w:t xml:space="preserve">1-5 TB</w:t>
            </w:r>
          </w:p>
        </w:tc>
        <w:tc>
          <w:tcPr>
            <w:tcW w:w="2250" w:type="dxa"/>
          </w:tcPr>
          <w:p>
            <w:r>
              <w:rPr>
                <w:sz w:val="20"/>
              </w:rPr>
              <w:t xml:space="preserve">Cancer grading, biomarker quantification</w:t>
            </w:r>
          </w:p>
        </w:tc>
      </w:tr>
      <w:tr>
        <w:tc>
          <w:tcPr>
            <w:tcW w:w="2250" w:type="dxa"/>
          </w:tcPr>
          <w:p>
            <w:r>
              <w:rPr>
                <w:sz w:val="20"/>
              </w:rPr>
              <w:t xml:space="preserve">Genomic Sequencing (WGS/WES)</w:t>
            </w:r>
          </w:p>
        </w:tc>
        <w:tc>
          <w:tcPr>
            <w:tcW w:w="2250" w:type="dxa"/>
          </w:tcPr>
          <w:p>
            <w:r>
              <w:rPr>
                <w:sz w:val="20"/>
              </w:rPr>
              <w:t xml:space="preserve">Sequence data (FASTQ/VCF)</w:t>
            </w:r>
          </w:p>
        </w:tc>
        <w:tc>
          <w:tcPr>
            <w:tcW w:w="2250" w:type="dxa"/>
          </w:tcPr>
          <w:p>
            <w:r>
              <w:rPr>
                <w:sz w:val="20"/>
              </w:rPr>
              <w:t xml:space="preserve">100 GB - 1 TB</w:t>
            </w:r>
          </w:p>
        </w:tc>
        <w:tc>
          <w:tcPr>
            <w:tcW w:w="2250" w:type="dxa"/>
          </w:tcPr>
          <w:p>
            <w:r>
              <w:rPr>
                <w:sz w:val="20"/>
              </w:rPr>
              <w:t xml:space="preserve">Mutation identification, molecular subtyping</w:t>
            </w:r>
          </w:p>
        </w:tc>
      </w:tr>
      <w:tr>
        <w:tc>
          <w:tcPr>
            <w:tcW w:w="2250" w:type="dxa"/>
          </w:tcPr>
          <w:p>
            <w:r>
              <w:rPr>
                <w:sz w:val="20"/>
              </w:rPr>
              <w:t xml:space="preserve">Transcriptomics (RNA-seq)</w:t>
            </w:r>
          </w:p>
        </w:tc>
        <w:tc>
          <w:tcPr>
            <w:tcW w:w="2250" w:type="dxa"/>
          </w:tcPr>
          <w:p>
            <w:r>
              <w:rPr>
                <w:sz w:val="20"/>
              </w:rPr>
              <w:t xml:space="preserve">Expression matrices</w:t>
            </w:r>
          </w:p>
        </w:tc>
        <w:tc>
          <w:tcPr>
            <w:tcW w:w="2250" w:type="dxa"/>
          </w:tcPr>
          <w:p>
            <w:r>
              <w:rPr>
                <w:sz w:val="20"/>
              </w:rPr>
              <w:t xml:space="preserve">10-100 GB</w:t>
            </w:r>
          </w:p>
        </w:tc>
        <w:tc>
          <w:tcPr>
            <w:tcW w:w="2250" w:type="dxa"/>
          </w:tcPr>
          <w:p>
            <w:r>
              <w:rPr>
                <w:sz w:val="20"/>
              </w:rPr>
              <w:t xml:space="preserve">Gene expression profiling, pathway analysis</w:t>
            </w:r>
          </w:p>
        </w:tc>
      </w:tr>
      <w:tr>
        <w:tc>
          <w:tcPr>
            <w:tcW w:w="2250" w:type="dxa"/>
          </w:tcPr>
          <w:p>
            <w:r>
              <w:rPr>
                <w:sz w:val="20"/>
              </w:rPr>
              <w:t xml:space="preserve">Proteomics/Metabolomics</w:t>
            </w:r>
          </w:p>
        </w:tc>
        <w:tc>
          <w:tcPr>
            <w:tcW w:w="2250" w:type="dxa"/>
          </w:tcPr>
          <w:p>
            <w:r>
              <w:rPr>
                <w:sz w:val="20"/>
              </w:rPr>
              <w:t xml:space="preserve">Mass spectrometry data</w:t>
            </w:r>
          </w:p>
        </w:tc>
        <w:tc>
          <w:tcPr>
            <w:tcW w:w="2250" w:type="dxa"/>
          </w:tcPr>
          <w:p>
            <w:r>
              <w:rPr>
                <w:sz w:val="20"/>
              </w:rPr>
              <w:t xml:space="preserve">50-500 GB</w:t>
            </w:r>
          </w:p>
        </w:tc>
        <w:tc>
          <w:tcPr>
            <w:tcW w:w="2250" w:type="dxa"/>
          </w:tcPr>
          <w:p>
            <w:r>
              <w:rPr>
                <w:sz w:val="20"/>
              </w:rPr>
              <w:t xml:space="preserve">Biomarker discovery, pathway alterations</w:t>
            </w:r>
          </w:p>
        </w:tc>
      </w:tr>
      <w:tr>
        <w:tc>
          <w:tcPr>
            <w:tcW w:w="2250" w:type="dxa"/>
          </w:tcPr>
          <w:p>
            <w:r>
              <w:rPr>
                <w:sz w:val="20"/>
              </w:rPr>
              <w:t xml:space="preserve">Wearable Device Data</w:t>
            </w:r>
          </w:p>
        </w:tc>
        <w:tc>
          <w:tcPr>
            <w:tcW w:w="2250" w:type="dxa"/>
          </w:tcPr>
          <w:p>
            <w:r>
              <w:rPr>
                <w:sz w:val="20"/>
              </w:rPr>
              <w:t xml:space="preserve">Time-series sensor data</w:t>
            </w:r>
          </w:p>
        </w:tc>
        <w:tc>
          <w:tcPr>
            <w:tcW w:w="2250" w:type="dxa"/>
          </w:tcPr>
          <w:p>
            <w:r>
              <w:rPr>
                <w:sz w:val="20"/>
              </w:rPr>
              <w:t xml:space="preserve">1-10 GB per patient/year</w:t>
            </w:r>
          </w:p>
        </w:tc>
        <w:tc>
          <w:tcPr>
            <w:tcW w:w="2250" w:type="dxa"/>
          </w:tcPr>
          <w:p>
            <w:r>
              <w:rPr>
                <w:sz w:val="20"/>
              </w:rPr>
              <w:t xml:space="preserve">Real-time monitoring, symptom tracking</w:t>
            </w:r>
          </w:p>
        </w:tc>
      </w:tr>
      <w:tr>
        <w:tc>
          <w:tcPr>
            <w:tcW w:w="2250" w:type="dxa"/>
          </w:tcPr>
          <w:p>
            <w:r>
              <w:rPr>
                <w:sz w:val="20"/>
              </w:rPr>
              <w:t xml:space="preserve">Clinical Trial Data</w:t>
            </w:r>
          </w:p>
        </w:tc>
        <w:tc>
          <w:tcPr>
            <w:tcW w:w="2250" w:type="dxa"/>
          </w:tcPr>
          <w:p>
            <w:r>
              <w:rPr>
                <w:sz w:val="20"/>
              </w:rPr>
              <w:t xml:space="preserve">Structured datasets</w:t>
            </w:r>
          </w:p>
        </w:tc>
        <w:tc>
          <w:tcPr>
            <w:tcW w:w="2250" w:type="dxa"/>
          </w:tcPr>
          <w:p>
            <w:r>
              <w:rPr>
                <w:sz w:val="20"/>
              </w:rPr>
              <w:t xml:space="preserve">5-50 GB</w:t>
            </w:r>
          </w:p>
        </w:tc>
        <w:tc>
          <w:tcPr>
            <w:tcW w:w="2250" w:type="dxa"/>
          </w:tcPr>
          <w:p>
            <w:r>
              <w:rPr>
                <w:sz w:val="20"/>
              </w:rPr>
              <w:t xml:space="preserve">Treatment efficacy, safety analysis</w:t>
            </w:r>
          </w:p>
        </w:tc>
      </w:tr>
    </w:tbl>
    <w:p>
      <w:pPr>
        <w:spacing w:after="200"/>
      </w:pPr>
    </w:p>
    <w:p>
      <w:pPr>
        <w:pStyle w:val="Heading2"/>
      </w:pPr>
      <w:r>
        <w:rPr>
          <w:b/>
        </w:rPr>
        <w:t xml:space="preserve">1.3 Data Integration and Quality Management for Cancer Analytics</w:t>
      </w:r>
    </w:p>
    <w:p>
      <w:r>
        <w:rPr>
          <w:sz w:val="24"/>
        </w:rPr>
        <w:t xml:space="preserve">The effective utilization of multimodal biomedical data for cancer analytics necessitates sophisticated data integration strategies that address the inherent heterogeneity, incompleteness, and inconsistency of clinical datasets [22]. Multimodal data integration involves harmonizing data from diverse sources with different formats, scales, temporal resolutions, and semantic representations into a unified analytical framework [23]. Early fusion approaches concatenate features from multiple modalities at the input level, while late fusion strategies combine predictions from modality-specific models. Intermediate fusion architectures, including attention-based mechanisms and cross-modal transformers, have emerged as particularly effective for capturing complex inter-modal relationships [24]. The choice of integration strategy significantly impacts model performance and must be guided by the specific characteristics of the data modalities, the analytical objectives, and the available computational resources.</w:t>
      </w:r>
    </w:p>
    <w:p>
      <w:r>
        <w:rPr>
          <w:sz w:val="24"/>
        </w:rPr>
        <w:t xml:space="preserve">Data quality management represents a fundamental prerequisite for reliable cancer analytics. Clinical datasets frequently contain missing values arising from incomplete documentation, measurement failures, or selective testing practices [25]. The pattern of missingness may be informative itself, as the absence of certain laboratory tests may correlate with clinical decisions about disease severity or treatment urgency. Multiple imputation techniques, maximum likelihood estimation, and deep learning-based imputation methods offer principled approaches for handling missing data while preserving the statistical properties of the original distributions [26]. The selection of appropriate imputation strategies requires careful consideration of the missing data mechanism, the proportion of missing values, and the downstream analytical objectives.</w:t>
      </w:r>
    </w:p>
    <w:p>
      <w:r>
        <w:rPr>
          <w:sz w:val="24"/>
        </w:rPr>
        <w:t xml:space="preserve">Standardization and interoperability of biomedical data remain significant challenges in cancer analytics. The adoption of standardized terminologies such as SNOMED-CT, ICD-10, and LOINC facilitates semantic harmonization across institutions, while data exchange standards including HL7 FHIR enable structured data sharing [27]. However, considerable variability persists in data collection practices, documentation conventions, and measurement protocols across healthcare systems, necessitating sophisticated data harmonization algorithms that account for batch effects, institutional biases, and temporal trends [28]. The development of common data models, such as OMOP CDM and PCORnet, provides standardized schemas for organizing observational health data, facilitating multi-institutional research collaborations and large-scale cancer analytics studies.</w:t>
      </w:r>
    </w:p>
    <w:p>
      <w:r>
        <w:rPr>
          <w:sz w:val="24"/>
        </w:rPr>
        <w:t xml:space="preserve">The challenges associated with high-dimensional biomedical data are particularly acute in cancer analytics, where genomic datasets may contain millions of features but relatively few patient samples [29]. This dimensionality curse necessitates careful feature selection, regularization, and dimensionality reduction strategies to prevent overfitting and ensure model generalizability. Cross-validation schemes, independent validation cohorts, and prospective evaluation studies are essential for establishing the reliability of AI models developed from high-dimensional cancer datasets [30]. Temporal validation, geographic validation, and demographic subgroup analyses provide additional evidence regarding model robustness and generalizability across diverse clinical contexts. External validation on geographically and temporally distinct patient cohorts represents the gold standard for demonstrating model transportability, while simulation studies and synthetic data experiments can complement empirical validation by stress-testing models under controlled conditions with known ground truth. Figure 1 further illustrates how these data integration challenges are addressed within the comprehensive AI framework for cancer precision medicine.</w:t>
      </w:r>
    </w:p>
    <w:p>
      <w:pPr>
        <w:pStyle w:val="Heading1"/>
      </w:pPr>
      <w:r>
        <w:rPr>
          <w:b/>
        </w:rPr>
        <w:t xml:space="preserve">2. AI-Based Data Mining Techniques for Cancer Research</w:t>
      </w:r>
    </w:p>
    <w:p>
      <w:r>
        <w:rPr>
          <w:sz w:val="24"/>
        </w:rPr>
        <w:t xml:space="preserve">Artificial intelligence-based data mining encompasses a broad spectrum of computational techniques designed to extract meaningful patterns, relationships, and knowledge from complex biomedical datasets. In the context of cancer research, these techniques serve multiple complementary purposes including automated diagnosis, patient stratification, biomarker discovery, and therapeutic response prediction. The following subsections provide detailed examinations of the principal data mining approaches applied to cancer analytics, organized according to their fundamental methodological paradigms and clinical applications.</w:t>
      </w:r>
    </w:p>
    <w:p>
      <w:pPr>
        <w:pStyle w:val="Heading2"/>
      </w:pPr>
      <w:r>
        <w:rPr>
          <w:b/>
        </w:rPr>
        <w:t xml:space="preserve">2.1 Classification, Prediction, and Diagnostic Analytics</w:t>
      </w:r>
    </w:p>
    <w:p>
      <w:r>
        <w:rPr>
          <w:sz w:val="24"/>
        </w:rPr>
        <w:t xml:space="preserve">Classification algorithms constitute the cornerstone of AI-based cancer diagnostics, enabling automated categorization of biological samples, imaging findings, and clinical presentations into discrete diagnostic categories [31]. Supervised learning approaches for cancer classification leverage labeled training datasets to develop predictive models that can generalize to unseen patient data. Support vector machines have demonstrated robust performance in binary classification tasks such as distinguishing malignant from benign lesions, while multi-class classifiers including random forests and gradient boosting machines excel in tumor subtype identification [32]. The selection of appropriate classification algorithms depends on dataset characteristics including sample size, feature dimensionality, class balance, and the desired trade-off between model complexity and interpretability.</w:t>
      </w:r>
    </w:p>
    <w:p>
      <w:r>
        <w:rPr>
          <w:sz w:val="24"/>
        </w:rPr>
        <w:t xml:space="preserve">Deep learning architectures have revolutionized cancer classification, particularly in medical imaging applications. Convolutional neural networks trained on large annotated image datasets achieve expert-level performance in detecting lung nodules on chest CT, identifying melanoma in dermoscopic images, and classifying breast lesions on mammography [33]. Transfer learning strategies, whereby models pre-trained on natural image datasets are fine-tuned on medical imaging data, have proven particularly effective in domains where labeled medical images are scarce. Vision transformers and attention mechanisms have further advanced the state-of-the-art by capturing long-range dependencies and enabling interpretable feature visualization [34]. Multi-instance learning frameworks address the challenge of weakly supervised classification, where only slide-level or patient-level labels are available rather than pixel-level annotations, enabling scalable training on large pathology datasets.</w:t>
      </w:r>
    </w:p>
    <w:p>
      <w:r>
        <w:rPr>
          <w:sz w:val="24"/>
        </w:rPr>
        <w:t xml:space="preserve">Prediction of cancer prognosis and therapeutic response represents a critical application of machine learning in precision oncology. Survival prediction models incorporating clinical, molecular, and imaging features have demonstrated significant improvements over traditional staging systems in estimating patient outcomes [35]. Cox proportional hazards models extended with machine learning techniques, deep survival models, and multi-task learning frameworks enable joint prediction of multiple clinical endpoints. Pharmacogenomic models trained on drug response data from cancer cell lines and patient-derived xenografts facilitate prediction of individual patient sensitivity to specific therapeutic agents [36]. These predictive models enable clinicians to select therapies most likely to benefit individual patients while avoiding unnecessary exposure to ineffective treatments with potential toxicities.</w:t>
      </w:r>
    </w:p>
    <w:p>
      <w:r>
        <w:rPr>
          <w:sz w:val="24"/>
        </w:rPr>
        <w:t xml:space="preserve">Clinical decision support systems that integrate classification and prediction capabilities provide real-time guidance to clinicians during diagnostic evaluation and treatment planning. Risk stratification models identify patients at elevated risk for disease recurrence, adverse treatment reactions, or rapid progression, enabling proactive surveillance and early intervention strategies. The deployment of these systems in clinical workflows requires careful attention to model calibration, ensuring that predicted probabilities accurately reflect observed event rates across diverse patient populations.</w:t>
      </w:r>
    </w:p>
    <w:p>
      <w:r>
        <w:rPr>
          <w:sz w:val="24"/>
        </w:rPr>
        <w:t xml:space="preserve">As presented in Figure 2, the taxonomy of data mining techniques for cancer research encompasses multiple hierarchical levels of analytical approaches, from fundamental classification algorithms to advanced ensemble and deep learning methods. Table 2 provides a comparative analysis of classification algorithms applied to cancer diagnosis, including performance metrics across different cancer types and data modalities [37].</w:t>
      </w:r>
    </w:p>
    <w:p>
      <w:pPr>
        <w:jc w:val="center"/>
      </w:pPr>
      <w:r>
        <w:drawing>
          <wp:inline xmlns:wp="http://schemas.openxmlformats.org/drawingml/2006/wordprocessingDrawing" distT="0" distB="0" distL="0" distR="0">
            <wp:extent cx="5400000" cy="3600000"/>
            <wp:docPr id="2" name="Picture 2"/>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11"/>
                    <a:stretch>
                      <a:fillRect/>
                    </a:stretch>
                  </pic:blipFill>
                  <pic:spPr>
                    <a:xfrm>
                      <a:off x="0" y="0"/>
                      <a:ext cx="5400000" cy="3600000"/>
                    </a:xfrm>
                    <a:prstGeom prst="rect">
                      <a:avLst/>
                    </a:prstGeom>
                  </pic:spPr>
                </pic:pic>
              </a:graphicData>
            </a:graphic>
          </wp:inline>
        </w:drawing>
      </w:r>
    </w:p>
    <w:p>
      <w:pPr>
        <w:pStyle w:val="Caption"/>
        <w:jc w:val="center"/>
      </w:pPr>
      <w:r>
        <w:rPr>
          <w:i/>
          <w:sz w:val="20"/>
        </w:rPr>
        <w:t xml:space="preserve">Figure 2. Taxonomy of AI-Based Data Mining Techniques for Cancer Research: Hierarchical organization of classification, clustering, and feature selection methodologies with their respective sub-techniques and performance characteristics.</w:t>
      </w:r>
    </w:p>
    <w:p>
      <w:pPr>
        <w:spacing w:before="240" w:after="120"/>
      </w:pPr>
      <w:r>
        <w:rPr>
          <w:b/>
          <w:sz w:val="22"/>
        </w:rPr>
        <w:t>Table 2. Comparative Analysis of Classification Algorithms for Cancer Diagnosis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shd w:val="clear" w:color="auto" w:fill="D9E2F3"/>
          </w:tcPr>
          <w:p>
            <w:pPr>
              <w:jc w:val="center"/>
            </w:pPr>
            <w:r>
              <w:rPr>
                <w:b/>
                <w:sz w:val="20"/>
              </w:rPr>
              <w:t>Algorithm</w:t>
            </w:r>
          </w:p>
        </w:tc>
        <w:tc>
          <w:tcPr>
            <w:tcW w:w="1800" w:type="dxa"/>
            <w:shd w:val="clear" w:color="auto" w:fill="D9E2F3"/>
          </w:tcPr>
          <w:p>
            <w:pPr>
              <w:jc w:val="center"/>
            </w:pPr>
            <w:r>
              <w:rPr>
                <w:b/>
                <w:sz w:val="20"/>
              </w:rPr>
              <w:t>Cancer Type</w:t>
            </w:r>
          </w:p>
        </w:tc>
        <w:tc>
          <w:tcPr>
            <w:tcW w:w="1800" w:type="dxa"/>
            <w:shd w:val="clear" w:color="auto" w:fill="D9E2F3"/>
          </w:tcPr>
          <w:p>
            <w:pPr>
              <w:jc w:val="center"/>
            </w:pPr>
            <w:r>
              <w:rPr>
                <w:b/>
                <w:sz w:val="20"/>
              </w:rPr>
              <w:t>Data Modality</w:t>
            </w:r>
          </w:p>
        </w:tc>
        <w:tc>
          <w:tcPr>
            <w:tcW w:w="1800" w:type="dxa"/>
            <w:shd w:val="clear" w:color="auto" w:fill="D9E2F3"/>
          </w:tcPr>
          <w:p>
            <w:pPr>
              <w:jc w:val="center"/>
            </w:pPr>
            <w:r>
              <w:rPr>
                <w:b/>
                <w:sz w:val="20"/>
              </w:rPr>
              <w:t>Accuracy (%)</w:t>
            </w:r>
          </w:p>
        </w:tc>
        <w:tc>
          <w:tcPr>
            <w:tcW w:w="1800" w:type="dxa"/>
            <w:shd w:val="clear" w:color="auto" w:fill="D9E2F3"/>
          </w:tcPr>
          <w:p>
            <w:pPr>
              <w:jc w:val="center"/>
            </w:pPr>
            <w:r>
              <w:rPr>
                <w:b/>
                <w:sz w:val="20"/>
              </w:rPr>
              <w:t>AUC</w:t>
            </w:r>
          </w:p>
        </w:tc>
      </w:tr>
      <w:tr>
        <w:tc>
          <w:tcPr>
            <w:tcW w:w="1800" w:type="dxa"/>
          </w:tcPr>
          <w:p>
            <w:r>
              <w:rPr>
                <w:sz w:val="20"/>
              </w:rPr>
              <w:t xml:space="preserve">Support Vector Machine</w:t>
            </w:r>
          </w:p>
        </w:tc>
        <w:tc>
          <w:tcPr>
            <w:tcW w:w="1800" w:type="dxa"/>
          </w:tcPr>
          <w:p>
            <w:r>
              <w:rPr>
                <w:sz w:val="20"/>
              </w:rPr>
              <w:t xml:space="preserve">Breast Cancer</w:t>
            </w:r>
          </w:p>
        </w:tc>
        <w:tc>
          <w:tcPr>
            <w:tcW w:w="1800" w:type="dxa"/>
          </w:tcPr>
          <w:p>
            <w:r>
              <w:rPr>
                <w:sz w:val="20"/>
              </w:rPr>
              <w:t xml:space="preserve">Genomic</w:t>
            </w:r>
          </w:p>
        </w:tc>
        <w:tc>
          <w:tcPr>
            <w:tcW w:w="1800" w:type="dxa"/>
          </w:tcPr>
          <w:p>
            <w:r>
              <w:rPr>
                <w:sz w:val="20"/>
              </w:rPr>
              <w:t xml:space="preserve">94.2</w:t>
            </w:r>
          </w:p>
        </w:tc>
        <w:tc>
          <w:tcPr>
            <w:tcW w:w="1800" w:type="dxa"/>
          </w:tcPr>
          <w:p>
            <w:r>
              <w:rPr>
                <w:sz w:val="20"/>
              </w:rPr>
              <w:t xml:space="preserve">0.96</w:t>
            </w:r>
          </w:p>
        </w:tc>
      </w:tr>
      <w:tr>
        <w:tc>
          <w:tcPr>
            <w:tcW w:w="1800" w:type="dxa"/>
          </w:tcPr>
          <w:p>
            <w:r>
              <w:rPr>
                <w:sz w:val="20"/>
              </w:rPr>
              <w:t xml:space="preserve">Random Forest</w:t>
            </w:r>
          </w:p>
        </w:tc>
        <w:tc>
          <w:tcPr>
            <w:tcW w:w="1800" w:type="dxa"/>
          </w:tcPr>
          <w:p>
            <w:r>
              <w:rPr>
                <w:sz w:val="20"/>
              </w:rPr>
              <w:t xml:space="preserve">Lung Cancer</w:t>
            </w:r>
          </w:p>
        </w:tc>
        <w:tc>
          <w:tcPr>
            <w:tcW w:w="1800" w:type="dxa"/>
          </w:tcPr>
          <w:p>
            <w:r>
              <w:rPr>
                <w:sz w:val="20"/>
              </w:rPr>
              <w:t xml:space="preserve">Clinical + Imaging</w:t>
            </w:r>
          </w:p>
        </w:tc>
        <w:tc>
          <w:tcPr>
            <w:tcW w:w="1800" w:type="dxa"/>
          </w:tcPr>
          <w:p>
            <w:r>
              <w:rPr>
                <w:sz w:val="20"/>
              </w:rPr>
              <w:t xml:space="preserve">91.8</w:t>
            </w:r>
          </w:p>
        </w:tc>
        <w:tc>
          <w:tcPr>
            <w:tcW w:w="1800" w:type="dxa"/>
          </w:tcPr>
          <w:p>
            <w:r>
              <w:rPr>
                <w:sz w:val="20"/>
              </w:rPr>
              <w:t xml:space="preserve">0.94</w:t>
            </w:r>
          </w:p>
        </w:tc>
      </w:tr>
      <w:tr>
        <w:tc>
          <w:tcPr>
            <w:tcW w:w="1800" w:type="dxa"/>
          </w:tcPr>
          <w:p>
            <w:r>
              <w:rPr>
                <w:sz w:val="20"/>
              </w:rPr>
              <w:t xml:space="preserve">Gradient Boosting (XGBoost)</w:t>
            </w:r>
          </w:p>
        </w:tc>
        <w:tc>
          <w:tcPr>
            <w:tcW w:w="1800" w:type="dxa"/>
          </w:tcPr>
          <w:p>
            <w:r>
              <w:rPr>
                <w:sz w:val="20"/>
              </w:rPr>
              <w:t xml:space="preserve">Colorectal Cancer</w:t>
            </w:r>
          </w:p>
        </w:tc>
        <w:tc>
          <w:tcPr>
            <w:tcW w:w="1800" w:type="dxa"/>
          </w:tcPr>
          <w:p>
            <w:r>
              <w:rPr>
                <w:sz w:val="20"/>
              </w:rPr>
              <w:t xml:space="preserve">Multi-omics</w:t>
            </w:r>
          </w:p>
        </w:tc>
        <w:tc>
          <w:tcPr>
            <w:tcW w:w="1800" w:type="dxa"/>
          </w:tcPr>
          <w:p>
            <w:r>
              <w:rPr>
                <w:sz w:val="20"/>
              </w:rPr>
              <w:t xml:space="preserve">93.5</w:t>
            </w:r>
          </w:p>
        </w:tc>
        <w:tc>
          <w:tcPr>
            <w:tcW w:w="1800" w:type="dxa"/>
          </w:tcPr>
          <w:p>
            <w:r>
              <w:rPr>
                <w:sz w:val="20"/>
              </w:rPr>
              <w:t xml:space="preserve">0.95</w:t>
            </w:r>
          </w:p>
        </w:tc>
      </w:tr>
      <w:tr>
        <w:tc>
          <w:tcPr>
            <w:tcW w:w="1800" w:type="dxa"/>
          </w:tcPr>
          <w:p>
            <w:r>
              <w:rPr>
                <w:sz w:val="20"/>
              </w:rPr>
              <w:t xml:space="preserve">Convolutional Neural Network</w:t>
            </w:r>
          </w:p>
        </w:tc>
        <w:tc>
          <w:tcPr>
            <w:tcW w:w="1800" w:type="dxa"/>
          </w:tcPr>
          <w:p>
            <w:r>
              <w:rPr>
                <w:sz w:val="20"/>
              </w:rPr>
              <w:t xml:space="preserve">Skin Melanoma</w:t>
            </w:r>
          </w:p>
        </w:tc>
        <w:tc>
          <w:tcPr>
            <w:tcW w:w="1800" w:type="dxa"/>
          </w:tcPr>
          <w:p>
            <w:r>
              <w:rPr>
                <w:sz w:val="20"/>
              </w:rPr>
              <w:t xml:space="preserve">Dermoscopy Images</w:t>
            </w:r>
          </w:p>
        </w:tc>
        <w:tc>
          <w:tcPr>
            <w:tcW w:w="1800" w:type="dxa"/>
          </w:tcPr>
          <w:p>
            <w:r>
              <w:rPr>
                <w:sz w:val="20"/>
              </w:rPr>
              <w:t xml:space="preserve">95.1</w:t>
            </w:r>
          </w:p>
        </w:tc>
        <w:tc>
          <w:tcPr>
            <w:tcW w:w="1800" w:type="dxa"/>
          </w:tcPr>
          <w:p>
            <w:r>
              <w:rPr>
                <w:sz w:val="20"/>
              </w:rPr>
              <w:t xml:space="preserve">0.97</w:t>
            </w:r>
          </w:p>
        </w:tc>
      </w:tr>
      <w:tr>
        <w:tc>
          <w:tcPr>
            <w:tcW w:w="1800" w:type="dxa"/>
          </w:tcPr>
          <w:p>
            <w:r>
              <w:rPr>
                <w:sz w:val="20"/>
              </w:rPr>
              <w:t xml:space="preserve">ResNet-50 (Transfer Learning)</w:t>
            </w:r>
          </w:p>
        </w:tc>
        <w:tc>
          <w:tcPr>
            <w:tcW w:w="1800" w:type="dxa"/>
          </w:tcPr>
          <w:p>
            <w:r>
              <w:rPr>
                <w:sz w:val="20"/>
              </w:rPr>
              <w:t xml:space="preserve">Breast Cancer</w:t>
            </w:r>
          </w:p>
        </w:tc>
        <w:tc>
          <w:tcPr>
            <w:tcW w:w="1800" w:type="dxa"/>
          </w:tcPr>
          <w:p>
            <w:r>
              <w:rPr>
                <w:sz w:val="20"/>
              </w:rPr>
              <w:t xml:space="preserve">Histopathology</w:t>
            </w:r>
          </w:p>
        </w:tc>
        <w:tc>
          <w:tcPr>
            <w:tcW w:w="1800" w:type="dxa"/>
          </w:tcPr>
          <w:p>
            <w:r>
              <w:rPr>
                <w:sz w:val="20"/>
              </w:rPr>
              <w:t xml:space="preserve">96.3</w:t>
            </w:r>
          </w:p>
        </w:tc>
        <w:tc>
          <w:tcPr>
            <w:tcW w:w="1800" w:type="dxa"/>
          </w:tcPr>
          <w:p>
            <w:r>
              <w:rPr>
                <w:sz w:val="20"/>
              </w:rPr>
              <w:t xml:space="preserve">0.98</w:t>
            </w:r>
          </w:p>
        </w:tc>
      </w:tr>
      <w:tr>
        <w:tc>
          <w:tcPr>
            <w:tcW w:w="1800" w:type="dxa"/>
          </w:tcPr>
          <w:p>
            <w:r>
              <w:rPr>
                <w:sz w:val="20"/>
              </w:rPr>
              <w:t xml:space="preserve">Vision Transformer (ViT)</w:t>
            </w:r>
          </w:p>
        </w:tc>
        <w:tc>
          <w:tcPr>
            <w:tcW w:w="1800" w:type="dxa"/>
          </w:tcPr>
          <w:p>
            <w:r>
              <w:rPr>
                <w:sz w:val="20"/>
              </w:rPr>
              <w:t xml:space="preserve">Lung Cancer</w:t>
            </w:r>
          </w:p>
        </w:tc>
        <w:tc>
          <w:tcPr>
            <w:tcW w:w="1800" w:type="dxa"/>
          </w:tcPr>
          <w:p>
            <w:r>
              <w:rPr>
                <w:sz w:val="20"/>
              </w:rPr>
              <w:t xml:space="preserve">CT Imaging</w:t>
            </w:r>
          </w:p>
        </w:tc>
        <w:tc>
          <w:tcPr>
            <w:tcW w:w="1800" w:type="dxa"/>
          </w:tcPr>
          <w:p>
            <w:r>
              <w:rPr>
                <w:sz w:val="20"/>
              </w:rPr>
              <w:t xml:space="preserve">94.8</w:t>
            </w:r>
          </w:p>
        </w:tc>
        <w:tc>
          <w:tcPr>
            <w:tcW w:w="1800" w:type="dxa"/>
          </w:tcPr>
          <w:p>
            <w:r>
              <w:rPr>
                <w:sz w:val="20"/>
              </w:rPr>
              <w:t xml:space="preserve">0.96</w:t>
            </w:r>
          </w:p>
        </w:tc>
      </w:tr>
      <w:tr>
        <w:tc>
          <w:tcPr>
            <w:tcW w:w="1800" w:type="dxa"/>
          </w:tcPr>
          <w:p>
            <w:r>
              <w:rPr>
                <w:sz w:val="20"/>
              </w:rPr>
              <w:t xml:space="preserve">Recurrent Neural Network</w:t>
            </w:r>
          </w:p>
        </w:tc>
        <w:tc>
          <w:tcPr>
            <w:tcW w:w="1800" w:type="dxa"/>
          </w:tcPr>
          <w:p>
            <w:r>
              <w:rPr>
                <w:sz w:val="20"/>
              </w:rPr>
              <w:t xml:space="preserve">Prostate Cancer</w:t>
            </w:r>
          </w:p>
        </w:tc>
        <w:tc>
          <w:tcPr>
            <w:tcW w:w="1800" w:type="dxa"/>
          </w:tcPr>
          <w:p>
            <w:r>
              <w:rPr>
                <w:sz w:val="20"/>
              </w:rPr>
              <w:t xml:space="preserve">Longitudinal Clinical</w:t>
            </w:r>
          </w:p>
        </w:tc>
        <w:tc>
          <w:tcPr>
            <w:tcW w:w="1800" w:type="dxa"/>
          </w:tcPr>
          <w:p>
            <w:r>
              <w:rPr>
                <w:sz w:val="20"/>
              </w:rPr>
              <w:t xml:space="preserve">89.4</w:t>
            </w:r>
          </w:p>
        </w:tc>
        <w:tc>
          <w:tcPr>
            <w:tcW w:w="1800" w:type="dxa"/>
          </w:tcPr>
          <w:p>
            <w:r>
              <w:rPr>
                <w:sz w:val="20"/>
              </w:rPr>
              <w:t xml:space="preserve">0.92</w:t>
            </w:r>
          </w:p>
        </w:tc>
      </w:tr>
      <w:tr>
        <w:tc>
          <w:tcPr>
            <w:tcW w:w="1800" w:type="dxa"/>
          </w:tcPr>
          <w:p>
            <w:r>
              <w:rPr>
                <w:sz w:val="20"/>
              </w:rPr>
              <w:t xml:space="preserve">Graph Neural Network</w:t>
            </w:r>
          </w:p>
        </w:tc>
        <w:tc>
          <w:tcPr>
            <w:tcW w:w="1800" w:type="dxa"/>
          </w:tcPr>
          <w:p>
            <w:r>
              <w:rPr>
                <w:sz w:val="20"/>
              </w:rPr>
              <w:t xml:space="preserve">Pan-cancer</w:t>
            </w:r>
          </w:p>
        </w:tc>
        <w:tc>
          <w:tcPr>
            <w:tcW w:w="1800" w:type="dxa"/>
          </w:tcPr>
          <w:p>
            <w:r>
              <w:rPr>
                <w:sz w:val="20"/>
              </w:rPr>
              <w:t xml:space="preserve">Molecular Networks</w:t>
            </w:r>
          </w:p>
        </w:tc>
        <w:tc>
          <w:tcPr>
            <w:tcW w:w="1800" w:type="dxa"/>
          </w:tcPr>
          <w:p>
            <w:r>
              <w:rPr>
                <w:sz w:val="20"/>
              </w:rPr>
              <w:t xml:space="preserve">92.7</w:t>
            </w:r>
          </w:p>
        </w:tc>
        <w:tc>
          <w:tcPr>
            <w:tcW w:w="1800" w:type="dxa"/>
          </w:tcPr>
          <w:p>
            <w:r>
              <w:rPr>
                <w:sz w:val="20"/>
              </w:rPr>
              <w:t xml:space="preserve">0.95</w:t>
            </w:r>
          </w:p>
        </w:tc>
      </w:tr>
    </w:tbl>
    <w:p>
      <w:pPr>
        <w:spacing w:after="200"/>
      </w:pPr>
    </w:p>
    <w:p>
      <w:pPr>
        <w:pStyle w:val="Heading2"/>
      </w:pPr>
      <w:r>
        <w:rPr>
          <w:b/>
        </w:rPr>
        <w:t xml:space="preserve">2.2 Clustering, Association Rule Mining, and Pattern Discovery</w:t>
      </w:r>
    </w:p>
    <w:p>
      <w:r>
        <w:rPr>
          <w:sz w:val="24"/>
        </w:rPr>
        <w:t xml:space="preserve">Unsupervised learning techniques offer powerful capabilities for discovering hidden structures and patterns within cancer datasets without requiring predefined labels or categories [38]. Clustering algorithms partition patient populations or molecular profiles into homogeneous subgroups that may correspond to clinically meaningful disease subtypes or risk categories. K-means clustering, hierarchical clustering, and density-based approaches have been extensively applied to gene expression data for identifying molecular subtypes of breast cancer, glioblastoma, and colorectal cancer [39]. The selection of appropriate clustering algorithms and the determination of optimal cluster numbers require careful evaluation using internal validity indices, stability assessments, and biological enrichment analyses that assess whether identified clusters correspond to biologically meaningful distinctions.</w:t>
      </w:r>
    </w:p>
    <w:p>
      <w:r>
        <w:rPr>
          <w:sz w:val="24"/>
        </w:rPr>
        <w:t xml:space="preserve">The identification of cancer molecular subtypes through unsupervised clustering has profound implications for treatment selection and patient stratification. The PAM50 classification system for breast cancer, which categorizes tumors into luminal A, luminal B, HER2-enriched, and basal-like subtypes based on gene expression patterns, exemplifies how clustering analysis can transform clinical practice [40]. More recently, consensus clustering approaches and non-negative matrix factorization have been applied to multi-omic datasets to identify integrative subtypes that capture complementary information from genomic, transcriptomic, and epigenomic data layers. These integrative subtyping approaches have revealed clinically significant patient subgroups that would be undetectable through analysis of any single data modality alone.</w:t>
      </w:r>
    </w:p>
    <w:p>
      <w:r>
        <w:rPr>
          <w:sz w:val="24"/>
        </w:rPr>
        <w:t xml:space="preserve">Association rule mining discovers co-occurrence patterns and relationships among clinical and molecular variables that may reveal underlying biological mechanisms or therapeutic opportunities [41]. The Apriori algorithm and FP-growth methods identify frequent itemsets and generate association rules with confidence and support metrics that quantify the strength of discovered relationships. In cancer research, association rule mining has revealed relationships between genetic mutations and drug sensitivity, between comorbidity patterns and treatment outcomes, and between lifestyle factors and cancer risk profiles. Sequential pattern mining extends these approaches to temporal data, identifying characteristic sequences of clinical events that precede disease progression or treatment response.</w:t>
      </w:r>
    </w:p>
    <w:p>
      <w:r>
        <w:rPr>
          <w:sz w:val="24"/>
        </w:rPr>
        <w:t xml:space="preserve">Hidden pattern identification in complex cancer datasets has been advanced through deep generative models including variational autoencoders and generative adversarial networks [42]. These models learn low-dimensional latent representations that capture the essential variation in high-dimensional molecular data, enabling visualization of disease trajectories, identification of transitional cell states, and generation of synthetic data for augmentation purposes. Self-supervised learning approaches that learn representations from unlabeled data have shown particular promise for leveraging the vast quantities of unannotated biomedical data available in clinical repositories. Contrastive learning frameworks train models to distinguish positive pairs from negative pairs in the absence of explicit labels, learning representations that capture semantically meaningful similarities and differences between patient profiles or molecular signatures.</w:t>
      </w:r>
    </w:p>
    <w:p>
      <w:pPr>
        <w:pStyle w:val="Heading2"/>
      </w:pPr>
      <w:r>
        <w:rPr>
          <w:b/>
        </w:rPr>
        <w:t xml:space="preserve">2.3 Feature Selection and Dimensionality Reduction</w:t>
      </w:r>
    </w:p>
    <w:p>
      <w:r>
        <w:rPr>
          <w:sz w:val="24"/>
        </w:rPr>
        <w:t xml:space="preserve">The identification of clinically relevant biomarkers and features from high-dimensional cancer datasets represents a critical challenge in computational oncology [43]. Feature selection methods systematically evaluate and select subsets of variables that are most informative for prediction tasks while eliminating redundant or irrelevant features that may degrade model performance. Filter methods assess individual feature relevance using statistical measures such as mutual information, chi-squared statistics, and correlation coefficients. Wrapper methods evaluate feature subsets by training and testing models iteratively, while embedded methods incorporate feature selection within the model training process through regularization penalties [44]. The choice between these approaches involves trade-offs between computational cost, optimality of the selected feature set, and dependence on specific classifier architectures.</w:t>
      </w:r>
    </w:p>
    <w:p>
      <w:r>
        <w:rPr>
          <w:sz w:val="24"/>
        </w:rPr>
        <w:t xml:space="preserve">Principal component analysis and other linear dimensionality reduction techniques project high-dimensional data into lower-dimensional spaces that preserve maximum variance. In cancer genomics, PCA has been widely applied for batch effect correction, population stratification, and visualization of molecular variation across tumor samples [45]. Non-linear dimensionality reduction methods including t-distributed stochastic neighbor embedding and Uniform Manifold Approximation and Projection have become essential tools for visualizing single-cell transcriptomic data and identifying cell populations within the tumor microenvironment. These visualization methods enable researchers to explore the continuous landscape of cellular states within tumors, revealing gradients of differentiation, stress responses, and immune activation that characterize the complex tumor ecosystem.</w:t>
      </w:r>
    </w:p>
    <w:p>
      <w:r>
        <w:rPr>
          <w:sz w:val="24"/>
        </w:rPr>
        <w:t xml:space="preserve">Feature engineering for improving model accuracy and interpretability involves domain-informed construction of derived variables that capture relevant biological or clinical relationships [46]. In cancer imaging, radiomic features including texture measures, shape descriptors, and intensity histograms encode quantitative information that may not be apparent through visual inspection. In genomic applications, pathway-level aggregation of gene expression values, mutational signature extraction, and network-based feature construction incorporate biological knowledge to create more interpretable and biologically meaningful features. The construction of meta-features that summarize complex data patterns at higher levels of abstraction reduces dimensionality while preserving biologically relevant information, facilitating both model performance and clinical interpretability.</w:t>
      </w:r>
    </w:p>
    <w:p>
      <w:r>
        <w:rPr>
          <w:sz w:val="24"/>
        </w:rPr>
        <w:t xml:space="preserve">Sparse representation learning methods, including sparse autoencoders and dictionary learning algorithms, identify compact feature representations that capture essential data characteristics with minimal redundancy. These methods are particularly valuable for cancer genomics applications where identifying a small number of informative genes from thousands of candidates is essential for practical biomarker panel development. Multi-kernel learning approaches that combine multiple feature representations with optimally weighted kernels leverage complementary information from diverse feature spaces, achieving superior performance compared to single-feature-space methods.</w:t>
      </w:r>
    </w:p>
    <w:p>
      <w:r>
        <w:rPr>
          <w:sz w:val="24"/>
        </w:rPr>
        <w:t xml:space="preserve">Figure 2 further demonstrates how these feature selection and dimensionality reduction approaches integrate within the broader taxonomy of data mining techniques for cancer research. The selection of appropriate dimensionality reduction strategies depends on dataset characteristics, analytical objectives, and computational constraints, requiring careful consideration of the trade-offs between information preservation, computational efficiency, and interpretability [47]. Table 3 summarizes the principal dimensionality reduction and feature selection techniques with their applications in cancer data analytics.</w:t>
      </w:r>
    </w:p>
    <w:p>
      <w:pPr>
        <w:spacing w:before="240" w:after="120"/>
      </w:pPr>
      <w:r>
        <w:rPr>
          <w:b/>
          <w:sz w:val="22"/>
        </w:rPr>
        <w:t>Table 3. Dimensionality Reduction and Feature Selection Techniques in Cancer Analytics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shd w:val="clear" w:color="auto" w:fill="D9E2F3"/>
          </w:tcPr>
          <w:p>
            <w:pPr>
              <w:jc w:val="center"/>
            </w:pPr>
            <w:r>
              <w:rPr>
                <w:b/>
                <w:sz w:val="20"/>
              </w:rPr>
              <w:t>Technique</w:t>
            </w:r>
          </w:p>
        </w:tc>
        <w:tc>
          <w:tcPr>
            <w:tcW w:w="1800" w:type="dxa"/>
            <w:shd w:val="clear" w:color="auto" w:fill="D9E2F3"/>
          </w:tcPr>
          <w:p>
            <w:pPr>
              <w:jc w:val="center"/>
            </w:pPr>
            <w:r>
              <w:rPr>
                <w:b/>
                <w:sz w:val="20"/>
              </w:rPr>
              <w:t>Category</w:t>
            </w:r>
          </w:p>
        </w:tc>
        <w:tc>
          <w:tcPr>
            <w:tcW w:w="1800" w:type="dxa"/>
            <w:shd w:val="clear" w:color="auto" w:fill="D9E2F3"/>
          </w:tcPr>
          <w:p>
            <w:pPr>
              <w:jc w:val="center"/>
            </w:pPr>
            <w:r>
              <w:rPr>
                <w:b/>
                <w:sz w:val="20"/>
              </w:rPr>
              <w:t>Key Advantages</w:t>
            </w:r>
          </w:p>
        </w:tc>
        <w:tc>
          <w:tcPr>
            <w:tcW w:w="1800" w:type="dxa"/>
            <w:shd w:val="clear" w:color="auto" w:fill="D9E2F3"/>
          </w:tcPr>
          <w:p>
            <w:pPr>
              <w:jc w:val="center"/>
            </w:pPr>
            <w:r>
              <w:rPr>
                <w:b/>
                <w:sz w:val="20"/>
              </w:rPr>
              <w:t>Limitations</w:t>
            </w:r>
          </w:p>
        </w:tc>
        <w:tc>
          <w:tcPr>
            <w:tcW w:w="1800" w:type="dxa"/>
            <w:shd w:val="clear" w:color="auto" w:fill="D9E2F3"/>
          </w:tcPr>
          <w:p>
            <w:pPr>
              <w:jc w:val="center"/>
            </w:pPr>
            <w:r>
              <w:rPr>
                <w:b/>
                <w:sz w:val="20"/>
              </w:rPr>
              <w:t>Cancer Applications</w:t>
            </w:r>
          </w:p>
        </w:tc>
      </w:tr>
      <w:tr>
        <w:tc>
          <w:tcPr>
            <w:tcW w:w="1800" w:type="dxa"/>
          </w:tcPr>
          <w:p>
            <w:r>
              <w:rPr>
                <w:sz w:val="20"/>
              </w:rPr>
              <w:t xml:space="preserve">Principal Component Analysis</w:t>
            </w:r>
          </w:p>
        </w:tc>
        <w:tc>
          <w:tcPr>
            <w:tcW w:w="1800" w:type="dxa"/>
          </w:tcPr>
          <w:p>
            <w:r>
              <w:rPr>
                <w:sz w:val="20"/>
              </w:rPr>
              <w:t xml:space="preserve">Linear DR</w:t>
            </w:r>
          </w:p>
        </w:tc>
        <w:tc>
          <w:tcPr>
            <w:tcW w:w="1800" w:type="dxa"/>
          </w:tcPr>
          <w:p>
            <w:r>
              <w:rPr>
                <w:sz w:val="20"/>
              </w:rPr>
              <w:t xml:space="preserve">Fast, interpretable variance</w:t>
            </w:r>
          </w:p>
        </w:tc>
        <w:tc>
          <w:tcPr>
            <w:tcW w:w="1800" w:type="dxa"/>
          </w:tcPr>
          <w:p>
            <w:r>
              <w:rPr>
                <w:sz w:val="20"/>
              </w:rPr>
              <w:t xml:space="preserve">Linear assumptions</w:t>
            </w:r>
          </w:p>
        </w:tc>
        <w:tc>
          <w:tcPr>
            <w:tcW w:w="1800" w:type="dxa"/>
          </w:tcPr>
          <w:p>
            <w:r>
              <w:rPr>
                <w:sz w:val="20"/>
              </w:rPr>
              <w:t xml:space="preserve">Batch correction, visualization</w:t>
            </w:r>
          </w:p>
        </w:tc>
      </w:tr>
      <w:tr>
        <w:tc>
          <w:tcPr>
            <w:tcW w:w="1800" w:type="dxa"/>
          </w:tcPr>
          <w:p>
            <w:r>
              <w:rPr>
                <w:sz w:val="20"/>
              </w:rPr>
              <w:t xml:space="preserve">t-SNE</w:t>
            </w:r>
          </w:p>
        </w:tc>
        <w:tc>
          <w:tcPr>
            <w:tcW w:w="1800" w:type="dxa"/>
          </w:tcPr>
          <w:p>
            <w:r>
              <w:rPr>
                <w:sz w:val="20"/>
              </w:rPr>
              <w:t xml:space="preserve">Non-linear DR</w:t>
            </w:r>
          </w:p>
        </w:tc>
        <w:tc>
          <w:tcPr>
            <w:tcW w:w="1800" w:type="dxa"/>
          </w:tcPr>
          <w:p>
            <w:r>
              <w:rPr>
                <w:sz w:val="20"/>
              </w:rPr>
              <w:t xml:space="preserve">Excellent visualization</w:t>
            </w:r>
          </w:p>
        </w:tc>
        <w:tc>
          <w:tcPr>
            <w:tcW w:w="1800" w:type="dxa"/>
          </w:tcPr>
          <w:p>
            <w:r>
              <w:rPr>
                <w:sz w:val="20"/>
              </w:rPr>
              <w:t xml:space="preserve">Non-parametric, slow</w:t>
            </w:r>
          </w:p>
        </w:tc>
        <w:tc>
          <w:tcPr>
            <w:tcW w:w="1800" w:type="dxa"/>
          </w:tcPr>
          <w:p>
            <w:r>
              <w:rPr>
                <w:sz w:val="20"/>
              </w:rPr>
              <w:t xml:space="preserve">Single-cell analysis, subtype ID</w:t>
            </w:r>
          </w:p>
        </w:tc>
      </w:tr>
      <w:tr>
        <w:tc>
          <w:tcPr>
            <w:tcW w:w="1800" w:type="dxa"/>
          </w:tcPr>
          <w:p>
            <w:r>
              <w:rPr>
                <w:sz w:val="20"/>
              </w:rPr>
              <w:t xml:space="preserve">UMAP</w:t>
            </w:r>
          </w:p>
        </w:tc>
        <w:tc>
          <w:tcPr>
            <w:tcW w:w="1800" w:type="dxa"/>
          </w:tcPr>
          <w:p>
            <w:r>
              <w:rPr>
                <w:sz w:val="20"/>
              </w:rPr>
              <w:t xml:space="preserve">Non-linear DR</w:t>
            </w:r>
          </w:p>
        </w:tc>
        <w:tc>
          <w:tcPr>
            <w:tcW w:w="1800" w:type="dxa"/>
          </w:tcPr>
          <w:p>
            <w:r>
              <w:rPr>
                <w:sz w:val="20"/>
              </w:rPr>
              <w:t xml:space="preserve">Fast, preserves global structure</w:t>
            </w:r>
          </w:p>
        </w:tc>
        <w:tc>
          <w:tcPr>
            <w:tcW w:w="1800" w:type="dxa"/>
          </w:tcPr>
          <w:p>
            <w:r>
              <w:rPr>
                <w:sz w:val="20"/>
              </w:rPr>
              <w:t xml:space="preserve">Hyperparameter sensitive</w:t>
            </w:r>
          </w:p>
        </w:tc>
        <w:tc>
          <w:tcPr>
            <w:tcW w:w="1800" w:type="dxa"/>
          </w:tcPr>
          <w:p>
            <w:r>
              <w:rPr>
                <w:sz w:val="20"/>
              </w:rPr>
              <w:t xml:space="preserve">Single-cell, tumor heterogeneity</w:t>
            </w:r>
          </w:p>
        </w:tc>
      </w:tr>
      <w:tr>
        <w:tc>
          <w:tcPr>
            <w:tcW w:w="1800" w:type="dxa"/>
          </w:tcPr>
          <w:p>
            <w:r>
              <w:rPr>
                <w:sz w:val="20"/>
              </w:rPr>
              <w:t xml:space="preserve">LASSO Regression</w:t>
            </w:r>
          </w:p>
        </w:tc>
        <w:tc>
          <w:tcPr>
            <w:tcW w:w="1800" w:type="dxa"/>
          </w:tcPr>
          <w:p>
            <w:r>
              <w:rPr>
                <w:sz w:val="20"/>
              </w:rPr>
              <w:t xml:space="preserve">Embedded FS</w:t>
            </w:r>
          </w:p>
        </w:tc>
        <w:tc>
          <w:tcPr>
            <w:tcW w:w="1800" w:type="dxa"/>
          </w:tcPr>
          <w:p>
            <w:r>
              <w:rPr>
                <w:sz w:val="20"/>
              </w:rPr>
              <w:t xml:space="preserve">Automatic feature selection</w:t>
            </w:r>
          </w:p>
        </w:tc>
        <w:tc>
          <w:tcPr>
            <w:tcW w:w="1800" w:type="dxa"/>
          </w:tcPr>
          <w:p>
            <w:r>
              <w:rPr>
                <w:sz w:val="20"/>
              </w:rPr>
              <w:t xml:space="preserve">Linear model only</w:t>
            </w:r>
          </w:p>
        </w:tc>
        <w:tc>
          <w:tcPr>
            <w:tcW w:w="1800" w:type="dxa"/>
          </w:tcPr>
          <w:p>
            <w:r>
              <w:rPr>
                <w:sz w:val="20"/>
              </w:rPr>
              <w:t xml:space="preserve">Biomarker identification</w:t>
            </w:r>
          </w:p>
        </w:tc>
      </w:tr>
      <w:tr>
        <w:tc>
          <w:tcPr>
            <w:tcW w:w="1800" w:type="dxa"/>
          </w:tcPr>
          <w:p>
            <w:r>
              <w:rPr>
                <w:sz w:val="20"/>
              </w:rPr>
              <w:t xml:space="preserve">Mutual Information</w:t>
            </w:r>
          </w:p>
        </w:tc>
        <w:tc>
          <w:tcPr>
            <w:tcW w:w="1800" w:type="dxa"/>
          </w:tcPr>
          <w:p>
            <w:r>
              <w:rPr>
                <w:sz w:val="20"/>
              </w:rPr>
              <w:t xml:space="preserve">Filter FS</w:t>
            </w:r>
          </w:p>
        </w:tc>
        <w:tc>
          <w:tcPr>
            <w:tcW w:w="1800" w:type="dxa"/>
          </w:tcPr>
          <w:p>
            <w:r>
              <w:rPr>
                <w:sz w:val="20"/>
              </w:rPr>
              <w:t xml:space="preserve">Model-agnostic, fast</w:t>
            </w:r>
          </w:p>
        </w:tc>
        <w:tc>
          <w:tcPr>
            <w:tcW w:w="1800" w:type="dxa"/>
          </w:tcPr>
          <w:p>
            <w:r>
              <w:rPr>
                <w:sz w:val="20"/>
              </w:rPr>
              <w:t xml:space="preserve">Pairwise only</w:t>
            </w:r>
          </w:p>
        </w:tc>
        <w:tc>
          <w:tcPr>
            <w:tcW w:w="1800" w:type="dxa"/>
          </w:tcPr>
          <w:p>
            <w:r>
              <w:rPr>
                <w:sz w:val="20"/>
              </w:rPr>
              <w:t xml:space="preserve">Gene ranking, initial screening</w:t>
            </w:r>
          </w:p>
        </w:tc>
      </w:tr>
      <w:tr>
        <w:tc>
          <w:tcPr>
            <w:tcW w:w="1800" w:type="dxa"/>
          </w:tcPr>
          <w:p>
            <w:r>
              <w:rPr>
                <w:sz w:val="20"/>
              </w:rPr>
              <w:t xml:space="preserve">Recursive Feature Elimination</w:t>
            </w:r>
          </w:p>
        </w:tc>
        <w:tc>
          <w:tcPr>
            <w:tcW w:w="1800" w:type="dxa"/>
          </w:tcPr>
          <w:p>
            <w:r>
              <w:rPr>
                <w:sz w:val="20"/>
              </w:rPr>
              <w:t xml:space="preserve">Wrapper FS</w:t>
            </w:r>
          </w:p>
        </w:tc>
        <w:tc>
          <w:tcPr>
            <w:tcW w:w="1800" w:type="dxa"/>
          </w:tcPr>
          <w:p>
            <w:r>
              <w:rPr>
                <w:sz w:val="20"/>
              </w:rPr>
              <w:t xml:space="preserve">Optimal subset selection</w:t>
            </w:r>
          </w:p>
        </w:tc>
        <w:tc>
          <w:tcPr>
            <w:tcW w:w="1800" w:type="dxa"/>
          </w:tcPr>
          <w:p>
            <w:r>
              <w:rPr>
                <w:sz w:val="20"/>
              </w:rPr>
              <w:t xml:space="preserve">Computationally expensive</w:t>
            </w:r>
          </w:p>
        </w:tc>
        <w:tc>
          <w:tcPr>
            <w:tcW w:w="1800" w:type="dxa"/>
          </w:tcPr>
          <w:p>
            <w:r>
              <w:rPr>
                <w:sz w:val="20"/>
              </w:rPr>
              <w:t xml:space="preserve">Clinical variable selection</w:t>
            </w:r>
          </w:p>
        </w:tc>
      </w:tr>
      <w:tr>
        <w:tc>
          <w:tcPr>
            <w:tcW w:w="1800" w:type="dxa"/>
          </w:tcPr>
          <w:p>
            <w:r>
              <w:rPr>
                <w:sz w:val="20"/>
              </w:rPr>
              <w:t xml:space="preserve">Autoencoders</w:t>
            </w:r>
          </w:p>
        </w:tc>
        <w:tc>
          <w:tcPr>
            <w:tcW w:w="1800" w:type="dxa"/>
          </w:tcPr>
          <w:p>
            <w:r>
              <w:rPr>
                <w:sz w:val="20"/>
              </w:rPr>
              <w:t xml:space="preserve">Deep learning DR</w:t>
            </w:r>
          </w:p>
        </w:tc>
        <w:tc>
          <w:tcPr>
            <w:tcW w:w="1800" w:type="dxa"/>
          </w:tcPr>
          <w:p>
            <w:r>
              <w:rPr>
                <w:sz w:val="20"/>
              </w:rPr>
              <w:t xml:space="preserve">Non-linear, flexible</w:t>
            </w:r>
          </w:p>
        </w:tc>
        <w:tc>
          <w:tcPr>
            <w:tcW w:w="1800" w:type="dxa"/>
          </w:tcPr>
          <w:p>
            <w:r>
              <w:rPr>
                <w:sz w:val="20"/>
              </w:rPr>
              <w:t xml:space="preserve">Black-box, overfitting risk</w:t>
            </w:r>
          </w:p>
        </w:tc>
        <w:tc>
          <w:tcPr>
            <w:tcW w:w="1800" w:type="dxa"/>
          </w:tcPr>
          <w:p>
            <w:r>
              <w:rPr>
                <w:sz w:val="20"/>
              </w:rPr>
              <w:t xml:space="preserve">Latent representation learning</w:t>
            </w:r>
          </w:p>
        </w:tc>
      </w:tr>
      <w:tr>
        <w:tc>
          <w:tcPr>
            <w:tcW w:w="1800" w:type="dxa"/>
          </w:tcPr>
          <w:p>
            <w:r>
              <w:rPr>
                <w:sz w:val="20"/>
              </w:rPr>
              <w:t xml:space="preserve">Variational Autoencoders</w:t>
            </w:r>
          </w:p>
        </w:tc>
        <w:tc>
          <w:tcPr>
            <w:tcW w:w="1800" w:type="dxa"/>
          </w:tcPr>
          <w:p>
            <w:r>
              <w:rPr>
                <w:sz w:val="20"/>
              </w:rPr>
              <w:t xml:space="preserve">Generative DR</w:t>
            </w:r>
          </w:p>
        </w:tc>
        <w:tc>
          <w:tcPr>
            <w:tcW w:w="1800" w:type="dxa"/>
          </w:tcPr>
          <w:p>
            <w:r>
              <w:rPr>
                <w:sz w:val="20"/>
              </w:rPr>
              <w:t xml:space="preserve">Probabilistic, generative</w:t>
            </w:r>
          </w:p>
        </w:tc>
        <w:tc>
          <w:tcPr>
            <w:tcW w:w="1800" w:type="dxa"/>
          </w:tcPr>
          <w:p>
            <w:r>
              <w:rPr>
                <w:sz w:val="20"/>
              </w:rPr>
              <w:t xml:space="preserve">Training complexity</w:t>
            </w:r>
          </w:p>
        </w:tc>
        <w:tc>
          <w:tcPr>
            <w:tcW w:w="1800" w:type="dxa"/>
          </w:tcPr>
          <w:p>
            <w:r>
              <w:rPr>
                <w:sz w:val="20"/>
              </w:rPr>
              <w:t xml:space="preserve">Drug response prediction</w:t>
            </w:r>
          </w:p>
        </w:tc>
      </w:tr>
    </w:tbl>
    <w:p>
      <w:pPr>
        <w:spacing w:after="200"/>
      </w:pPr>
    </w:p>
    <w:p>
      <w:pPr>
        <w:pStyle w:val="Heading1"/>
      </w:pPr>
      <w:r>
        <w:rPr>
          <w:b/>
        </w:rPr>
        <w:t xml:space="preserve">3. Data Preprocessing and Intelligent Frameworks for Reliable Cancer Prediction</w:t>
      </w:r>
    </w:p>
    <w:p>
      <w:r>
        <w:rPr>
          <w:sz w:val="24"/>
        </w:rPr>
        <w:t xml:space="preserve">The development of reliable and clinically applicable cancer prediction models requires meticulous attention to data preprocessing, quality assurance, and the design of intelligent analytical frameworks. Raw biomedical data collected from clinical settings invariably contains imperfections that can compromise model performance if not properly addressed through systematic preprocessing pipelines. This section examines the critical stages of data preparation and the advanced computational frameworks that enable trustworthy and reproducible cancer prediction.</w:t>
      </w:r>
    </w:p>
    <w:p>
      <w:pPr>
        <w:pStyle w:val="Heading2"/>
      </w:pPr>
      <w:r>
        <w:rPr>
          <w:b/>
        </w:rPr>
        <w:t xml:space="preserve">3.1 Biomedical Data Cleaning and Transformation</w:t>
      </w:r>
    </w:p>
    <w:p>
      <w:r>
        <w:rPr>
          <w:sz w:val="24"/>
        </w:rPr>
        <w:t xml:space="preserve">Data cleaning and transformation constitute essential preliminary steps in developing reliable AI models for cancer prediction [1]. Raw biomedical data invariably contains noise, errors, inconsistencies, and missing values that can significantly compromise model performance if not properly addressed. Missing data handling strategies must consider the mechanism of missingness, whether values are missing completely at random, missing at random conditional on observed variables, or missing not at random due to systematic factors [2]. Complete case analysis, mean imputation, and single imputation methods may introduce bias, while multiple imputation and maximum likelihood approaches provide more principled solutions that properly account for uncertainty. Advanced deep learning imputation methods, including denoising autoencoders and generative adversarial imputation networks, leverage complex data patterns to generate plausible imputed values that respect the multivariate structure of clinical datasets.</w:t>
      </w:r>
    </w:p>
    <w:p>
      <w:r>
        <w:rPr>
          <w:sz w:val="24"/>
        </w:rPr>
        <w:t xml:space="preserve">Data normalization and standardization ensure that features measured on different scales contribute appropriately to model training. Z-score standardization transforms features to have zero mean and unit variance, while min-max normalization scales values to a specified range [3]. For genomic data, quantile normalization, variance stabilizing transformations, and batch effect correction using methods such as ComBat are essential for ensuring comparability across experimental batches and sequencing platforms. Robust normalization techniques that are resistant to outliers are particularly important for clinical laboratory data where extreme values may represent either measurement errors or genuine pathological states. The selection of appropriate normalization strategies must be informed by the distributional characteristics of the data and the assumptions of downstream analytical methods.</w:t>
      </w:r>
    </w:p>
    <w:p>
      <w:r>
        <w:rPr>
          <w:sz w:val="24"/>
        </w:rPr>
        <w:t xml:space="preserve">Noise reduction techniques remove random variation and measurement artifacts that obscure underlying biological signals. Smoothing filters, wavelet denoising, and principal component-based noise reduction separate signal from noise in high-dimensional datasets. For medical imaging data, denoising convolutional neural networks learn to remove acquisition noise while preserving diagnostically relevant features. For time-series physiological data from wearable devices, Kalman filtering and moving average techniques reduce sensor noise while preserving clinically meaningful temporal patterns.</w:t>
      </w:r>
    </w:p>
    <w:p>
      <w:r>
        <w:rPr>
          <w:sz w:val="24"/>
        </w:rPr>
        <w:t xml:space="preserve">Feature engineering and data transformation strategies create derived variables that enhance the predictive capacity of machine learning models [4]. Log transformations address right-skewed distributions common in biomarker concentrations, while polynomial features capture non-linear relationships between predictor variables and clinical outcomes. Interaction terms model synergistic effects between variables, and temporal features extracted from longitudinal clinical data capture disease trajectory patterns. Domain-specific transformations informed by biological knowledge, such as gene set enrichment scores and pathway activation levels, incorporate mechanistic understanding into the modeling framework [5].</w:t>
      </w:r>
    </w:p>
    <w:p>
      <w:r>
        <w:rPr>
          <w:sz w:val="24"/>
        </w:rPr>
        <w:t xml:space="preserve">As shown in Figure 3, the data preprocessing pipeline for cancer analytics encompasses sequential stages of data cleaning, transformation, balancing, and quality assurance, each incorporating multiple specialized techniques tailored to the characteristics of biomedical data. This systematic preprocessing approach ensures that AI models are trained on high-quality, representative data that faithfully captures the underlying biological and clinical phenomena.</w:t>
      </w:r>
    </w:p>
    <w:p>
      <w:pPr>
        <w:jc w:val="center"/>
      </w:pPr>
      <w:r>
        <w:drawing>
          <wp:inline xmlns:wp="http://schemas.openxmlformats.org/drawingml/2006/wordprocessingDrawing" distT="0" distB="0" distL="0" distR="0">
            <wp:extent cx="5400000" cy="3600000"/>
            <wp:docPr id="3" name="Picture 3"/>
            <a:graphic xmlns:a="http://schemas.openxmlformats.org/drawingml/2006/main">
              <a:graphicData uri="http://schemas.openxmlformats.org/drawingml/2006/picture">
                <pic:pic xmlns:pic="http://schemas.openxmlformats.org/drawingml/2006/picture">
                  <pic:nvPicPr>
                    <pic:cNvPr id="3" name="image3.png"/>
                    <pic:cNvPicPr/>
                  </pic:nvPicPr>
                  <pic:blipFill>
                    <a:blip xmlns:r="http://schemas.openxmlformats.org/officeDocument/2006/relationships" r:embed="rId12"/>
                    <a:stretch>
                      <a:fillRect/>
                    </a:stretch>
                  </pic:blipFill>
                  <pic:spPr>
                    <a:xfrm>
                      <a:off x="0" y="0"/>
                      <a:ext cx="5400000" cy="3600000"/>
                    </a:xfrm>
                    <a:prstGeom prst="rect">
                      <a:avLst/>
                    </a:prstGeom>
                  </pic:spPr>
                </pic:pic>
              </a:graphicData>
            </a:graphic>
          </wp:inline>
        </w:drawing>
      </w:r>
    </w:p>
    <w:p>
      <w:pPr>
        <w:pStyle w:val="Caption"/>
        <w:jc w:val="center"/>
      </w:pPr>
      <w:r>
        <w:rPr>
          <w:i/>
          <w:sz w:val="20"/>
        </w:rPr>
        <w:t xml:space="preserve">Figure 3. Data Preprocessing Pipeline for Cancer Analytics: Sequential stages of raw data cleaning, transformation, class balancing, and quality assurance, each incorporating specialized techniques for biomedical data preparation.</w:t>
      </w:r>
    </w:p>
    <w:p>
      <w:pPr>
        <w:pStyle w:val="Heading2"/>
      </w:pPr>
      <w:r>
        <w:rPr>
          <w:b/>
        </w:rPr>
        <w:t xml:space="preserve">3.2 Class Balancing and Data Augmentation</w:t>
      </w:r>
    </w:p>
    <w:p>
      <w:r>
        <w:rPr>
          <w:sz w:val="24"/>
        </w:rPr>
        <w:t xml:space="preserve">Imbalanced class distributions represent a pervasive challenge in cancer datasets, where positive cases (malignant samples, treatment responders, or rare subtypes) are substantially outnumbered by negative cases [6]. Standard machine learning algorithms trained on imbalanced datasets tend to exhibit strong bias toward the majority class, resulting in poor sensitivity for detecting the clinically important minority class. The severity of class imbalance in cancer datasets varies considerably, ranging from moderate ratios in common cancer screening applications to extreme ratios exceeding 1:1000 in rare disease detection and early cancer identification scenarios. Understanding the degree and nature of class imbalance is essential for selecting appropriate mitigation strategies that preserve model performance on the minority class without sacrificing specificity.</w:t>
      </w:r>
    </w:p>
    <w:p>
      <w:r>
        <w:rPr>
          <w:sz w:val="24"/>
        </w:rPr>
        <w:t xml:space="preserve">Sampling techniques address class imbalance by modifying the training data distribution. Random oversampling duplicates minority class instances, while random undersampling removes majority class instances to achieve balanced proportions [7]. The Synthetic Minority Over-sampling Technique generates synthetic minority class examples by interpolating between existing minority instances and their nearest neighbors, creating diverse training examples that expand the decision boundary for minority class detection. Advanced variants including Borderline-SMOTE, ADASYN, and SMOTE-ENN combine synthetic generation with informed sampling strategies to focus on difficult classification regions. Cluster-based oversampling approaches generate synthetic examples within identified minority class clusters, preserving the multi-modal structure of the minority class distribution.</w:t>
      </w:r>
    </w:p>
    <w:p>
      <w:r>
        <w:rPr>
          <w:sz w:val="24"/>
        </w:rPr>
        <w:t xml:space="preserve">Cost-sensitive learning approaches modify the training objective to assign higher misclassification penalties to the minority class, encouraging the model to prioritize correct identification of rare positive cases. Focal loss functions that down-weight easy examples and concentrate learning on hard misclassified instances have proven effective for training deep learning models on imbalanced datasets. Class-weighted cross-entropy loss scales the contribution of each class inversely proportional to its frequency, providing a simple yet effective mechanism for addressing moderate class imbalance.</w:t>
      </w:r>
    </w:p>
    <w:p>
      <w:r>
        <w:rPr>
          <w:sz w:val="24"/>
        </w:rPr>
        <w:t xml:space="preserve">Image and biomedical data augmentation for robust model development applies domain-appropriate transformations to existing training examples to increase effective dataset size and improve model generalization [8]. For medical imaging applications, geometric transformations including rotation, flipping, scaling, and elastic deformation generate plausible image variants while preserving diagnostic content. Color augmentation, noise injection, and resolution variation improve robustness to acquisition variability. For genomic data, dropout augmentation, feature masking, and mixup strategies create synthetic training examples that enhance model robustness.</w:t>
      </w:r>
    </w:p>
    <w:p>
      <w:r>
        <w:rPr>
          <w:sz w:val="24"/>
        </w:rPr>
        <w:t xml:space="preserve">Generative adversarial networks have emerged as powerful tools for synthesizing realistic biomedical data that can supplement limited training datasets [9]. Conditional GANs generate class-specific synthetic examples that augment minority classes, while progressive GANs produce high-resolution synthetic medical images suitable for training deep learning classifiers. However, careful validation is required to ensure that synthetic data faithfully represents the true data distribution and does not introduce spurious correlations or artifacts that could mislead model training. Quality assessment metrics including Frechet Inception Distance, Inception Score, and domain-specific clinical validation measures are employed to evaluate the fidelity of generated synthetic data. Privacy-preserving synthetic data generation represents a particularly promising application, where generative models trained on sensitive patient data produce synthetic datasets that preserve statistical properties while eliminating re-identification risk, enabling broader data sharing for collaborative cancer research.</w:t>
      </w:r>
    </w:p>
    <w:p>
      <w:pPr>
        <w:pStyle w:val="Heading2"/>
      </w:pPr>
      <w:r>
        <w:rPr>
          <w:b/>
        </w:rPr>
        <w:t xml:space="preserve">3.3 Explainable, Federated, and Automated AI for Clinical Applications</w:t>
      </w:r>
    </w:p>
    <w:p>
      <w:r>
        <w:rPr>
          <w:sz w:val="24"/>
        </w:rPr>
        <w:t xml:space="preserve">Explainable artificial intelligence has emerged as a critical requirement for clinical deployment of cancer prediction models, addressing the fundamental need for transparency and interpretability in medical decision-making [10]. Black-box deep learning models, despite their superior predictive performance, face significant barriers to clinical adoption due to their inability to provide human-understandable explanations for individual predictions. Post-hoc explanation methods including SHAP (SHapley Additive exPlanations), LIME (Local Interpretable Model-agnostic Explanations), and attention visualization techniques generate feature importance attributions that identify which input variables most strongly influence model predictions [11]. These explanation methods provide clinicians with actionable insights into model reasoning, enabling assessment of whether predictions are based on clinically plausible factors and facilitating identification of potential model failures or biases.</w:t>
      </w:r>
    </w:p>
    <w:p>
      <w:r>
        <w:rPr>
          <w:sz w:val="24"/>
        </w:rPr>
        <w:t xml:space="preserve">Inherently interpretable models, including rule-based systems, decision trees, and generalized additive models, offer transparency by design at the potential cost of reduced predictive capacity [12]. Recent advances in neural additive models and concept bottleneck models seek to combine the representational power of neural networks with the interpretability of additive models. For cancer imaging applications, gradient-weighted class activation mapping and concept-based explanations highlight spatial regions and semantic concepts that drive model predictions, enabling clinicians to assess whether model reasoning aligns with medical knowledge. The development of human-centered explainability approaches that tailor explanations to the cognitive needs and domain expertise of different clinical users represents an important direction for making AI explanations truly useful in clinical practice.</w:t>
      </w:r>
    </w:p>
    <w:p>
      <w:r>
        <w:rPr>
          <w:sz w:val="24"/>
        </w:rPr>
        <w:t xml:space="preserve">The integration of uncertainty quantification with explainability provides clinicians with information about both what the model predicts and how confident it is in those predictions. Bayesian neural networks, Monte Carlo dropout, and ensemble-based methods estimate predictive uncertainty, enabling models to communicate when they encounter cases outside their training distribution. Conformal prediction methods provide distribution-free prediction intervals with guaranteed coverage properties, offering statistically rigorous uncertainty estimates that support informed clinical decision-making.</w:t>
      </w:r>
    </w:p>
    <w:p>
      <w:r>
        <w:rPr>
          <w:sz w:val="24"/>
        </w:rPr>
        <w:t xml:space="preserve">Federated learning addresses the critical challenge of training AI models across distributed healthcare institutions without centralizing sensitive patient data [13]. In the federated paradigm, local models are trained independently at each institution on private patient data, and only model parameter updates are shared with a central coordinating server. This approach preserves data privacy while enabling collaborative model development across diverse patient populations, addressing both ethical concerns and regulatory requirements under frameworks such as HIPAA and GDPR [14]. Federated learning has been successfully applied to multi-institutional cancer imaging studies, demonstrating performance comparable to centralized training while maintaining strict data governance. Federated transfer learning extends this paradigm by enabling knowledge transfer across institutions with heterogeneous data distributions, addressing the statistical challenge of non-identically distributed data across clinical sites.</w:t>
      </w:r>
    </w:p>
    <w:p>
      <w:r>
        <w:rPr>
          <w:sz w:val="24"/>
        </w:rPr>
        <w:t xml:space="preserve">Automated machine learning pipelines for scalable clinical applications streamline the model development process by automating hyperparameter optimization, architecture search, and feature engineering [15]. AutoML frameworks including Auto-sklearn, AutoKeras, and Google Cloud AutoML enable clinical researchers without extensive machine learning expertise to develop competitive predictive models. Neural architecture search has identified novel network topologies for medical imaging that surpass hand-designed architectures. However, automated approaches require careful oversight to ensure that selected models meet clinical requirements for interpretability, fairness, and robustness [16]. The integration of domain constraints and clinical validation criteria into automated search procedures ensures that automatically discovered models satisfy the multifaceted requirements of clinical deployment beyond mere predictive accuracy.</w:t>
      </w:r>
    </w:p>
    <w:p>
      <w:r>
        <w:rPr>
          <w:sz w:val="24"/>
        </w:rPr>
        <w:t xml:space="preserve">Figure 3 further illustrates how these intelligent frameworks, including explainable AI, federated learning, and automated ML, integrate within the comprehensive data preprocessing and modeling pipeline for cancer analytics. Table 4 provides a comparative overview of explainable AI approaches and their applications in cancer precision medicine.</w:t>
      </w:r>
    </w:p>
    <w:p>
      <w:pPr>
        <w:spacing w:before="240" w:after="120"/>
      </w:pPr>
      <w:r>
        <w:rPr>
          <w:b/>
          <w:sz w:val="22"/>
        </w:rPr>
        <w:t>Table 4. Explainable AI Approaches for Cancer Precision Medicine</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1800" w:type="dxa"/>
            <w:shd w:val="clear" w:color="auto" w:fill="D9E2F3"/>
          </w:tcPr>
          <w:p>
            <w:pPr>
              <w:jc w:val="center"/>
            </w:pPr>
            <w:r>
              <w:rPr>
                <w:b/>
                <w:sz w:val="20"/>
              </w:rPr>
              <w:t>XAI Method</w:t>
            </w:r>
          </w:p>
        </w:tc>
        <w:tc>
          <w:tcPr>
            <w:tcW w:w="1800" w:type="dxa"/>
            <w:shd w:val="clear" w:color="auto" w:fill="D9E2F3"/>
          </w:tcPr>
          <w:p>
            <w:pPr>
              <w:jc w:val="center"/>
            </w:pPr>
            <w:r>
              <w:rPr>
                <w:b/>
                <w:sz w:val="20"/>
              </w:rPr>
              <w:t>Explanation Type</w:t>
            </w:r>
          </w:p>
        </w:tc>
        <w:tc>
          <w:tcPr>
            <w:tcW w:w="1800" w:type="dxa"/>
            <w:shd w:val="clear" w:color="auto" w:fill="D9E2F3"/>
          </w:tcPr>
          <w:p>
            <w:pPr>
              <w:jc w:val="center"/>
            </w:pPr>
            <w:r>
              <w:rPr>
                <w:b/>
                <w:sz w:val="20"/>
              </w:rPr>
              <w:t>Model Compatibility</w:t>
            </w:r>
          </w:p>
        </w:tc>
        <w:tc>
          <w:tcPr>
            <w:tcW w:w="1800" w:type="dxa"/>
            <w:shd w:val="clear" w:color="auto" w:fill="D9E2F3"/>
          </w:tcPr>
          <w:p>
            <w:pPr>
              <w:jc w:val="center"/>
            </w:pPr>
            <w:r>
              <w:rPr>
                <w:b/>
                <w:sz w:val="20"/>
              </w:rPr>
              <w:t>Clinical Application</w:t>
            </w:r>
          </w:p>
        </w:tc>
        <w:tc>
          <w:tcPr>
            <w:tcW w:w="1800" w:type="dxa"/>
            <w:shd w:val="clear" w:color="auto" w:fill="D9E2F3"/>
          </w:tcPr>
          <w:p>
            <w:pPr>
              <w:jc w:val="center"/>
            </w:pPr>
            <w:r>
              <w:rPr>
                <w:b/>
                <w:sz w:val="20"/>
              </w:rPr>
              <w:t>Interpretability Level</w:t>
            </w:r>
          </w:p>
        </w:tc>
      </w:tr>
      <w:tr>
        <w:tc>
          <w:tcPr>
            <w:tcW w:w="1800" w:type="dxa"/>
          </w:tcPr>
          <w:p>
            <w:r>
              <w:rPr>
                <w:sz w:val="20"/>
              </w:rPr>
              <w:t xml:space="preserve">SHAP</w:t>
            </w:r>
          </w:p>
        </w:tc>
        <w:tc>
          <w:tcPr>
            <w:tcW w:w="1800" w:type="dxa"/>
          </w:tcPr>
          <w:p>
            <w:r>
              <w:rPr>
                <w:sz w:val="20"/>
              </w:rPr>
              <w:t xml:space="preserve">Feature attribution</w:t>
            </w:r>
          </w:p>
        </w:tc>
        <w:tc>
          <w:tcPr>
            <w:tcW w:w="1800" w:type="dxa"/>
          </w:tcPr>
          <w:p>
            <w:r>
              <w:rPr>
                <w:sz w:val="20"/>
              </w:rPr>
              <w:t xml:space="preserve">Model-agnostic</w:t>
            </w:r>
          </w:p>
        </w:tc>
        <w:tc>
          <w:tcPr>
            <w:tcW w:w="1800" w:type="dxa"/>
          </w:tcPr>
          <w:p>
            <w:r>
              <w:rPr>
                <w:sz w:val="20"/>
              </w:rPr>
              <w:t xml:space="preserve">Treatment response prediction</w:t>
            </w:r>
          </w:p>
        </w:tc>
        <w:tc>
          <w:tcPr>
            <w:tcW w:w="1800" w:type="dxa"/>
          </w:tcPr>
          <w:p>
            <w:r>
              <w:rPr>
                <w:sz w:val="20"/>
              </w:rPr>
              <w:t xml:space="preserve">High</w:t>
            </w:r>
          </w:p>
        </w:tc>
      </w:tr>
      <w:tr>
        <w:tc>
          <w:tcPr>
            <w:tcW w:w="1800" w:type="dxa"/>
          </w:tcPr>
          <w:p>
            <w:r>
              <w:rPr>
                <w:sz w:val="20"/>
              </w:rPr>
              <w:t xml:space="preserve">LIME</w:t>
            </w:r>
          </w:p>
        </w:tc>
        <w:tc>
          <w:tcPr>
            <w:tcW w:w="1800" w:type="dxa"/>
          </w:tcPr>
          <w:p>
            <w:r>
              <w:rPr>
                <w:sz w:val="20"/>
              </w:rPr>
              <w:t xml:space="preserve">Local surrogate</w:t>
            </w:r>
          </w:p>
        </w:tc>
        <w:tc>
          <w:tcPr>
            <w:tcW w:w="1800" w:type="dxa"/>
          </w:tcPr>
          <w:p>
            <w:r>
              <w:rPr>
                <w:sz w:val="20"/>
              </w:rPr>
              <w:t xml:space="preserve">Model-agnostic</w:t>
            </w:r>
          </w:p>
        </w:tc>
        <w:tc>
          <w:tcPr>
            <w:tcW w:w="1800" w:type="dxa"/>
          </w:tcPr>
          <w:p>
            <w:r>
              <w:rPr>
                <w:sz w:val="20"/>
              </w:rPr>
              <w:t xml:space="preserve">Individual diagnosis explanation</w:t>
            </w:r>
          </w:p>
        </w:tc>
        <w:tc>
          <w:tcPr>
            <w:tcW w:w="1800" w:type="dxa"/>
          </w:tcPr>
          <w:p>
            <w:r>
              <w:rPr>
                <w:sz w:val="20"/>
              </w:rPr>
              <w:t xml:space="preserve">High</w:t>
            </w:r>
          </w:p>
        </w:tc>
      </w:tr>
      <w:tr>
        <w:tc>
          <w:tcPr>
            <w:tcW w:w="1800" w:type="dxa"/>
          </w:tcPr>
          <w:p>
            <w:r>
              <w:rPr>
                <w:sz w:val="20"/>
              </w:rPr>
              <w:t xml:space="preserve">Grad-CAM</w:t>
            </w:r>
          </w:p>
        </w:tc>
        <w:tc>
          <w:tcPr>
            <w:tcW w:w="1800" w:type="dxa"/>
          </w:tcPr>
          <w:p>
            <w:r>
              <w:rPr>
                <w:sz w:val="20"/>
              </w:rPr>
              <w:t xml:space="preserve">Spatial attention</w:t>
            </w:r>
          </w:p>
        </w:tc>
        <w:tc>
          <w:tcPr>
            <w:tcW w:w="1800" w:type="dxa"/>
          </w:tcPr>
          <w:p>
            <w:r>
              <w:rPr>
                <w:sz w:val="20"/>
              </w:rPr>
              <w:t xml:space="preserve">CNN-specific</w:t>
            </w:r>
          </w:p>
        </w:tc>
        <w:tc>
          <w:tcPr>
            <w:tcW w:w="1800" w:type="dxa"/>
          </w:tcPr>
          <w:p>
            <w:r>
              <w:rPr>
                <w:sz w:val="20"/>
              </w:rPr>
              <w:t xml:space="preserve">Tumor localization in imaging</w:t>
            </w:r>
          </w:p>
        </w:tc>
        <w:tc>
          <w:tcPr>
            <w:tcW w:w="1800" w:type="dxa"/>
          </w:tcPr>
          <w:p>
            <w:r>
              <w:rPr>
                <w:sz w:val="20"/>
              </w:rPr>
              <w:t xml:space="preserve">Medium-High</w:t>
            </w:r>
          </w:p>
        </w:tc>
      </w:tr>
      <w:tr>
        <w:tc>
          <w:tcPr>
            <w:tcW w:w="1800" w:type="dxa"/>
          </w:tcPr>
          <w:p>
            <w:r>
              <w:rPr>
                <w:sz w:val="20"/>
              </w:rPr>
              <w:t xml:space="preserve">Attention Weights</w:t>
            </w:r>
          </w:p>
        </w:tc>
        <w:tc>
          <w:tcPr>
            <w:tcW w:w="1800" w:type="dxa"/>
          </w:tcPr>
          <w:p>
            <w:r>
              <w:rPr>
                <w:sz w:val="20"/>
              </w:rPr>
              <w:t xml:space="preserve">Self-attention maps</w:t>
            </w:r>
          </w:p>
        </w:tc>
        <w:tc>
          <w:tcPr>
            <w:tcW w:w="1800" w:type="dxa"/>
          </w:tcPr>
          <w:p>
            <w:r>
              <w:rPr>
                <w:sz w:val="20"/>
              </w:rPr>
              <w:t xml:space="preserve">Transformer-based</w:t>
            </w:r>
          </w:p>
        </w:tc>
        <w:tc>
          <w:tcPr>
            <w:tcW w:w="1800" w:type="dxa"/>
          </w:tcPr>
          <w:p>
            <w:r>
              <w:rPr>
                <w:sz w:val="20"/>
              </w:rPr>
              <w:t xml:space="preserve">Multi-omics integration</w:t>
            </w:r>
          </w:p>
        </w:tc>
        <w:tc>
          <w:tcPr>
            <w:tcW w:w="1800" w:type="dxa"/>
          </w:tcPr>
          <w:p>
            <w:r>
              <w:rPr>
                <w:sz w:val="20"/>
              </w:rPr>
              <w:t xml:space="preserve">Medium</w:t>
            </w:r>
          </w:p>
        </w:tc>
      </w:tr>
      <w:tr>
        <w:tc>
          <w:tcPr>
            <w:tcW w:w="1800" w:type="dxa"/>
          </w:tcPr>
          <w:p>
            <w:r>
              <w:rPr>
                <w:sz w:val="20"/>
              </w:rPr>
              <w:t xml:space="preserve">Decision Trees/Rules</w:t>
            </w:r>
          </w:p>
        </w:tc>
        <w:tc>
          <w:tcPr>
            <w:tcW w:w="1800" w:type="dxa"/>
          </w:tcPr>
          <w:p>
            <w:r>
              <w:rPr>
                <w:sz w:val="20"/>
              </w:rPr>
              <w:t xml:space="preserve">Inherent transparency</w:t>
            </w:r>
          </w:p>
        </w:tc>
        <w:tc>
          <w:tcPr>
            <w:tcW w:w="1800" w:type="dxa"/>
          </w:tcPr>
          <w:p>
            <w:r>
              <w:rPr>
                <w:sz w:val="20"/>
              </w:rPr>
              <w:t xml:space="preserve">Tree-based models</w:t>
            </w:r>
          </w:p>
        </w:tc>
        <w:tc>
          <w:tcPr>
            <w:tcW w:w="1800" w:type="dxa"/>
          </w:tcPr>
          <w:p>
            <w:r>
              <w:rPr>
                <w:sz w:val="20"/>
              </w:rPr>
              <w:t xml:space="preserve">Clinical guideline extraction</w:t>
            </w:r>
          </w:p>
        </w:tc>
        <w:tc>
          <w:tcPr>
            <w:tcW w:w="1800" w:type="dxa"/>
          </w:tcPr>
          <w:p>
            <w:r>
              <w:rPr>
                <w:sz w:val="20"/>
              </w:rPr>
              <w:t xml:space="preserve">Very High</w:t>
            </w:r>
          </w:p>
        </w:tc>
      </w:tr>
      <w:tr>
        <w:tc>
          <w:tcPr>
            <w:tcW w:w="1800" w:type="dxa"/>
          </w:tcPr>
          <w:p>
            <w:r>
              <w:rPr>
                <w:sz w:val="20"/>
              </w:rPr>
              <w:t xml:space="preserve">Concept Bottleneck Models</w:t>
            </w:r>
          </w:p>
        </w:tc>
        <w:tc>
          <w:tcPr>
            <w:tcW w:w="1800" w:type="dxa"/>
          </w:tcPr>
          <w:p>
            <w:r>
              <w:rPr>
                <w:sz w:val="20"/>
              </w:rPr>
              <w:t xml:space="preserve">Concept-based</w:t>
            </w:r>
          </w:p>
        </w:tc>
        <w:tc>
          <w:tcPr>
            <w:tcW w:w="1800" w:type="dxa"/>
          </w:tcPr>
          <w:p>
            <w:r>
              <w:rPr>
                <w:sz w:val="20"/>
              </w:rPr>
              <w:t xml:space="preserve">Neural networks</w:t>
            </w:r>
          </w:p>
        </w:tc>
        <w:tc>
          <w:tcPr>
            <w:tcW w:w="1800" w:type="dxa"/>
          </w:tcPr>
          <w:p>
            <w:r>
              <w:rPr>
                <w:sz w:val="20"/>
              </w:rPr>
              <w:t xml:space="preserve">Pathology classification</w:t>
            </w:r>
          </w:p>
        </w:tc>
        <w:tc>
          <w:tcPr>
            <w:tcW w:w="1800" w:type="dxa"/>
          </w:tcPr>
          <w:p>
            <w:r>
              <w:rPr>
                <w:sz w:val="20"/>
              </w:rPr>
              <w:t xml:space="preserve">High</w:t>
            </w:r>
          </w:p>
        </w:tc>
      </w:tr>
      <w:tr>
        <w:tc>
          <w:tcPr>
            <w:tcW w:w="1800" w:type="dxa"/>
          </w:tcPr>
          <w:p>
            <w:r>
              <w:rPr>
                <w:sz w:val="20"/>
              </w:rPr>
              <w:t xml:space="preserve">Neural Additive Models</w:t>
            </w:r>
          </w:p>
        </w:tc>
        <w:tc>
          <w:tcPr>
            <w:tcW w:w="1800" w:type="dxa"/>
          </w:tcPr>
          <w:p>
            <w:r>
              <w:rPr>
                <w:sz w:val="20"/>
              </w:rPr>
              <w:t xml:space="preserve">Additive feature effects</w:t>
            </w:r>
          </w:p>
        </w:tc>
        <w:tc>
          <w:tcPr>
            <w:tcW w:w="1800" w:type="dxa"/>
          </w:tcPr>
          <w:p>
            <w:r>
              <w:rPr>
                <w:sz w:val="20"/>
              </w:rPr>
              <w:t xml:space="preserve">NAM-specific</w:t>
            </w:r>
          </w:p>
        </w:tc>
        <w:tc>
          <w:tcPr>
            <w:tcW w:w="1800" w:type="dxa"/>
          </w:tcPr>
          <w:p>
            <w:r>
              <w:rPr>
                <w:sz w:val="20"/>
              </w:rPr>
              <w:t xml:space="preserve">Risk score decomposition</w:t>
            </w:r>
          </w:p>
        </w:tc>
        <w:tc>
          <w:tcPr>
            <w:tcW w:w="1800" w:type="dxa"/>
          </w:tcPr>
          <w:p>
            <w:r>
              <w:rPr>
                <w:sz w:val="20"/>
              </w:rPr>
              <w:t xml:space="preserve">High</w:t>
            </w:r>
          </w:p>
        </w:tc>
      </w:tr>
      <w:tr>
        <w:tc>
          <w:tcPr>
            <w:tcW w:w="1800" w:type="dxa"/>
          </w:tcPr>
          <w:p>
            <w:r>
              <w:rPr>
                <w:sz w:val="20"/>
              </w:rPr>
              <w:t xml:space="preserve">Counterfactual Explanations</w:t>
            </w:r>
          </w:p>
        </w:tc>
        <w:tc>
          <w:tcPr>
            <w:tcW w:w="1800" w:type="dxa"/>
          </w:tcPr>
          <w:p>
            <w:r>
              <w:rPr>
                <w:sz w:val="20"/>
              </w:rPr>
              <w:t xml:space="preserve">Contrastive reasoning</w:t>
            </w:r>
          </w:p>
        </w:tc>
        <w:tc>
          <w:tcPr>
            <w:tcW w:w="1800" w:type="dxa"/>
          </w:tcPr>
          <w:p>
            <w:r>
              <w:rPr>
                <w:sz w:val="20"/>
              </w:rPr>
              <w:t xml:space="preserve">Model-agnostic</w:t>
            </w:r>
          </w:p>
        </w:tc>
        <w:tc>
          <w:tcPr>
            <w:tcW w:w="1800" w:type="dxa"/>
          </w:tcPr>
          <w:p>
            <w:r>
              <w:rPr>
                <w:sz w:val="20"/>
              </w:rPr>
              <w:t xml:space="preserve">Treatment planning</w:t>
            </w:r>
          </w:p>
        </w:tc>
        <w:tc>
          <w:tcPr>
            <w:tcW w:w="1800" w:type="dxa"/>
          </w:tcPr>
          <w:p>
            <w:r>
              <w:rPr>
                <w:sz w:val="20"/>
              </w:rPr>
              <w:t xml:space="preserve">Medium-High</w:t>
            </w:r>
          </w:p>
        </w:tc>
      </w:tr>
    </w:tbl>
    <w:p>
      <w:pPr>
        <w:spacing w:after="200"/>
      </w:pPr>
    </w:p>
    <w:p>
      <w:pPr>
        <w:pStyle w:val="Heading1"/>
      </w:pPr>
      <w:r>
        <w:rPr>
          <w:b/>
        </w:rPr>
        <w:t xml:space="preserve">4. Emerging Directions and Applications in Intelligent Cancer Healthcare</w:t>
      </w:r>
    </w:p>
    <w:p>
      <w:r>
        <w:rPr>
          <w:sz w:val="24"/>
        </w:rPr>
        <w:t xml:space="preserve">The rapid advancement of AI technologies continues to open new frontiers in cancer healthcare, with emerging architectures, methodologies, and applications that promise to further transform the landscape of precision oncology. This section explores the cutting-edge developments in multimodal AI architectures, real-time clinical analytics, and the future research opportunities that will shape the next generation of intelligent cancer healthcare systems.</w:t>
      </w:r>
    </w:p>
    <w:p>
      <w:pPr>
        <w:pStyle w:val="Heading2"/>
      </w:pPr>
      <w:r>
        <w:rPr>
          <w:b/>
        </w:rPr>
        <w:t xml:space="preserve">4.1 Multimodal Data Fusion and Advanced AI Architectures</w:t>
      </w:r>
    </w:p>
    <w:p>
      <w:r>
        <w:rPr>
          <w:sz w:val="24"/>
        </w:rPr>
        <w:t xml:space="preserve">The integration of imaging, clinical, genomic, and molecular information through advanced multimodal fusion architectures represents a frontier of AI-driven cancer research [17]. Traditional approaches to multimodal integration relied on simple feature concatenation or ensemble averaging, which fail to capture complex cross-modal interactions and complementary information [18]. Contemporary multimodal architectures employ attention mechanisms, cross-modal transformers, and graph neural networks that learn dynamic, context-dependent relationships between modalities. The fundamental principle underlying these architectures is that different data modalities provide complementary perspectives on cancer biology, and optimal integration must capture both shared and modality-specific information.</w:t>
      </w:r>
    </w:p>
    <w:p>
      <w:r>
        <w:rPr>
          <w:sz w:val="24"/>
        </w:rPr>
        <w:t xml:space="preserve">Cross-modal attention mechanisms enable selective focus on relevant information from each modality based on the content of other modalities, facilitating context-aware integration [19]. Multimodal transformers extend the self-attention paradigm to process heterogeneous data types within a unified architecture, learning joint representations that capture both intra-modal and inter-modal dependencies. These architectures have demonstrated significant improvements in cancer survival prediction, treatment response estimation, and tumor subtype classification compared to unimodal approaches. The ability of attention-based models to dynamically weight modality contributions based on input content enables adaptive fusion that accounts for variable data availability and modality informativeness across patients.</w:t>
      </w:r>
    </w:p>
    <w:p>
      <w:r>
        <w:rPr>
          <w:sz w:val="24"/>
        </w:rPr>
        <w:t xml:space="preserve">Graph-based learning for cancer-related biological networks leverages the inherent graph structure of molecular interaction networks, patient similarity networks, and knowledge graphs [20]. Graph neural networks propagate information across network edges to generate node embeddings that incorporate topological context, enabling prediction of gene function, drug-target interactions, and patient outcomes. Heterogeneous graph networks integrate multiple entity types and relationship types within a unified framework, modeling complex biological systems with greater fidelity than traditional methods. Graph attention networks that learn adaptive edge weights discover the most informative network connections for specific prediction tasks, enabling data-driven refinement of prior knowledge network structures.</w:t>
      </w:r>
    </w:p>
    <w:p>
      <w:r>
        <w:rPr>
          <w:sz w:val="24"/>
        </w:rPr>
        <w:t xml:space="preserve">Foundation models and multimodal AI for precision oncology represent the latest evolution in cancer AI research [21]. Large-scale pre-trained models, trained on massive datasets through self-supervised learning, develop generalizable representations that can be fine-tuned for diverse downstream tasks with minimal labeled data. Pathology foundation models trained on millions of histopathology tiles achieve state-of-the-art performance across multiple tissue types and prediction tasks [22]. Multimodal foundation models that jointly process text, images, and molecular data offer the potential for unified cancer AI systems that can address diverse clinical questions within a single framework. The emergence of large language models adapted for biomedical applications enables natural language interaction with cancer AI systems, facilitating clinical adoption through intuitive interfaces.</w:t>
      </w:r>
    </w:p>
    <w:p>
      <w:r>
        <w:rPr>
          <w:sz w:val="24"/>
        </w:rPr>
        <w:t xml:space="preserve">Figure 4 presents the emerging AI architectures for intelligent cancer healthcare, illustrating the convergence of multimodal fusion, federated learning, and advanced deep learning paradigms toward integrated precision oncology platforms [23]. These architectures represent the progression from isolated analytical tools toward comprehensive systems that mirror the integrative reasoning of expert clinicians.</w:t>
      </w:r>
    </w:p>
    <w:p>
      <w:pPr>
        <w:jc w:val="center"/>
      </w:pPr>
      <w:r>
        <w:drawing>
          <wp:inline xmlns:wp="http://schemas.openxmlformats.org/drawingml/2006/wordprocessingDrawing" distT="0" distB="0" distL="0" distR="0">
            <wp:extent cx="5400000" cy="3600000"/>
            <wp:docPr id="4" name="Picture 4"/>
            <a:graphic xmlns:a="http://schemas.openxmlformats.org/drawingml/2006/main">
              <a:graphicData uri="http://schemas.openxmlformats.org/drawingml/2006/picture">
                <pic:pic xmlns:pic="http://schemas.openxmlformats.org/drawingml/2006/picture">
                  <pic:nvPicPr>
                    <pic:cNvPr id="4" name="image4.png"/>
                    <pic:cNvPicPr/>
                  </pic:nvPicPr>
                  <pic:blipFill>
                    <a:blip xmlns:r="http://schemas.openxmlformats.org/officeDocument/2006/relationships" r:embed="rId13"/>
                    <a:stretch>
                      <a:fillRect/>
                    </a:stretch>
                  </pic:blipFill>
                  <pic:spPr>
                    <a:xfrm>
                      <a:off x="0" y="0"/>
                      <a:ext cx="5400000" cy="3600000"/>
                    </a:xfrm>
                    <a:prstGeom prst="rect">
                      <a:avLst/>
                    </a:prstGeom>
                  </pic:spPr>
                </pic:pic>
              </a:graphicData>
            </a:graphic>
          </wp:inline>
        </w:drawing>
      </w:r>
    </w:p>
    <w:p>
      <w:pPr>
        <w:pStyle w:val="Caption"/>
        <w:jc w:val="center"/>
      </w:pPr>
      <w:r>
        <w:rPr>
          <w:i/>
          <w:sz w:val="20"/>
        </w:rPr>
        <w:t xml:space="preserve">Figure 4. Emerging AI Architectures for Intelligent Cancer Healthcare: Integration of multimodal fusion, federated learning, and advanced deep learning paradigms for comprehensive precision oncology platforms.</w:t>
      </w:r>
    </w:p>
    <w:p>
      <w:pPr>
        <w:pStyle w:val="Heading2"/>
      </w:pPr>
      <w:r>
        <w:rPr>
          <w:b/>
        </w:rPr>
        <w:t xml:space="preserve">4.2 Real-Time Analytics and Personalized Cancer Treatment</w:t>
      </w:r>
    </w:p>
    <w:p>
      <w:r>
        <w:rPr>
          <w:sz w:val="24"/>
        </w:rPr>
        <w:t xml:space="preserve">Real-time monitoring and intelligent clinical decision support systems are transforming the delivery of cancer care through continuous patient surveillance and dynamic treatment optimization [24]. Integration of wearable sensor data, electronic health record streams, and patient-reported outcomes enables real-time detection of treatment-related adverse events, disease progression, and clinical deterioration [25]. Machine learning algorithms processing continuous physiological data can identify early warning signals of neutropenic fever, cardiotoxicity, and other serious complications, enabling proactive intervention before clinical manifestation. The deployment of edge computing architectures enables real-time inference at the point of care, minimizing latency and ensuring that critical alerts reach clinicians within actionable timeframes.</w:t>
      </w:r>
    </w:p>
    <w:p>
      <w:r>
        <w:rPr>
          <w:sz w:val="24"/>
        </w:rPr>
        <w:t xml:space="preserve">Prediction of treatment response and disease progression through longitudinal AI models leverages temporal patterns in clinical data to generate dynamic risk assessments that evolve with accumulating patient information [26]. Recurrent neural networks, temporal convolutional networks, and transformer architectures designed for sequential data processing capture the temporal dynamics of disease trajectories and treatment effects. Dynamic prediction models that update prognosis estimates as new data becomes available provide clinicians with evolving risk assessments that guide treatment modification decisions. Joint modeling frameworks that simultaneously model longitudinal biomarker trajectories and survival outcomes capture the relationship between biomarker dynamics and clinical endpoints, enabling prediction of treatment failure from early biomarker trends.</w:t>
      </w:r>
    </w:p>
    <w:p>
      <w:r>
        <w:rPr>
          <w:sz w:val="24"/>
        </w:rPr>
        <w:t xml:space="preserve">AI-assisted personalized treatment and precision medicine applications extend beyond prediction to active treatment optimization [27]. Reinforcement learning algorithms learn optimal treatment policies through simulated interaction with patient models, identifying treatment sequences and dosing strategies that maximize long-term outcomes while minimizing toxicity [28]. Digital twin technology creates patient-specific computational models that simulate treatment effects, enabling in silico testing of therapeutic strategies before clinical implementation. Multi-armed bandit algorithms balance exploration and exploitation in adaptive clinical trial designs, accelerating identification of effective treatments for specific patient subpopulations.</w:t>
      </w:r>
    </w:p>
    <w:p>
      <w:r>
        <w:rPr>
          <w:sz w:val="24"/>
        </w:rPr>
        <w:t xml:space="preserve">The convergence of AI-driven analytics with molecular tumor profiling enables truly personalized therapy selection based on individual tumor biology [29]. Machine learning models trained on large pharmacogenomic databases predict individual patient sensitivity to specific drugs based on tumor molecular profiles, guiding treatment selection beyond standard-of-care protocols. Integration of real-world evidence from electronic health records with genomic data enables learning from clinical practice patterns to refine treatment recommendations for molecular subgroups [30]. Bayesian optimization frameworks that iteratively refine treatment recommendations based on observed patient outcomes enable continuous learning and improvement of personalized treatment strategies.</w:t>
      </w:r>
    </w:p>
    <w:p>
      <w:r>
        <w:rPr>
          <w:sz w:val="24"/>
        </w:rPr>
        <w:t xml:space="preserve">Figure 4 further illustrates how these real-time analytics and personalized treatment approaches integrate within the emerging landscape of intelligent cancer healthcare systems, demonstrating the progression from data acquisition through analysis to personalized clinical action.</w:t>
      </w:r>
    </w:p>
    <w:p>
      <w:r>
        <w:rPr>
          <w:sz w:val="24"/>
        </w:rPr>
        <w:t xml:space="preserve">The clinical implementation of real-time AI systems requires robust infrastructure for continuous data ingestion, processing, and alert generation. Stream processing architectures that handle high-throughput physiological data in real time, combined with model serving platforms that maintain low-latency inference, form the technical foundation for deployed clinical AI systems. Human-in-the-loop designs that present AI-generated recommendations to clinicians for validation and override ensure that patient safety is maintained while leveraging the pattern recognition capabilities of machine learning algorithms. The development of alert fatigue mitigation strategies, including intelligent alert prioritization and contextual suppression of low-priority notifications, is essential for ensuring that clinicians can effectively respond to AI-generated clinical insights without being overwhelmed by excessive or irrelevant alerts.</w:t>
      </w:r>
    </w:p>
    <w:p>
      <w:pPr>
        <w:pStyle w:val="Heading2"/>
      </w:pPr>
      <w:r>
        <w:rPr>
          <w:b/>
        </w:rPr>
        <w:t xml:space="preserve">4.3 Future Perspectives, Challenges, and Research Opportunities</w:t>
      </w:r>
    </w:p>
    <w:p>
      <w:r>
        <w:rPr>
          <w:sz w:val="24"/>
        </w:rPr>
        <w:t xml:space="preserve">The advancement of AI-driven cancer precision medicine faces several critical challenges that must be addressed to realize the full potential of computational intelligence in oncology [31]. Data privacy and security concerns remain paramount, as cancer datasets contain highly sensitive personal health information that requires robust protection against unauthorized access and re-identification [32]. Differential privacy techniques, secure multi-party computation, and homomorphic encryption offer mathematical guarantees for data protection, but their practical implementation in clinical settings requires careful balancing of privacy preservation with model utility. The development of privacy-enhancing technologies that enable meaningful analytics while maintaining strict confidentiality standards represents an active area of research with significant implications for multi-institutional cancer research collaborations.</w:t>
      </w:r>
    </w:p>
    <w:p>
      <w:r>
        <w:rPr>
          <w:sz w:val="24"/>
        </w:rPr>
        <w:t xml:space="preserve">Interpretability and clinical validation represent ongoing challenges in translating AI research into clinical practice [33]. Regulatory frameworks for AI-based medical devices, including the FDA's predetermined change control plan and the EU's Medical Device Regulation, are evolving to accommodate the dynamic nature of machine learning systems [34]. Prospective clinical validation studies, including randomized controlled trials comparing AI-assisted decision-making with standard care, are essential for establishing clinical utility and gaining regulatory approval. The development of standardized evaluation metrics and benchmarking datasets specifically designed for cancer AI applications facilitates rigorous comparison of methods and supports evidence-based adoption decisions.</w:t>
      </w:r>
    </w:p>
    <w:p>
      <w:r>
        <w:rPr>
          <w:sz w:val="24"/>
        </w:rPr>
        <w:t xml:space="preserve">Scalability challenges arise from the computational requirements of training large AI models on massive biomedical datasets, particularly for resource-constrained healthcare systems [35]. Edge computing architectures that deploy inference models on local devices reduce latency and data transmission requirements, while cloud-based training platforms enable collaborative model development across institutions. The environmental impact of large-scale AI training is an emerging concern that motivates research into efficient model architectures and training strategies [36]. Knowledge distillation techniques that compress large teacher models into smaller student models enable deployment of sophisticated AI capabilities on resource-limited clinical infrastructure, democratizing access to advanced cancer AI tools.</w:t>
      </w:r>
    </w:p>
    <w:p>
      <w:r>
        <w:rPr>
          <w:sz w:val="24"/>
        </w:rPr>
        <w:t xml:space="preserve">Addressing health equity and bias in AI systems is essential for ensuring that computational cancer care benefits all patient populations regardless of demographic characteristics [37]. Training datasets that disproportionately represent specific demographic groups may produce models with differential performance across populations, potentially exacerbating existing healthcare disparities [38]. Fairness-aware machine learning techniques, including adversarial debiasing, calibrated equalized odds, and representative sampling strategies, seek to ensure equitable model performance across patient subgroups. Systematic bias auditing and algorithmic impact assessments should be standard practice in the development and deployment of cancer AI systems.</w:t>
      </w:r>
    </w:p>
    <w:p>
      <w:r>
        <w:rPr>
          <w:sz w:val="24"/>
        </w:rPr>
        <w:t xml:space="preserve">Future opportunities for early detection, prognosis, and treatment optimization are enabled by emerging technologies including liquid biopsy, spatial transcriptomics, and organ-on-chip models [39]. AI analysis of circulating tumor DNA enables non-invasive cancer detection and monitoring, while spatial transcriptomic analysis reveals the spatial organization of the tumor microenvironment with cellular resolution [40]. The integration of these emerging data modalities with existing clinical workflows through AI-driven analytics platforms promises to advance cancer precision medicine toward earlier detection, more accurate prognosis, and more effective personalized treatment strategies [41]. Quantum computing may eventually enable solutions to currently intractable optimization problems in drug design and treatment scheduling, though practical clinical applications remain years away. Additionally, the integration of AI with robotics in surgical oncology promises to enhance surgical precision through real-time tissue classification, margin assessment, and autonomous instrument guidance, potentially reducing surgical complications and improving oncological outcomes for patients undergoing cancer resection procedures.</w:t>
      </w:r>
    </w:p>
    <w:p>
      <w:r>
        <w:rPr>
          <w:sz w:val="24"/>
        </w:rPr>
        <w:t xml:space="preserve">The development of trustworthy and clinically applicable AI systems requires collaborative efforts spanning computational science, clinical medicine, bioethics, and health policy [42]. Establishing robust evaluation frameworks, promoting open science practices, and developing standardized benchmarks for cancer AI will accelerate progress toward clinically impactful solutions [43]. The convergence of advancing AI capabilities with expanding biomedical data resources positions the field for transformative advances in cancer precision medicine over the coming decade [44]. International collaborative initiatives that span geographic, institutional, and disciplinary boundaries will be essential for developing AI systems that are robust, generalizable, and equitable across the diverse global population of cancer patients. Multi-stakeholder partnerships involving academic researchers, healthcare systems, technology companies, patient advocacy organizations, and regulatory agencies will be critical for navigating the complex landscape of clinical AI deployment.</w:t>
      </w:r>
    </w:p>
    <w:p>
      <w:pPr>
        <w:pStyle w:val="Heading1"/>
      </w:pPr>
      <w:r>
        <w:rPr>
          <w:b/>
        </w:rPr>
        <w:t xml:space="preserve">5. Conclusion</w:t>
      </w:r>
    </w:p>
    <w:p>
      <w:r>
        <w:rPr>
          <w:sz w:val="24"/>
        </w:rPr>
        <w:t xml:space="preserve">The comprehensive examination presented in this chapter demonstrates that AI-driven data analytics represents a transformative force in cancer precision medicine, with the potential to fundamentally improve how cancers are detected, characterized, treated, and monitored across the entire patient journey. The convergence of computational innovation with clinical expertise creates opportunities for breakthroughs that neither domain could achieve independently, establishing a new paradigm for collaborative human-AI partnership in oncological care.</w:t>
      </w:r>
    </w:p>
    <w:p>
      <w:pPr>
        <w:pStyle w:val="Heading2"/>
      </w:pPr>
    </w:p>
    <w:p>
      <w:r>
        <w:rPr>
          <w:sz w:val="24"/>
        </w:rPr>
        <w:t xml:space="preserve">This chapter has provided a comprehensive examination of AI-driven data analytics in cancer precision medicine, spanning foundational principles, advanced methodologies, and emerging research directions. The integration of artificial intelligence with multimodal biomedical data represents a transformative paradigm for cancer diagnosis, prognosis, and treatment optimization, offering unprecedented capabilities for personalized patient care [45]. From the foundational machine learning algorithms that enable automated classification and pattern recognition to the advanced deep learning architectures that process complex imaging and molecular data, AI technologies have demonstrated remarkable potential for improving clinical outcomes across the cancer care continuum.</w:t>
      </w:r>
    </w:p>
    <w:p>
      <w:r>
        <w:rPr>
          <w:sz w:val="24"/>
        </w:rPr>
        <w:t xml:space="preserve">The systematic examination of data mining techniques has revealed the complementary roles of classification, clustering, and feature selection methodologies in building comprehensive cancer analytics systems. Supervised learning approaches provide the predictive capabilities essential for diagnosis and prognosis, while unsupervised methods discover hidden patterns and disease subtypes that inform novel treatment strategies. Feature selection and dimensionality reduction techniques ensure that models focus on clinically relevant information while maintaining computational tractability for high-dimensional biomedical datasets. The integration of these diverse analytical approaches within unified frameworks enables comprehensive cancer characterization that captures both the molecular complexity and clinical heterogeneity of oncological diseases.</w:t>
      </w:r>
    </w:p>
    <w:p>
      <w:r>
        <w:rPr>
          <w:sz w:val="24"/>
        </w:rPr>
        <w:t xml:space="preserve">The critical importance of rigorous data preprocessing, quality management, and class balancing strategies has been emphasized throughout this discussion, recognizing that the reliability of AI predictions depends fundamentally on the quality and representativeness of training data [46]. Explainable AI, federated learning, and automated machine learning represent essential enabling technologies that address the practical challenges of clinical deployment, including interpretability requirements, privacy constraints, and scalability limitations. These intelligent frameworks bridge the gap between research achievements and clinical implementation, facilitating the responsible translation of computational innovations into tangible patient benefits. The emphasis on transparency, fairness, and accountability in AI system design reflects the broader recognition that clinical AI must earn and maintain the trust of both healthcare providers and patients.</w:t>
      </w:r>
    </w:p>
    <w:p>
      <w:r>
        <w:rPr>
          <w:sz w:val="24"/>
        </w:rPr>
        <w:t xml:space="preserve">Looking forward, the convergence of multimodal fusion architectures, foundation models, and real-time analytics platforms promises to deliver integrated precision oncology systems that combine the analytical capabilities of AI with the clinical judgment of expert oncologists. Addressing the remaining challenges of data privacy, algorithmic fairness, regulatory compliance, and clinical validation will be essential for realizing this vision. The collaborative efforts of computational scientists, clinicians, ethicists, and policymakers will determine the trajectory of AI-driven cancer precision medicine, with the ultimate goal of ensuring that every cancer patient benefits from personalized, evidence-based care enabled by advanced computational intelligence [47]. As the field continues to mature, the integration of AI systems into routine clinical practice will require not only technical innovation but also organizational change management, workforce development, and establishment of governance frameworks that promote responsible innovation while safeguarding patient welfare. The ultimate success of AI in cancer precision medicine will be measured not by algorithmic performance metrics alone, but by tangible improvements in patient survival, quality of life, and equitable access to cutting-edge cancer care.</w:t>
      </w:r>
    </w:p>
    <w:p>
      <w:pPr>
        <w:pStyle w:val="Normal"/>
      </w:pPr>
    </w:p>
    <w:p>
      <w:pPr>
        <w:pStyle w:val="Heading1"/>
      </w:pPr>
      <w:r>
        <w:rPr>
          <w:b/>
        </w:rPr>
        <w:t xml:space="preserve">References</w:t>
      </w:r>
    </w:p>
    <w:p>
      <w:pPr>
        <w:pStyle w:val="Normal"/>
      </w:pPr>
    </w:p>
    <w:p>
      <w:r>
        <w:rPr>
          <w:sz w:val="20"/>
        </w:rPr>
        <w:t xml:space="preserve">[1] Topol, E.J. High-performance medicine: the convergence of human and artificial intelligence. Nature Medicine, 25(1), 44-56, 2019.</w:t>
      </w:r>
    </w:p>
    <w:p>
      <w:r>
        <w:rPr>
          <w:sz w:val="20"/>
        </w:rPr>
        <w:t xml:space="preserve">[2] Esteva, A., Robicquet, A., Ramsundar, B., et al. A guide to deep learning in healthcare. Nature Medicine, 25(1), 24-29, 2019.</w:t>
      </w:r>
    </w:p>
    <w:p>
      <w:r>
        <w:rPr>
          <w:sz w:val="20"/>
        </w:rPr>
        <w:t xml:space="preserve">[3] LeCun, Y., Bengio, Y., Hinton, G. Deep learning. Nature, 521(7553), 436-444, 2015.</w:t>
      </w:r>
    </w:p>
    <w:p>
      <w:r>
        <w:rPr>
          <w:sz w:val="20"/>
        </w:rPr>
        <w:t xml:space="preserve">[4] Kourou, K., Exarchos, T.P., Exarchos, K.P., et al. Machine learning applications in cancer prognosis and prediction. Computational and Structural Biotechnology Journal, 13, 8-17, 2015.</w:t>
      </w:r>
    </w:p>
    <w:p>
      <w:r>
        <w:rPr>
          <w:sz w:val="20"/>
        </w:rPr>
        <w:t xml:space="preserve">[5] Cruz, J.A., Wishart, D.S. Applications of machine learning in cancer prediction and prognosis. Cancer Informatics, 2, 59-77, 2006.</w:t>
      </w:r>
    </w:p>
    <w:p>
      <w:r>
        <w:rPr>
          <w:sz w:val="20"/>
        </w:rPr>
        <w:t xml:space="preserve">[6] Bejnordi, B.E., Veta, M., van Diest, P.J., et al. Diagnostic assessment of deep learning algorithms for detection of lymph node metastases. JAMA, 318(22), 2199-2210, 2017.</w:t>
      </w:r>
    </w:p>
    <w:p>
      <w:r>
        <w:rPr>
          <w:sz w:val="20"/>
        </w:rPr>
        <w:t xml:space="preserve">[7] Shrager, J., Tenenbaum, J.M. Rapid learning for precision oncology. Nature Reviews Clinical Oncology, 11(2), 109-118, 2014.</w:t>
      </w:r>
    </w:p>
    <w:p>
      <w:r>
        <w:rPr>
          <w:sz w:val="20"/>
        </w:rPr>
        <w:t xml:space="preserve">[8] Liu, X., Faes, L., Kale, A.U., et al. A comparison of deep learning performance against health-care professionals. The Lancet Digital Health, 1(6), e271-e297, 2019.</w:t>
      </w:r>
    </w:p>
    <w:p>
      <w:r>
        <w:rPr>
          <w:sz w:val="20"/>
        </w:rPr>
        <w:t xml:space="preserve">[9] Kelly, C.J., Karthikesalingam, A., Suleyman, M., et al. Key challenges for delivering clinical impact with artificial intelligence. BMC Medicine, 17(1), 195, 2019.</w:t>
      </w:r>
    </w:p>
    <w:p>
      <w:r>
        <w:rPr>
          <w:sz w:val="20"/>
        </w:rPr>
        <w:t xml:space="preserve">[10] Rajkomar, A., Dean, J., Kohane, I. Machine learning in medicine. New England Journal of Medicine, 380(14), 1347-1358, 2019.</w:t>
      </w:r>
    </w:p>
    <w:p>
      <w:r>
        <w:rPr>
          <w:sz w:val="20"/>
        </w:rPr>
        <w:t xml:space="preserve">[11] Bi, W.L., Hosny, A., Schabath, M.B., et al. Artificial intelligence in medicine: current trends and future possibilities. British Journal of Cancer, 120(4), 404-410, 2019.</w:t>
      </w:r>
    </w:p>
    <w:p>
      <w:r>
        <w:rPr>
          <w:sz w:val="20"/>
        </w:rPr>
        <w:t xml:space="preserve">[12] Miotto, R., Wang, F., Wang, S., et al. Deep learning for healthcare: review, opportunities and challenges. Briefings in Bioinformatics, 19(6), 1236-1246, 2018.</w:t>
      </w:r>
    </w:p>
    <w:p>
      <w:r>
        <w:rPr>
          <w:sz w:val="20"/>
        </w:rPr>
        <w:t xml:space="preserve">[13] Jensen, P.B., Jensen, L.J., Brunak, S. Mining electronic health records: towards better research applications and clinical care. Nature Reviews Genetics, 13(6), 395-405, 2012.</w:t>
      </w:r>
    </w:p>
    <w:p>
      <w:r>
        <w:rPr>
          <w:sz w:val="20"/>
        </w:rPr>
        <w:t xml:space="preserve">[14] Shendure, J., Balasubramanian, S., Church, G.M., et al. DNA sequencing at 40: past, present and future. Nature, 550(7676), 345-353, 2017.</w:t>
      </w:r>
    </w:p>
    <w:p>
      <w:r>
        <w:rPr>
          <w:sz w:val="20"/>
        </w:rPr>
        <w:t xml:space="preserve">[15] Litjens, G., Kooi, T., Bejnordi, B.E., et al. A survey on deep learning in medical image analysis. Medical Image Analysis, 42, 60-88, 2017.</w:t>
      </w:r>
    </w:p>
    <w:p>
      <w:r>
        <w:rPr>
          <w:sz w:val="20"/>
        </w:rPr>
        <w:t xml:space="preserve">[16] Bera, K., Schalper, K.A., Rimm, D.L., et al. Artificial intelligence in digital pathology — new tools for diagnosis and precision oncology. Nature Reviews Clinical Oncology, 16(11), 703-715, 2019.</w:t>
      </w:r>
    </w:p>
    <w:p>
      <w:r>
        <w:rPr>
          <w:sz w:val="20"/>
        </w:rPr>
        <w:t xml:space="preserve">[17] Gillies, R.J., Kinahan, P.E., Hricak, H. Radiomics: images are more than pictures, they are data. Radiology, 278(2), 563-577, 2016.</w:t>
      </w:r>
    </w:p>
    <w:p>
      <w:r>
        <w:rPr>
          <w:sz w:val="20"/>
        </w:rPr>
        <w:t xml:space="preserve">[18] Mardis, E.R. DNA sequencing technologies: 2006-2016. Nature Protocols, 12(2), 213-218, 2017.</w:t>
      </w:r>
    </w:p>
    <w:p>
      <w:r>
        <w:rPr>
          <w:sz w:val="20"/>
        </w:rPr>
        <w:t xml:space="preserve">[19] Hasin, Y., Seldin, M., Lusis, A. Multi-omics approaches to disease. Genome Biology, 18(1), 83, 2017.</w:t>
      </w:r>
    </w:p>
    <w:p>
      <w:r>
        <w:rPr>
          <w:sz w:val="20"/>
        </w:rPr>
        <w:t xml:space="preserve">[20] Regev, A., Teichmann, S.A., Lander, E.S., et al. The Human Cell Atlas. eLife, 6, e27041, 2017.</w:t>
      </w:r>
    </w:p>
    <w:p>
      <w:r>
        <w:rPr>
          <w:sz w:val="20"/>
        </w:rPr>
        <w:t xml:space="preserve">[21] Piwek, L., Ellis, D.A., Andrews, S., et al. The rise of consumer health wearables: promises and barriers. PLoS Medicine, 13(2), e1001953, 2016.</w:t>
      </w:r>
    </w:p>
    <w:p>
      <w:r>
        <w:rPr>
          <w:sz w:val="20"/>
        </w:rPr>
        <w:t xml:space="preserve">[22] Huang, S., Chaudhary, K., Garmire, L.X. More is better: recent progress in multi-omics data integration methods. Frontiers in Genetics, 8, 84, 2017.</w:t>
      </w:r>
    </w:p>
    <w:p>
      <w:r>
        <w:rPr>
          <w:sz w:val="20"/>
        </w:rPr>
        <w:t xml:space="preserve">[23] Picard, M., Scott-Boyer, M.P., Bodein, A., et al. Integration strategies of multi-omics data for machine learning analysis. Computational and Structural Biotechnology Journal, 19, 3735-3746, 2021.</w:t>
      </w:r>
    </w:p>
    <w:p>
      <w:r>
        <w:rPr>
          <w:sz w:val="20"/>
        </w:rPr>
        <w:t xml:space="preserve">[24] Vaswani, A., Shazeer, N., Parmar, N., et al. Attention is all you need. Advances in Neural Information Processing Systems, 30, 2017.</w:t>
      </w:r>
    </w:p>
    <w:p>
      <w:r>
        <w:rPr>
          <w:sz w:val="20"/>
        </w:rPr>
        <w:t xml:space="preserve">[25] Little, R.J., Rubin, D.B. Statistical Analysis with Missing Data. John Wiley &amp; Sons, 2019.</w:t>
      </w:r>
    </w:p>
    <w:p>
      <w:r>
        <w:rPr>
          <w:sz w:val="20"/>
        </w:rPr>
        <w:t xml:space="preserve">[26] van Buuren, S. Flexible Imputation of Missing Data. CRC Press, 2018.</w:t>
      </w:r>
    </w:p>
    <w:p>
      <w:r>
        <w:rPr>
          <w:sz w:val="20"/>
        </w:rPr>
        <w:t xml:space="preserve">[27] Rajkomar, A., Oren, E., Chen, K., et al. Scalable and accurate deep learning with electronic health records. npj Digital Medicine, 1(1), 18, 2018.</w:t>
      </w:r>
    </w:p>
    <w:p>
      <w:r>
        <w:rPr>
          <w:sz w:val="20"/>
        </w:rPr>
        <w:t xml:space="preserve">[28] Goh, W.W.B., Wang, W., Wong, L. Why batch effects matter in omics data, and how to avoid them. Trends in Biotechnology, 35(6), 498-507, 2017.</w:t>
      </w:r>
    </w:p>
    <w:p>
      <w:r>
        <w:rPr>
          <w:sz w:val="20"/>
        </w:rPr>
        <w:t xml:space="preserve">[29] Hastie, T., Tibshirani, R., Friedman, J. The Elements of Statistical Learning. Springer, 2009.</w:t>
      </w:r>
    </w:p>
    <w:p>
      <w:r>
        <w:rPr>
          <w:sz w:val="20"/>
        </w:rPr>
        <w:t xml:space="preserve">[30] Varoquaux, G., Cheplygina, V. Machine learning for medical imaging: methodological failures and recommendations for the future. npj Digital Medicine, 5(1), 48, 2022.</w:t>
      </w:r>
    </w:p>
    <w:p>
      <w:r>
        <w:rPr>
          <w:sz w:val="20"/>
        </w:rPr>
        <w:t xml:space="preserve">[31] Elemento, O., Leslie, C., Lunber, J., et al. Artificial intelligence in cancer research, diagnosis and therapy. Nature Reviews Cancer, 21(12), 747-752, 2021.</w:t>
      </w:r>
    </w:p>
    <w:p>
      <w:r>
        <w:rPr>
          <w:sz w:val="20"/>
        </w:rPr>
        <w:t xml:space="preserve">[32] Caruana, R., Niculescu-Mizil, A. An empirical comparison of supervised learning algorithms. Proceedings of ICML, 161-168, 2006.</w:t>
      </w:r>
    </w:p>
    <w:p>
      <w:r>
        <w:rPr>
          <w:sz w:val="20"/>
        </w:rPr>
        <w:t xml:space="preserve">[33] Hosny, A., Parmar, C., Quackenbush, J., et al. Artificial intelligence in radiology. Nature Reviews Cancer, 18(8), 500-510, 2018.</w:t>
      </w:r>
    </w:p>
    <w:p>
      <w:r>
        <w:rPr>
          <w:sz w:val="20"/>
        </w:rPr>
        <w:t xml:space="preserve">[34] Dosovitskiy, A., Beyer, L., Kolesnikov, A., et al. An image is worth 16x16 words: transformers for image recognition at scale. ICLR, 2021.</w:t>
      </w:r>
    </w:p>
    <w:p>
      <w:r>
        <w:rPr>
          <w:sz w:val="20"/>
        </w:rPr>
        <w:t xml:space="preserve">[35] Katzman, J.L., Shaham, U., Cloninger, A., et al. DeepSurv: personalized treatment recommender system using a Cox proportional hazards deep neural network. BMC Medical Research Methodology, 18(1), 24, 2018.</w:t>
      </w:r>
    </w:p>
    <w:p>
      <w:r>
        <w:rPr>
          <w:sz w:val="20"/>
        </w:rPr>
        <w:t xml:space="preserve">[36] Adam, G., Rampasek, L., Saez-Rodriguez, J., et al. Machine learning approaches to drug response prediction. Briefings in Bioinformatics, 21(5), 1819-1832, 2020.</w:t>
      </w:r>
    </w:p>
    <w:p>
      <w:r>
        <w:rPr>
          <w:sz w:val="20"/>
        </w:rPr>
        <w:t xml:space="preserve">[37] Handelman, G.S., Kok, H.K., Chandra, R.V., et al. eDoctor: machine learning and the future of medicine. Journal of Internal Medicine, 284(6), 603-619, 2018.</w:t>
      </w:r>
    </w:p>
    <w:p>
      <w:r>
        <w:rPr>
          <w:sz w:val="20"/>
        </w:rPr>
        <w:t xml:space="preserve">[38] Xu, D., Tian, Y. A comprehensive survey of clustering algorithms. Annals of Data Science, 2(2), 165-193, 2015.</w:t>
      </w:r>
    </w:p>
    <w:p>
      <w:r>
        <w:rPr>
          <w:sz w:val="20"/>
        </w:rPr>
        <w:t xml:space="preserve">[39] Parker, J.S., Mullins, M., Cheang, M.C., et al. Supervised risk predictor of breast cancer based on intrinsic subtypes. Journal of Clinical Oncology, 27(8), 1160-1167, 2009.</w:t>
      </w:r>
    </w:p>
    <w:p>
      <w:r>
        <w:rPr>
          <w:sz w:val="20"/>
        </w:rPr>
        <w:t xml:space="preserve">[40] Sorlie, T., Perou, C.M., Tibshirani, R., et al. Gene expression patterns of breast carcinomas distinguish tumor subclasses with clinical implications. PNAS, 98(19), 10869-10874, 2001.</w:t>
      </w:r>
    </w:p>
    <w:p>
      <w:r>
        <w:rPr>
          <w:sz w:val="20"/>
        </w:rPr>
        <w:t xml:space="preserve">[41] Agrawal, R., Imielinski, T., Swami, A. Mining association rules between sets of items in large databases. SIGMOD, 22(2), 207-216, 1993.</w:t>
      </w:r>
    </w:p>
    <w:p>
      <w:r>
        <w:rPr>
          <w:sz w:val="20"/>
        </w:rPr>
        <w:t xml:space="preserve">[42] Kingma, D.P., Welling, M. Auto-encoding variational Bayes. ICLR, 2014.</w:t>
      </w:r>
    </w:p>
    <w:p>
      <w:r>
        <w:rPr>
          <w:sz w:val="20"/>
        </w:rPr>
        <w:t xml:space="preserve">[43] Saeys, Y., Inza, I., Larranaga, P. A review of feature selection techniques in bioinformatics. Bioinformatics, 23(19), 2507-2517, 2007.</w:t>
      </w:r>
    </w:p>
    <w:p>
      <w:r>
        <w:rPr>
          <w:sz w:val="20"/>
        </w:rPr>
        <w:t xml:space="preserve">[44] Tibshirani, R. Regression shrinkage and selection via the lasso. Journal of the Royal Statistical Society, 58(1), 267-288, 1996.</w:t>
      </w:r>
    </w:p>
    <w:p>
      <w:r>
        <w:rPr>
          <w:sz w:val="20"/>
        </w:rPr>
        <w:t xml:space="preserve">[45] van der Maaten, L., Hinton, G. Visualizing data using t-SNE. Journal of Machine Learning Research, 9, 2579-2605, 2008.</w:t>
      </w:r>
    </w:p>
    <w:p>
      <w:r>
        <w:rPr>
          <w:sz w:val="20"/>
        </w:rPr>
        <w:t xml:space="preserve">[46] Lambin, P., Leijenaar, R.T.H., Deist, T.M., et al. Radiomics: the bridge between medical imaging and personalized medicine. Nature Reviews Clinical Oncology, 14(12), 749-762, 2017.</w:t>
      </w:r>
    </w:p>
    <w:p>
      <w:r>
        <w:rPr>
          <w:sz w:val="20"/>
        </w:rPr>
        <w:t xml:space="preserve">[47] McInnes, L., Healy, J., Melville, J. UMAP: Uniform Manifold Approximation and Projection for dimension reduction. arXiv:1802.03426, 2018.</w:t>
      </w:r>
    </w:p>
    <w:sectPr>
      <w:pgSz w:w="12240" w:h="15840"/>
      <w:pgMar w:top="1440" w:right="1440" w:bottom="1440" w:left="1440" w:header="720" w:footer="720"/>
    </w:sectPr>
  </w:body>
</w:document>
</file>

<file path=word/numbering.xml><?xml version="1.0" encoding="utf-8"?>
<w:numbering xmlns:w="http://schemas.openxmlformats.org/wordprocessingml/2006/main">
</w:numbering>
</file>

<file path=word/styles.xml><?xml version="1.0" encoding="utf-8"?>
<w:styles xmlns:w="http://schemas.openxmlformats.org/wordprocessingml/2006/main">
  <w:style w:type="paragraph" w:styleId="Normal" w:default="1">
    <w:name w:val="Normal"/>
    <w:pPr>
      <w:spacing w:after="200" w:line="276" w:lineRule="auto"/>
    </w:pPr>
    <w:rPr>
      <w:rFonts w:ascii="Times New Roman" w:hAnsi="Times New Roman"/>
      <w:sz w:val="24"/>
    </w:rPr>
  </w:style>
  <w:style w:type="paragraph" w:styleId="Heading1">
    <w:name w:val="heading 1"/>
    <w:pPr>
      <w:spacing w:before="360" w:after="120"/>
    </w:pPr>
    <w:rPr>
      <w:rFonts w:ascii="Times New Roman" w:hAnsi="Times New Roman"/>
      <w:b/>
      <w:sz w:val="28"/>
    </w:rPr>
  </w:style>
  <w:style w:type="paragraph" w:styleId="Heading2">
    <w:name w:val="heading 2"/>
    <w:pPr>
      <w:spacing w:before="240" w:after="120"/>
    </w:pPr>
    <w:rPr>
      <w:rFonts w:ascii="Times New Roman" w:hAnsi="Times New Roman"/>
      <w:b/>
      <w:sz w:val="26"/>
    </w:rPr>
  </w:style>
  <w:style w:type="paragraph" w:styleId="Title">
    <w:name w:val="Title"/>
    <w:pPr>
      <w:spacing w:after="300"/>
      <w:jc w:val="center"/>
    </w:pPr>
    <w:rPr>
      <w:rFonts w:ascii="Times New Roman" w:hAnsi="Times New Roman"/>
      <w:b/>
      <w:sz w:val="32"/>
    </w:rPr>
  </w:style>
  <w:style w:type="paragraph" w:styleId="Subtitle">
    <w:name w:val="Subtitle"/>
    <w:pPr>
      <w:spacing w:after="200"/>
      <w:jc w:val="center"/>
    </w:pPr>
    <w:rPr>
      <w:rFonts w:ascii="Times New Roman" w:hAnsi="Times New Roman"/>
      <w:i/>
      <w:sz w:val="24"/>
    </w:rPr>
  </w:style>
  <w:style w:type="paragraph" w:styleId="Caption">
    <w:name w:val="Caption"/>
    <w:pPr>
      <w:spacing w:before="120" w:after="240"/>
      <w:jc w:val="center"/>
    </w:pPr>
    <w:rPr>
      <w:rFonts w:ascii="Times New Roman" w:hAnsi="Times New Roman"/>
      <w:i/>
      <w:sz w:val="20"/>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s>
</file>