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Chapter 20. Future of AI-Driven Pharmacology and Biomedical Engineering</w:t>
      </w:r>
    </w:p>
    <w:p>
      <w:pPr>
        <w:pStyle w:val="Heading1"/>
      </w:pPr>
      <w:r>
        <w:t xml:space="preserve">Abstract</w:t>
      </w:r>
    </w:p>
    <w:p>
      <w:pPr>
        <w:pStyle w:val="Normal"/>
      </w:pPr>
      <w:r>
        <w:t xml:space="preserve">The convergence of artificial intelligence (AI), laboratory automation, and the biomedical sciences is reshaping how new medicines are conceived, how therapeutic devices behave, and how care is delivered to individual patients. This chapter surveys the emerging frontier of AI-driven pharmacology and biomedical engineering, organized around three interlocking themes: autonomous drug discovery and AI-generated therapeutics, self-optimizing drug delivery coupled with intelligent medical devices, and the broader movement toward autonomous, personalized, and human-centred healthcare. We describe how generative models, closed-loop experimentation, and reinforcement learning are compressing discovery timelines and expanding the accessible chemical and biological design space. We examine how embedded intelligence transforms passive delivery systems into adaptive, sensing, and self-correcting platforms that respond to real-time physiology. We then consider the systemic implications of these advances for clinical practice, health equity, safety, regulation, and the preservation of human agency in medicine. Throughout, we emphasize that the maturation of these technologies depends not only on algorithmic progress but also on data governance, validation rigor, interpretability, and the deliberate design of human-in-the-loop safeguards. The chapter closes with a synthesis of open challenges and a forward-looking assessment of how autonomy, personalization, and human-centred values can be reconciled. Our central argument is that the future of biomedical AI will be defined less by any single breakthrough model than by the trustworthy integration of many intelligent components into safe, accountable, and equitable systems of care. The discussion is intended to be accessible to engineers, pharmacologists, clinicians, and policy makers alike, and it treats the technical, ethical, and institutional dimensions of the field as inseparable rather than as separate concerns.</w:t>
      </w:r>
    </w:p>
    <w:p>
      <w:pPr>
        <w:pStyle w:val="Heading1"/>
      </w:pPr>
      <w:r>
        <w:t xml:space="preserve">20.1 Autonomous Drug Discovery and AI-Generated Therapeutics</w:t>
      </w:r>
    </w:p>
    <w:p>
      <w:pPr>
        <w:pStyle w:val="Heading2"/>
      </w:pPr>
      <w:r>
        <w:t xml:space="preserve">20.1.1 From Screening to Autonomous Design</w:t>
      </w:r>
    </w:p>
    <w:p>
      <w:pPr>
        <w:pStyle w:val="Normal"/>
      </w:pPr>
      <w:r>
        <w:t xml:space="preserve">Traditional pharmaceutical discovery is a long, costly, and attrition-prone endeavour, in which the journey from an initial target hypothesis to an approved therapeutic can span more than a decade and consume enormous capital. Historically, medicinal chemists relied on high-throughput screening of large compound libraries, iterative structure-activity analysis, and hard-won intuition to advance candidates through the pipeline [1]. Although effective, these approaches sample only a vanishingly small fraction of the theoretically synthesizable chemical universe, which is estimated to exceed 10^60 drug-like molecules [2]. The overwhelming majority of promising leads fail somewhere along the path, whether because of insufficient potency, poor pharmacokinetics, unexpected toxicity, or simple lack of efficacy in patients, and each failure is expensive both in money and in the years of effort it consumes. This pervasive attrition is the fundamental economic problem that has motivated decades of methodological innovation, and it is the problem against which the value of any new computational method must ultimately be measured.</w:t>
      </w:r>
    </w:p>
    <w:p>
      <w:pPr>
        <w:pStyle w:val="Normal"/>
      </w:pPr>
      <w:r>
        <w:t xml:space="preserve">Artificial intelligence changes the economics of this search by learning statistical regularities from historical bioactivity data and by proposing candidates that are enriched for desirable properties before any physical experiment is performed [3]. Where a chemist reasons from a limited set of remembered analogies, a trained model can implicitly draw on millions of measured data points, detecting subtle patterns that connect molecular structure to biological behaviour. This does not render human expertise obsolete; rather, it augments it, allowing scientists to focus their judgement on the most promising fraction of an otherwise unmanageable space. The result is a shift in the character of discovery from exhaustive empirical sampling toward informed, model-guided prioritization.</w:t>
      </w:r>
    </w:p>
    <w:p>
      <w:pPr>
        <w:pStyle w:val="Normal"/>
      </w:pPr>
      <w:r>
        <w:t xml:space="preserve">The transition now underway is not merely the automation of individual tasks but the emergence of genuinely autonomous discovery, in which AI systems formulate hypotheses, design molecules, plan syntheses, execute experiments through robotics, and interpret results with minimal human intervention [4]. This closed-loop paradigm reframes discovery as an optimization problem addressed by an integrated system rather than a sequence of disconnected manual steps. Figure 20.1 illustrates the architecture of such a pipeline, in which a central decision engine coordinates target identification, generative molecular design, property prediction, robotic synthesis, biological assay, and active-learning-driven prioritization in a continuous cycle. Each arm of the cycle feeds the next, and, crucially, the outputs of experimentation flow back to update the models that generated the hypotheses, so that the system as a whole improves with every completed loop.</w:t>
      </w:r>
    </w:p>
    <w:p>
      <w:pPr>
        <w:pStyle w:val="FigureImage"/>
      </w:pPr>
      <w:r>
        <w:drawing>
          <wp:inline xmlns:wp="http://schemas.openxmlformats.org/drawingml/2006/wordprocessingDrawing" distT="0" distB="0" distL="0" distR="0">
            <wp:extent cx="5486400" cy="3320715"/>
            <wp:effectExtent l="0" t="0" r="0" b="0"/>
            <wp:docPr id="1001" name="Figure_20_1_Discovery_Lo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_20_1_Discovery_Loop.png"/>
                    <pic:cNvPicPr/>
                  </pic:nvPicPr>
                  <pic:blipFill>
                    <a:blip r:embed="rIdImg1"/>
                    <a:stretch>
                      <a:fillRect/>
                    </a:stretch>
                  </pic:blipFill>
                  <pic:spPr>
                    <a:xfrm>
                      <a:off x="0" y="0"/>
                      <a:ext cx="5486400" cy="3320715"/>
                    </a:xfrm>
                    <a:prstGeom prst="rect">
                      <a:avLst/>
                    </a:prstGeom>
                  </pic:spPr>
                </pic:pic>
              </a:graphicData>
            </a:graphic>
          </wp:inline>
        </w:drawing>
      </w:r>
    </w:p>
    <w:p>
      <w:pPr>
        <w:pStyle w:val="FigureCaption"/>
      </w:pPr>
      <w:r>
        <w:t xml:space="preserve">Figure 20.1. Architecture of an autonomous closed-loop drug discovery pipeline, in which a central AI decision engine coordinates target identification, generative molecular design, property prediction, robotic synthesis, bioassay, and active-learning-driven prioritization in a continuous cycle.</w:t>
      </w:r>
    </w:p>
    <w:p>
      <w:pPr>
        <w:pStyle w:val="Normal"/>
      </w:pPr>
      <w:r>
        <w:t xml:space="preserve">The appeal of autonomy lies in its ability to shorten each iteration of the design-make-test-analyse cycle while simultaneously learning from every experiment. Where a human team might complete a handful of cycles per month, an automated platform can complete many more, and each result refines the model that guides the next proposal [5]. This acceleration compounds over time, producing not only faster timelines but also a richer, self-consistent body of experimental data that would be difficult to assemble through conventional means. Because the same protocols and instruments generate every measurement, the resulting dataset is more internally consistent than the patchwork of literature values on which conventional models are often trained, and this consistency further improves the quality of subsequent learning. The autonomous laboratory thus becomes both a discovery engine and a data factory, and the two roles reinforce one another.</w:t>
      </w:r>
    </w:p>
    <w:p>
      <w:pPr>
        <w:pStyle w:val="Normal"/>
      </w:pPr>
      <w:r>
        <w:t xml:space="preserve">It is worth dwelling on why this reframing is so consequential. In the conventional model, the scientist is the sole locus of learning: knowledge accumulates in the minds and notebooks of a research team, and it is transferred imperfectly and slowly through publications and personal training. In the autonomous model, learning is externalized into models and databases that can be copied, shared, versioned, and improved without loss, and that do not forget. This changes not only the speed of discovery but its very nature, because the accumulated experience of a program becomes a durable, transferable asset rather than tacit expertise bound to particular individuals. Organizations that master this transition may compound their advantages over time, since each project enriches a shared substrate that accelerates the next. At the same time, the externalization of knowledge into models raises new questions about ownership, reproducibility, and the concentration of capability, questions that the field is only beginning to confront and that will shape who benefits from these advances.</w:t>
      </w:r>
    </w:p>
    <w:p>
      <w:pPr>
        <w:pStyle w:val="Heading2"/>
      </w:pPr>
      <w:r>
        <w:t xml:space="preserve">20.1.2 Generative Models for Molecular Design</w:t>
      </w:r>
    </w:p>
    <w:p>
      <w:pPr>
        <w:pStyle w:val="Normal"/>
      </w:pPr>
      <w:r>
        <w:t xml:space="preserve">Generative modelling sits at the heart of AI-driven therapeutic design. Rather than merely classifying or ranking existing molecules, generative models learn the underlying distribution of chemical structures and can sample novel entities from it. Early approaches used variational autoencoders and recurrent networks operating on string representations of molecules, mapping discrete chemistry into continuous latent spaces amenable to optimization [6]. In such a latent space, the abstract problem of inventing a better molecule becomes the tractable problem of moving in a favourable direction along a smooth mathematical surface, and gradient-based optimization can be brought to bear where previously only trial and error was possible. Generative adversarial networks and reinforcement-learning-guided generators followed, allowing designers to bias sampling toward molecules predicted to satisfy multiple objectives simultaneously, such as potency, selectivity, solubility, and synthetic accessibility [7].</w:t>
      </w:r>
    </w:p>
    <w:p>
      <w:pPr>
        <w:pStyle w:val="Normal"/>
      </w:pPr>
      <w:r>
        <w:t xml:space="preserve">This multi-objective character is essential, because a real therapeutic must satisfy many competing constraints at once, and improving one property frequently degrades another. A molecule that binds its target with exquisite affinity is worthless if it cannot cross the relevant biological membranes or if it is metabolized within minutes. Generative systems that can navigate these trade-offs, proposing candidates that are balanced rather than optimal along a single axis, are therefore far more useful than those that optimize a single number. The framing of molecular design as a many-objective search is one of the conceptual advances that distinguishes modern generative pharmacology from its predecessors.</w:t>
      </w:r>
    </w:p>
    <w:p>
      <w:pPr>
        <w:pStyle w:val="Normal"/>
      </w:pPr>
      <w:r>
        <w:t xml:space="preserve">More recently, diffusion models and graph-based generative architectures have expanded the field's capacity to design three-dimensional structures directly within the binding pocket of a target protein [8]. Structure-based generative design conditions molecule generation on the geometry and electrostatics of the target site, producing candidates whose complementarity to the receptor is built in by construction rather than discovered by chance [9]. This is a profound shift, because it allows the design process to exploit detailed physical knowledge of the target rather than relying solely on statistical association. The remarkable progress in protein structure prediction, exemplified by deep-learning systems that predict folded conformations with near-experimental accuracy, has dramatically enlarged the set of targets amenable to structure-based approaches [10]. Where once a structure had to be laboriously determined by crystallography before structure-based design could begin, a high-quality predicted structure can now serve as the starting point, and the number of accessible targets has expanded accordingly. This synergy between structure prediction and structure-based design is one of the defining developments of the current era [11].</w:t>
      </w:r>
    </w:p>
    <w:p>
      <w:pPr>
        <w:pStyle w:val="TableCaption"/>
      </w:pPr>
      <w:r>
        <w:t xml:space="preserve">Table 20.1 summarizes the principal families of generative models used in molecular design, along with their representative strengths and limitations. No single architecture dominates; instead, practitioners increasingly combine complementary methods, using one model to propose diverse scaffolds and another to refine and score them [12]. This ensemble mindset reflects a general maturation of the field, in which the question is no longer which model is best in the abstract but how a portfolio of models can be orchestrated to serve a concrete design goal.</w:t>
      </w:r>
    </w:p>
    <w:p>
      <w:pPr>
        <w:pStyle w:val="TableCaption"/>
      </w:pPr>
      <w:r>
        <w:t xml:space="preserve">Table 20.1. Generative model families used in AI-driven molecular design.</w:t>
      </w:r>
    </w:p>
    <w:tbl>
      <w:tblPr>
        <w:tblW w:w="92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00"/>
        <w:gridCol w:w="2300"/>
        <w:gridCol w:w="2300"/>
        <w:gridCol w:w="2300"/>
      </w:tblGrid>
      <w:tr>
        <w:tc>
          <w:tcPr>
            <w:tcW w:w="2300" w:type="dxa"/>
            <w:shd w:val="clear" w:color="auto" w:fill="D9E2F3"/>
          </w:tcPr>
          <w:p>
            <w:pPr>
              <w:jc w:val="center"/>
              <w:spacing w:after="40" w:line="240" w:lineRule="auto"/>
            </w:pPr>
            <w:r>
              <w:rPr>
                <w:b/>
              </w:rPr>
              <w:t xml:space="preserve">Model Family</w:t>
            </w:r>
          </w:p>
        </w:tc>
        <w:tc>
          <w:tcPr>
            <w:tcW w:w="2300" w:type="dxa"/>
            <w:shd w:val="clear" w:color="auto" w:fill="D9E2F3"/>
          </w:tcPr>
          <w:p>
            <w:pPr>
              <w:jc w:val="center"/>
              <w:spacing w:after="40" w:line="240" w:lineRule="auto"/>
            </w:pPr>
            <w:r>
              <w:rPr>
                <w:b/>
              </w:rPr>
              <w:t xml:space="preserve">Representation</w:t>
            </w:r>
          </w:p>
        </w:tc>
        <w:tc>
          <w:tcPr>
            <w:tcW w:w="2300" w:type="dxa"/>
            <w:shd w:val="clear" w:color="auto" w:fill="D9E2F3"/>
          </w:tcPr>
          <w:p>
            <w:pPr>
              <w:jc w:val="center"/>
              <w:spacing w:after="40" w:line="240" w:lineRule="auto"/>
            </w:pPr>
            <w:r>
              <w:rPr>
                <w:b/>
              </w:rPr>
              <w:t xml:space="preserve">Key Strength</w:t>
            </w:r>
          </w:p>
        </w:tc>
        <w:tc>
          <w:tcPr>
            <w:tcW w:w="2300" w:type="dxa"/>
            <w:shd w:val="clear" w:color="auto" w:fill="D9E2F3"/>
          </w:tcPr>
          <w:p>
            <w:pPr>
              <w:jc w:val="center"/>
              <w:spacing w:after="40" w:line="240" w:lineRule="auto"/>
            </w:pPr>
            <w:r>
              <w:rPr>
                <w:b/>
              </w:rPr>
              <w:t xml:space="preserve">Key Limitation</w:t>
            </w:r>
          </w:p>
        </w:tc>
      </w:tr>
      <w:tr>
        <w:tc>
          <w:tcPr>
            <w:tcW w:w="2300" w:type="dxa"/>
          </w:tcPr>
          <w:p>
            <w:pPr>
              <w:spacing w:after="40" w:line="240" w:lineRule="auto"/>
            </w:pPr>
            <w:r>
              <w:t xml:space="preserve">Variational autoencoders</w:t>
            </w:r>
          </w:p>
        </w:tc>
        <w:tc>
          <w:tcPr>
            <w:tcW w:w="2300" w:type="dxa"/>
          </w:tcPr>
          <w:p>
            <w:pPr>
              <w:spacing w:after="40" w:line="240" w:lineRule="auto"/>
            </w:pPr>
            <w:r>
              <w:t xml:space="preserve">SMILES / latent vectors</w:t>
            </w:r>
          </w:p>
        </w:tc>
        <w:tc>
          <w:tcPr>
            <w:tcW w:w="2300" w:type="dxa"/>
          </w:tcPr>
          <w:p>
            <w:pPr>
              <w:spacing w:after="40" w:line="240" w:lineRule="auto"/>
            </w:pPr>
            <w:r>
              <w:t xml:space="preserve">Smooth latent space for optimization</w:t>
            </w:r>
          </w:p>
        </w:tc>
        <w:tc>
          <w:tcPr>
            <w:tcW w:w="2300" w:type="dxa"/>
          </w:tcPr>
          <w:p>
            <w:pPr>
              <w:spacing w:after="40" w:line="240" w:lineRule="auto"/>
            </w:pPr>
            <w:r>
              <w:t xml:space="preserve">Limited validity, blurry samples</w:t>
            </w:r>
          </w:p>
        </w:tc>
      </w:tr>
      <w:tr>
        <w:tc>
          <w:tcPr>
            <w:tcW w:w="2300" w:type="dxa"/>
          </w:tcPr>
          <w:p>
            <w:pPr>
              <w:spacing w:after="40" w:line="240" w:lineRule="auto"/>
            </w:pPr>
            <w:r>
              <w:t xml:space="preserve">Recurrent / autoregressive</w:t>
            </w:r>
          </w:p>
        </w:tc>
        <w:tc>
          <w:tcPr>
            <w:tcW w:w="2300" w:type="dxa"/>
          </w:tcPr>
          <w:p>
            <w:pPr>
              <w:spacing w:after="40" w:line="240" w:lineRule="auto"/>
            </w:pPr>
            <w:r>
              <w:t xml:space="preserve">SMILES / SELFIES</w:t>
            </w:r>
          </w:p>
        </w:tc>
        <w:tc>
          <w:tcPr>
            <w:tcW w:w="2300" w:type="dxa"/>
          </w:tcPr>
          <w:p>
            <w:pPr>
              <w:spacing w:after="40" w:line="240" w:lineRule="auto"/>
            </w:pPr>
            <w:r>
              <w:t xml:space="preserve">Simple training, high validity</w:t>
            </w:r>
          </w:p>
        </w:tc>
        <w:tc>
          <w:tcPr>
            <w:tcW w:w="2300" w:type="dxa"/>
          </w:tcPr>
          <w:p>
            <w:pPr>
              <w:spacing w:after="40" w:line="240" w:lineRule="auto"/>
            </w:pPr>
            <w:r>
              <w:t xml:space="preserve">Weak long-range structural control</w:t>
            </w:r>
          </w:p>
        </w:tc>
      </w:tr>
      <w:tr>
        <w:tc>
          <w:tcPr>
            <w:tcW w:w="2300" w:type="dxa"/>
          </w:tcPr>
          <w:p>
            <w:pPr>
              <w:spacing w:after="40" w:line="240" w:lineRule="auto"/>
            </w:pPr>
            <w:r>
              <w:t xml:space="preserve">Generative adversarial nets</w:t>
            </w:r>
          </w:p>
        </w:tc>
        <w:tc>
          <w:tcPr>
            <w:tcW w:w="2300" w:type="dxa"/>
          </w:tcPr>
          <w:p>
            <w:pPr>
              <w:spacing w:after="40" w:line="240" w:lineRule="auto"/>
            </w:pPr>
            <w:r>
              <w:t xml:space="preserve">Strings / graphs</w:t>
            </w:r>
          </w:p>
        </w:tc>
        <w:tc>
          <w:tcPr>
            <w:tcW w:w="2300" w:type="dxa"/>
          </w:tcPr>
          <w:p>
            <w:pPr>
              <w:spacing w:after="40" w:line="240" w:lineRule="auto"/>
            </w:pPr>
            <w:r>
              <w:t xml:space="preserve">Sharp, diverse outputs</w:t>
            </w:r>
          </w:p>
        </w:tc>
        <w:tc>
          <w:tcPr>
            <w:tcW w:w="2300" w:type="dxa"/>
          </w:tcPr>
          <w:p>
            <w:pPr>
              <w:spacing w:after="40" w:line="240" w:lineRule="auto"/>
            </w:pPr>
            <w:r>
              <w:t xml:space="preserve">Training instability, mode collapse</w:t>
            </w:r>
          </w:p>
        </w:tc>
      </w:tr>
      <w:tr>
        <w:tc>
          <w:tcPr>
            <w:tcW w:w="2300" w:type="dxa"/>
          </w:tcPr>
          <w:p>
            <w:pPr>
              <w:spacing w:after="40" w:line="240" w:lineRule="auto"/>
            </w:pPr>
            <w:r>
              <w:t xml:space="preserve">Graph generative models</w:t>
            </w:r>
          </w:p>
        </w:tc>
        <w:tc>
          <w:tcPr>
            <w:tcW w:w="2300" w:type="dxa"/>
          </w:tcPr>
          <w:p>
            <w:pPr>
              <w:spacing w:after="40" w:line="240" w:lineRule="auto"/>
            </w:pPr>
            <w:r>
              <w:t xml:space="preserve">Molecular graphs</w:t>
            </w:r>
          </w:p>
        </w:tc>
        <w:tc>
          <w:tcPr>
            <w:tcW w:w="2300" w:type="dxa"/>
          </w:tcPr>
          <w:p>
            <w:pPr>
              <w:spacing w:after="40" w:line="240" w:lineRule="auto"/>
            </w:pPr>
            <w:r>
              <w:t xml:space="preserve">Direct structural constraints</w:t>
            </w:r>
          </w:p>
        </w:tc>
        <w:tc>
          <w:tcPr>
            <w:tcW w:w="2300" w:type="dxa"/>
          </w:tcPr>
          <w:p>
            <w:pPr>
              <w:spacing w:after="40" w:line="240" w:lineRule="auto"/>
            </w:pPr>
            <w:r>
              <w:t xml:space="preserve">Scalability to large molecules</w:t>
            </w:r>
          </w:p>
        </w:tc>
      </w:tr>
      <w:tr>
        <w:tc>
          <w:tcPr>
            <w:tcW w:w="2300" w:type="dxa"/>
          </w:tcPr>
          <w:p>
            <w:pPr>
              <w:spacing w:after="40" w:line="240" w:lineRule="auto"/>
            </w:pPr>
            <w:r>
              <w:t xml:space="preserve">Diffusion models</w:t>
            </w:r>
          </w:p>
        </w:tc>
        <w:tc>
          <w:tcPr>
            <w:tcW w:w="2300" w:type="dxa"/>
          </w:tcPr>
          <w:p>
            <w:pPr>
              <w:spacing w:after="40" w:line="240" w:lineRule="auto"/>
            </w:pPr>
            <w:r>
              <w:t xml:space="preserve">3D coordinates / graphs</w:t>
            </w:r>
          </w:p>
        </w:tc>
        <w:tc>
          <w:tcPr>
            <w:tcW w:w="2300" w:type="dxa"/>
          </w:tcPr>
          <w:p>
            <w:pPr>
              <w:spacing w:after="40" w:line="240" w:lineRule="auto"/>
            </w:pPr>
            <w:r>
              <w:t xml:space="preserve">High-quality 3D, pocket conditioning</w:t>
            </w:r>
          </w:p>
        </w:tc>
        <w:tc>
          <w:tcPr>
            <w:tcW w:w="2300" w:type="dxa"/>
          </w:tcPr>
          <w:p>
            <w:pPr>
              <w:spacing w:after="40" w:line="240" w:lineRule="auto"/>
            </w:pPr>
            <w:r>
              <w:t xml:space="preserve">Computationally intensive sampling</w:t>
            </w:r>
          </w:p>
        </w:tc>
      </w:tr>
    </w:tbl>
    <w:p/>
    <w:p>
      <w:pPr>
        <w:pStyle w:val="Normal"/>
      </w:pPr>
      <w:r>
        <w:t xml:space="preserve">Beyond small molecules, generative methods are extending into biologics, including antibodies, peptides, and enzymes, where sequence and structure jointly determine function [13]. These modalities are increasingly important therapeutically, and they present design challenges that differ fundamentally from those of small molecules, because their properties emerge from long sequences that fold into complex three-dimensional shapes. Protein language models trained on vast repositories of natural sequences can propose novel variants with improved stability, expression, or binding affinity, opening a route to computationally designed therapeutic proteins [14]. Just as language models learn the grammar of human languages from text, these models learn the implicit grammar of viable proteins from evolution's accumulated record, and they can generate new sequences that respect that grammar. The design of entirely de novo proteins with prescribed folds and functions, once considered aspirational, is now demonstrable, hinting at a future in which therapeutic modalities are engineered from first principles rather than discovered in nature [15]. Such capabilities blur the historical boundary between discovery and invention, and they suggest that the space of possible medicines is far larger than the space nature happens to have explored.</w:t>
      </w:r>
    </w:p>
    <w:p>
      <w:pPr>
        <w:pStyle w:val="Normal"/>
      </w:pPr>
      <w:r>
        <w:t xml:space="preserve">The practical deployment of generative models nonetheless remains subtle. A generator that produces chemically valid but synthetically intractable molecules is of limited use, and early systems were notorious for proposing structures that no chemist could reasonably make. Contemporary practice therefore couples generation tightly to synthesizability scoring and to retrosynthetic feasibility, so that novelty is pursued only within the boundaries of what can actually be produced. Similarly, a generator that produces molecules indistinguishable from those already in its training set adds little value, and so diversity and novelty must be measured and rewarded explicitly rather than assumed. The art of applied generative design lies in balancing these tensions, pushing far enough into unexplored territory to find genuinely new chemistry while remaining close enough to the known to keep predictions reliable and synthesis achievable. This balance cannot be struck once and forgotten; it must be tuned continually as a program matures and as the models learn from the molecules that are actually made and tested.</w:t>
      </w:r>
    </w:p>
    <w:p>
      <w:pPr>
        <w:pStyle w:val="Heading2"/>
      </w:pPr>
      <w:r>
        <w:t xml:space="preserve">20.1.3 Predictive Modelling of Efficacy, Safety, and Pharmacokinetics</w:t>
      </w:r>
    </w:p>
    <w:p>
      <w:pPr>
        <w:pStyle w:val="Normal"/>
      </w:pPr>
      <w:r>
        <w:t xml:space="preserve">Designing a molecule that binds its target is necessary but far from sufficient. A viable therapeutic must be absorbed, distributed, metabolized, and excreted appropriately, must avoid toxicity, and must achieve efficacy at tolerable doses. AI-driven ADMET (absorption, distribution, metabolism, excretion, and toxicity) prediction models attempt to forecast these properties early, filtering unpromising candidates before costly synthesis and testing [16]. By front-loading safety and pharmacokinetic assessment, such models directly attack the attrition that historically consumes late-stage pipelines, where failures are most expensive because so much has already been invested [17]. The economic logic is compelling: a prediction that costs fractions of a cent can, if reliable, avert an experiment that costs thousands of dollars or a clinical failure that costs far more.</w:t>
      </w:r>
    </w:p>
    <w:p>
      <w:pPr>
        <w:pStyle w:val="Normal"/>
      </w:pPr>
      <w:r>
        <w:t xml:space="preserve">The reliability of these predictions, however, depends critically on data quality and the breadth of the chemical space represented in training [18]. Models often perform well within the neighbourhood of their training data but degrade when asked to extrapolate to novel scaffolds, a phenomenon that motivates careful applicability-domain analysis and uncertainty quantification. This is a particular danger in discovery, because the whole point of generative design is to venture into unexplored regions of chemical space, precisely where predictive models are least trustworthy. A model that is confidently wrong about a novel structure can send a program down an expensive dead end, and so honest characterization of a model's limits is as valuable as its raw accuracy. Quantifying and communicating predictive uncertainty is increasingly viewed as essential, because a confident but wrong toxicity prediction can be more dangerous than an honest acknowledgement of ignorance [19].</w:t>
      </w:r>
    </w:p>
    <w:p>
      <w:pPr>
        <w:pStyle w:val="Normal"/>
      </w:pPr>
      <w:r>
        <w:t xml:space="preserve">Figure 20.2 contrasts representative preclinical timelines under conventional and AI-driven workflows, illustrating how predictive triage and automated experimentation can compress the interval from target selection to candidate nomination. While such comparisons are necessarily illustrative rather than universal, they capture the qualitative shift that autonomous methods enable when data and infrastructure are adequate [20]. It is important to read such figures with appropriate caution; the gains they depict are achievable in favourable circumstances but are not guaranteed, and a poorly conceived AI program can be slower and more expensive than a well-run conventional one. The value of the comparison lies in the direction it points rather than in the precise magnitudes it reports, and the responsible interpretation of such claims is itself an important discipline within the field. As the staged reductions in Figure 20.2 suggest, the largest time savings tend to accrue at the earliest phases, where computational triage can eliminate unpromising directions before any laboratory resource is committed, whereas later phases remain gated by the irreducible timescales of biology and by the need for careful experimental confirmation.</w:t>
      </w:r>
    </w:p>
    <w:p>
      <w:pPr>
        <w:pStyle w:val="FigureImage"/>
      </w:pPr>
      <w:r>
        <w:drawing>
          <wp:inline xmlns:wp="http://schemas.openxmlformats.org/drawingml/2006/wordprocessingDrawing" distT="0" distB="0" distL="0" distR="0">
            <wp:extent cx="5486400" cy="3392905"/>
            <wp:effectExtent l="0" t="0" r="0" b="0"/>
            <wp:docPr id="1002" name="Figure_20_2_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ure_20_2_Timeline.png"/>
                    <pic:cNvPicPr/>
                  </pic:nvPicPr>
                  <pic:blipFill>
                    <a:blip r:embed="rIdImg2"/>
                    <a:stretch>
                      <a:fillRect/>
                    </a:stretch>
                  </pic:blipFill>
                  <pic:spPr>
                    <a:xfrm>
                      <a:off x="0" y="0"/>
                      <a:ext cx="5486400" cy="3392905"/>
                    </a:xfrm>
                    <a:prstGeom prst="rect">
                      <a:avLst/>
                    </a:prstGeom>
                  </pic:spPr>
                </pic:pic>
              </a:graphicData>
            </a:graphic>
          </wp:inline>
        </w:drawing>
      </w:r>
    </w:p>
    <w:p>
      <w:pPr>
        <w:pStyle w:val="FigureCaption"/>
      </w:pPr>
      <w:r>
        <w:t xml:space="preserve">Figure 20.2. Illustrative comparison of preclinical timelines under conventional and AI-driven workflows across successive discovery stages, showing the compression of early-stage durations enabled by predictive triage and automated experimentation.</w:t>
      </w:r>
    </w:p>
    <w:p>
      <w:pPr>
        <w:pStyle w:val="Heading2"/>
      </w:pPr>
      <w:r>
        <w:t xml:space="preserve">20.1.4 Closed-Loop Experimentation and Self-Driving Laboratories</w:t>
      </w:r>
    </w:p>
    <w:p>
      <w:pPr>
        <w:pStyle w:val="Normal"/>
      </w:pPr>
      <w:r>
        <w:t xml:space="preserve">The full promise of autonomous discovery is realized only when computational design is coupled to physical execution. Self-driving laboratories integrate robotic synthesis and assay platforms with AI planners that select the next experiment to perform, forming a closed loop in which the machine both proposes and disposes [21]. In these systems, the boundary between the computational and the physical dissolves, and the laboratory becomes an embodied agent that pursues a goal through iterated experimentation. Active learning strategies guide this selection, balancing exploitation of promising regions against exploration of uncertain ones so that each experiment maximally reduces the model's ignorance [22]. This principled approach to deciding what to do next is what separates an autonomous laboratory from a merely automated one; automation performs a fixed protocol quickly, whereas autonomy decides which protocol to perform.</w:t>
      </w:r>
    </w:p>
    <w:p>
      <w:pPr>
        <w:pStyle w:val="Normal"/>
      </w:pPr>
      <w:r>
        <w:t xml:space="preserve">Retrosynthetic planning, in which an AI system decomposes a target molecule into a feasible sequence of commercially available precursors and reactions, is a crucial enabler of this loop [23]. Without a synthetic route, even the most promising designed molecule remains a drawing on a screen, and the historical difficulty of synthesis has often been the rate-limiting step in discovery. When coupled with automated synthesis hardware, retrosynthesis transforms a proposed structure into an executable protocol, closing the gap between design and matter [24]. The integration of these components, as depicted in Figure 20.1, distinguishes truly autonomous platforms from those that merely automate isolated steps, and it is this integration, rather than any single component, that constitutes the genuine advance.</w:t>
      </w:r>
    </w:p>
    <w:p>
      <w:pPr>
        <w:pStyle w:val="TableCaption"/>
      </w:pPr>
      <w:r>
        <w:t xml:space="preserve">Table 20.2 outlines the core capabilities that distinguish levels of autonomy in discovery workflows, adapting the familiar notion of graded autonomy from other engineering domains to the pharmacological context [25]. As with autonomous vehicles, higher levels do not eliminate the human role but reposition it toward oversight, goal-setting, and exception handling [26]. This framing is useful because it dispels the false dichotomy between fully manual and fully autonomous discovery, revealing instead a continuum along which responsibility is progressively delegated as trust is earned. Most real systems today occupy the middle of this spectrum, and the trajectory of the field can be understood as a gradual, carefully validated climb toward higher levels.</w:t>
      </w:r>
    </w:p>
    <w:p>
      <w:pPr>
        <w:pStyle w:val="Normal"/>
      </w:pPr>
      <w:r>
        <w:t xml:space="preserve">The graded view of autonomy also carries a practical implication for how such systems should be introduced. Rather than attempting to leap directly to full autonomy, prudent deployment advances one level at a time, accumulating evidence of reliability at each stage before ceding further control. This incremental approach allows failures to be caught while a human is still closely involved, and it builds the empirical track record that justifies greater delegation. It mirrors the way trust develops between human collaborators, who take on shared responsibility gradually as they come to rely on one another, and it stands in contrast to the temptation to deploy the most capable system as quickly as possible. The discipline of climbing the autonomy ladder deliberately, rather than vaulting to its top, is one of the practical safeguards that distinguishes responsible development from reckless enthusiasm, and it applies with equal force to discovery platforms and to the delivery devices discussed in the following section.</w:t>
      </w:r>
    </w:p>
    <w:p>
      <w:pPr>
        <w:pStyle w:val="TableCaption"/>
      </w:pPr>
      <w:r>
        <w:t xml:space="preserve">Table 20.2. Levels of autonomy in AI-driven drug discovery workflows.</w:t>
      </w:r>
    </w:p>
    <w:tbl>
      <w:tblPr>
        <w:tblW w:w="92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00"/>
        <w:gridCol w:w="2300"/>
        <w:gridCol w:w="2300"/>
        <w:gridCol w:w="2300"/>
      </w:tblGrid>
      <w:tr>
        <w:tc>
          <w:tcPr>
            <w:tcW w:w="2300" w:type="dxa"/>
            <w:shd w:val="clear" w:color="auto" w:fill="D9E2F3"/>
          </w:tcPr>
          <w:p>
            <w:pPr>
              <w:jc w:val="center"/>
              <w:spacing w:after="40" w:line="240" w:lineRule="auto"/>
            </w:pPr>
            <w:r>
              <w:rPr>
                <w:b/>
              </w:rPr>
              <w:t xml:space="preserve">Level</w:t>
            </w:r>
          </w:p>
        </w:tc>
        <w:tc>
          <w:tcPr>
            <w:tcW w:w="2300" w:type="dxa"/>
            <w:shd w:val="clear" w:color="auto" w:fill="D9E2F3"/>
          </w:tcPr>
          <w:p>
            <w:pPr>
              <w:jc w:val="center"/>
              <w:spacing w:after="40" w:line="240" w:lineRule="auto"/>
            </w:pPr>
            <w:r>
              <w:rPr>
                <w:b/>
              </w:rPr>
              <w:t xml:space="preserve">Description</w:t>
            </w:r>
          </w:p>
        </w:tc>
        <w:tc>
          <w:tcPr>
            <w:tcW w:w="2300" w:type="dxa"/>
            <w:shd w:val="clear" w:color="auto" w:fill="D9E2F3"/>
          </w:tcPr>
          <w:p>
            <w:pPr>
              <w:jc w:val="center"/>
              <w:spacing w:after="40" w:line="240" w:lineRule="auto"/>
            </w:pPr>
            <w:r>
              <w:rPr>
                <w:b/>
              </w:rPr>
              <w:t xml:space="preserve">Human Role</w:t>
            </w:r>
          </w:p>
        </w:tc>
        <w:tc>
          <w:tcPr>
            <w:tcW w:w="2300" w:type="dxa"/>
            <w:shd w:val="clear" w:color="auto" w:fill="D9E2F3"/>
          </w:tcPr>
          <w:p>
            <w:pPr>
              <w:jc w:val="center"/>
              <w:spacing w:after="40" w:line="240" w:lineRule="auto"/>
            </w:pPr>
            <w:r>
              <w:rPr>
                <w:b/>
              </w:rPr>
              <w:t xml:space="preserve">Example Capability</w:t>
            </w:r>
          </w:p>
        </w:tc>
      </w:tr>
      <w:tr>
        <w:tc>
          <w:tcPr>
            <w:tcW w:w="2300" w:type="dxa"/>
          </w:tcPr>
          <w:p>
            <w:pPr>
              <w:spacing w:after="40" w:line="240" w:lineRule="auto"/>
            </w:pPr>
            <w:r>
              <w:t xml:space="preserve">L0</w:t>
            </w:r>
          </w:p>
        </w:tc>
        <w:tc>
          <w:tcPr>
            <w:tcW w:w="2300" w:type="dxa"/>
          </w:tcPr>
          <w:p>
            <w:pPr>
              <w:spacing w:after="40" w:line="240" w:lineRule="auto"/>
            </w:pPr>
            <w:r>
              <w:t xml:space="preserve">Manual discovery</w:t>
            </w:r>
          </w:p>
        </w:tc>
        <w:tc>
          <w:tcPr>
            <w:tcW w:w="2300" w:type="dxa"/>
          </w:tcPr>
          <w:p>
            <w:pPr>
              <w:spacing w:after="40" w:line="240" w:lineRule="auto"/>
            </w:pPr>
            <w:r>
              <w:t xml:space="preserve">Performs all steps</w:t>
            </w:r>
          </w:p>
        </w:tc>
        <w:tc>
          <w:tcPr>
            <w:tcW w:w="2300" w:type="dxa"/>
          </w:tcPr>
          <w:p>
            <w:pPr>
              <w:spacing w:after="40" w:line="240" w:lineRule="auto"/>
            </w:pPr>
            <w:r>
              <w:t xml:space="preserve">Traditional medicinal chemistry</w:t>
            </w:r>
          </w:p>
        </w:tc>
      </w:tr>
      <w:tr>
        <w:tc>
          <w:tcPr>
            <w:tcW w:w="2300" w:type="dxa"/>
          </w:tcPr>
          <w:p>
            <w:pPr>
              <w:spacing w:after="40" w:line="240" w:lineRule="auto"/>
            </w:pPr>
            <w:r>
              <w:t xml:space="preserve">L1</w:t>
            </w:r>
          </w:p>
        </w:tc>
        <w:tc>
          <w:tcPr>
            <w:tcW w:w="2300" w:type="dxa"/>
          </w:tcPr>
          <w:p>
            <w:pPr>
              <w:spacing w:after="40" w:line="240" w:lineRule="auto"/>
            </w:pPr>
            <w:r>
              <w:t xml:space="preserve">Assisted prediction</w:t>
            </w:r>
          </w:p>
        </w:tc>
        <w:tc>
          <w:tcPr>
            <w:tcW w:w="2300" w:type="dxa"/>
          </w:tcPr>
          <w:p>
            <w:pPr>
              <w:spacing w:after="40" w:line="240" w:lineRule="auto"/>
            </w:pPr>
            <w:r>
              <w:t xml:space="preserve">Interprets model outputs</w:t>
            </w:r>
          </w:p>
        </w:tc>
        <w:tc>
          <w:tcPr>
            <w:tcW w:w="2300" w:type="dxa"/>
          </w:tcPr>
          <w:p>
            <w:pPr>
              <w:spacing w:after="40" w:line="240" w:lineRule="auto"/>
            </w:pPr>
            <w:r>
              <w:t xml:space="preserve">Property and activity prediction</w:t>
            </w:r>
          </w:p>
        </w:tc>
      </w:tr>
      <w:tr>
        <w:tc>
          <w:tcPr>
            <w:tcW w:w="2300" w:type="dxa"/>
          </w:tcPr>
          <w:p>
            <w:pPr>
              <w:spacing w:after="40" w:line="240" w:lineRule="auto"/>
            </w:pPr>
            <w:r>
              <w:t xml:space="preserve">L2</w:t>
            </w:r>
          </w:p>
        </w:tc>
        <w:tc>
          <w:tcPr>
            <w:tcW w:w="2300" w:type="dxa"/>
          </w:tcPr>
          <w:p>
            <w:pPr>
              <w:spacing w:after="40" w:line="240" w:lineRule="auto"/>
            </w:pPr>
            <w:r>
              <w:t xml:space="preserve">Guided generation</w:t>
            </w:r>
          </w:p>
        </w:tc>
        <w:tc>
          <w:tcPr>
            <w:tcW w:w="2300" w:type="dxa"/>
          </w:tcPr>
          <w:p>
            <w:pPr>
              <w:spacing w:after="40" w:line="240" w:lineRule="auto"/>
            </w:pPr>
            <w:r>
              <w:t xml:space="preserve">Approves candidates</w:t>
            </w:r>
          </w:p>
        </w:tc>
        <w:tc>
          <w:tcPr>
            <w:tcW w:w="2300" w:type="dxa"/>
          </w:tcPr>
          <w:p>
            <w:pPr>
              <w:spacing w:after="40" w:line="240" w:lineRule="auto"/>
            </w:pPr>
            <w:r>
              <w:t xml:space="preserve">Generative design with human review</w:t>
            </w:r>
          </w:p>
        </w:tc>
      </w:tr>
      <w:tr>
        <w:tc>
          <w:tcPr>
            <w:tcW w:w="2300" w:type="dxa"/>
          </w:tcPr>
          <w:p>
            <w:pPr>
              <w:spacing w:after="40" w:line="240" w:lineRule="auto"/>
            </w:pPr>
            <w:r>
              <w:t xml:space="preserve">L3</w:t>
            </w:r>
          </w:p>
        </w:tc>
        <w:tc>
          <w:tcPr>
            <w:tcW w:w="2300" w:type="dxa"/>
          </w:tcPr>
          <w:p>
            <w:pPr>
              <w:spacing w:after="40" w:line="240" w:lineRule="auto"/>
            </w:pPr>
            <w:r>
              <w:t xml:space="preserve">Closed-loop under supervision</w:t>
            </w:r>
          </w:p>
        </w:tc>
        <w:tc>
          <w:tcPr>
            <w:tcW w:w="2300" w:type="dxa"/>
          </w:tcPr>
          <w:p>
            <w:pPr>
              <w:spacing w:after="40" w:line="240" w:lineRule="auto"/>
            </w:pPr>
            <w:r>
              <w:t xml:space="preserve">Sets goals, monitors</w:t>
            </w:r>
          </w:p>
        </w:tc>
        <w:tc>
          <w:tcPr>
            <w:tcW w:w="2300" w:type="dxa"/>
          </w:tcPr>
          <w:p>
            <w:pPr>
              <w:spacing w:after="40" w:line="240" w:lineRule="auto"/>
            </w:pPr>
            <w:r>
              <w:t xml:space="preserve">Self-driving lab with checkpoints</w:t>
            </w:r>
          </w:p>
        </w:tc>
      </w:tr>
      <w:tr>
        <w:tc>
          <w:tcPr>
            <w:tcW w:w="2300" w:type="dxa"/>
          </w:tcPr>
          <w:p>
            <w:pPr>
              <w:spacing w:after="40" w:line="240" w:lineRule="auto"/>
            </w:pPr>
            <w:r>
              <w:t xml:space="preserve">L4</w:t>
            </w:r>
          </w:p>
        </w:tc>
        <w:tc>
          <w:tcPr>
            <w:tcW w:w="2300" w:type="dxa"/>
          </w:tcPr>
          <w:p>
            <w:pPr>
              <w:spacing w:after="40" w:line="240" w:lineRule="auto"/>
            </w:pPr>
            <w:r>
              <w:t xml:space="preserve">Broadly autonomous</w:t>
            </w:r>
          </w:p>
        </w:tc>
        <w:tc>
          <w:tcPr>
            <w:tcW w:w="2300" w:type="dxa"/>
          </w:tcPr>
          <w:p>
            <w:pPr>
              <w:spacing w:after="40" w:line="240" w:lineRule="auto"/>
            </w:pPr>
            <w:r>
              <w:t xml:space="preserve">Audits and governs</w:t>
            </w:r>
          </w:p>
        </w:tc>
        <w:tc>
          <w:tcPr>
            <w:tcW w:w="2300" w:type="dxa"/>
          </w:tcPr>
          <w:p>
            <w:pPr>
              <w:spacing w:after="40" w:line="240" w:lineRule="auto"/>
            </w:pPr>
            <w:r>
              <w:t xml:space="preserve">End-to-end hypothesis-to-lead</w:t>
            </w:r>
          </w:p>
        </w:tc>
      </w:tr>
    </w:tbl>
    <w:p/>
    <w:p>
      <w:pPr>
        <w:pStyle w:val="Heading2"/>
      </w:pPr>
      <w:r>
        <w:t xml:space="preserve">20.1.5 Data, Reproducibility, and Foundation Models</w:t>
      </w:r>
    </w:p>
    <w:p>
      <w:pPr>
        <w:pStyle w:val="Normal"/>
      </w:pPr>
      <w:r>
        <w:t xml:space="preserve">The performance of every model described above is bounded by the data on which it is trained. Biomedical data are notoriously heterogeneous, sparse, biased toward historically studied targets, and frequently locked within proprietary silos [27]. A model can only learn what its data teach it, and if those data over-represent certain protein families, certain chemical classes, or certain patient populations, the model will inherit and often amplify those biases. Negative results, which are enormously informative for learning, are systematically underreported, distorting the statistical picture that models absorb [28]. The scientific literature preserves successes far more faithfully than failures, yet a model trained only on what worked has a badly skewed understanding of what does not, and this asymmetry silently undermines predictive reliability. Addressing these deficits through standardized, well-annotated, and openly shared datasets is arguably as important to progress as any algorithmic advance [29].</w:t>
      </w:r>
    </w:p>
    <w:p>
      <w:pPr>
        <w:pStyle w:val="Normal"/>
      </w:pPr>
      <w:r>
        <w:t xml:space="preserve">Foundation models trained on massive multimodal corpora, spanning chemical structures, biological sequences, assay results, and scientific text, are beginning to serve as general-purpose substrates that can be adapted to many downstream tasks with limited additional data [30]. Such models promise to transfer knowledge across targets and modalities, mitigating the data scarcity that afflicts individual projects; knowledge learned about one protein family can inform predictions about another, and patterns learned from text can complement patterns learned from structure [31]. Yet they also raise concerns about the propagation of hidden biases, the difficulty of auditing enormous parameter sets, and the environmental cost of training at scale, all of which warrant careful attention as the field matures [32]. The very generality that makes foundation models powerful also makes them opaque, and a model whose reasoning cannot be inspected is difficult to trust in a domain where errors carry human consequences. The pursuit of scale must therefore be balanced against the equally important pursuit of transparency, reproducibility, and accountability.</w:t>
      </w:r>
    </w:p>
    <w:p>
      <w:pPr>
        <w:pStyle w:val="Normal"/>
      </w:pPr>
      <w:r>
        <w:t xml:space="preserve">Reproducibility deserves particular emphasis, because it underpins the scientific credibility of the entire enterprise. A model whose results cannot be independently reproduced is not a scientific contribution but a claim, and the biomedical AI literature has at times suffered from an abundance of impressive claims that prove difficult to replicate. Reproducibility requires that datasets, code, model weights, and evaluation protocols be shared with sufficient completeness that an independent group can arrive at the same conclusions, and it requires that evaluations be designed to reflect genuine prospective performance rather than the inflated accuracy that arises when models are tested on data too similar to their training set. The temporal structure of validation matters greatly here: a model evaluated on molecules or patients from the same period as its training data may appear far more capable than it truly is, whereas an evaluation that respects the arrow of time, testing on genuinely future cases, gives a more honest picture. Cultivating a culture that prizes such rigorous, honest evaluation over eye-catching but fragile results is essential if biomedical AI is to earn and retain the trust of the clinical and scientific communities.</w:t>
      </w:r>
    </w:p>
    <w:p>
      <w:pPr>
        <w:pStyle w:val="Heading1"/>
      </w:pPr>
      <w:r>
        <w:t xml:space="preserve">20.2 Self-Optimizing Drug Delivery and Intelligent Medical Devices</w:t>
      </w:r>
    </w:p>
    <w:p>
      <w:pPr>
        <w:pStyle w:val="Heading2"/>
      </w:pPr>
      <w:r>
        <w:t xml:space="preserve">20.2.1 From Static Formulations to Adaptive Delivery</w:t>
      </w:r>
    </w:p>
    <w:p>
      <w:pPr>
        <w:pStyle w:val="Normal"/>
      </w:pPr>
      <w:r>
        <w:t xml:space="preserve">The therapeutic value of a molecule depends not only on its intrinsic properties but also on how, when, and where it is delivered. Conventional dosing regimens deliver a fixed quantity at fixed intervals, an approach that ignores the substantial variability among patients and within a single patient over time [33]. Two individuals prescribed the same dose may experience very different concentrations of the drug in their tissues because of differences in body composition, metabolism, kidney function, and countless other factors, and the same individual's needs may vary from hour to hour with activity, diet, stress, and the progression of disease. A static regimen is therefore always a compromise, chosen to be safe for most people most of the time rather than optimal for any particular person at any particular moment. Intelligent drug delivery seeks to replace this static paradigm with adaptive systems that sense physiological state and modulate dosing accordingly, moving toward truly personalized pharmacotherapy [34].</w:t>
      </w:r>
    </w:p>
    <w:p>
      <w:pPr>
        <w:pStyle w:val="Normal"/>
      </w:pPr>
      <w:r>
        <w:t xml:space="preserve">Figure 20.3 depicts the architecture of a self-optimizing closed-loop delivery device, in which biosensors continuously monitor relevant biomarkers, an embedded controller interprets these signals in real time, and a micro-actuator adjusts drug release to maintain the patient within a therapeutic target range. This sense-decide-actuate loop mirrors the closed-loop philosophy of autonomous discovery but operates on the timescale of physiology rather than experimentation, and its consequences are felt directly in the body of a patient rather than in a laboratory assay [35]. The design of such a loop is a control-engineering problem as much as a pharmacological one, and it draws on the mature discipline of feedback control while adding the distinctive complications of biological variability and safety-critical operation.</w:t>
      </w:r>
    </w:p>
    <w:p>
      <w:pPr>
        <w:pStyle w:val="FigureImage"/>
      </w:pPr>
      <w:r>
        <w:drawing>
          <wp:inline xmlns:wp="http://schemas.openxmlformats.org/drawingml/2006/wordprocessingDrawing" distT="0" distB="0" distL="0" distR="0">
            <wp:extent cx="5486400" cy="3176336"/>
            <wp:effectExtent l="0" t="0" r="0" b="0"/>
            <wp:docPr id="1003" name="Figure_20_3_Smart_Delive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ure_20_3_Smart_Delivery.png"/>
                    <pic:cNvPicPr/>
                  </pic:nvPicPr>
                  <pic:blipFill>
                    <a:blip r:embed="rIdImg3"/>
                    <a:stretch>
                      <a:fillRect/>
                    </a:stretch>
                  </pic:blipFill>
                  <pic:spPr>
                    <a:xfrm>
                      <a:off x="0" y="0"/>
                      <a:ext cx="5486400" cy="3176336"/>
                    </a:xfrm>
                    <a:prstGeom prst="rect">
                      <a:avLst/>
                    </a:prstGeom>
                  </pic:spPr>
                </pic:pic>
              </a:graphicData>
            </a:graphic>
          </wp:inline>
        </w:drawing>
      </w:r>
    </w:p>
    <w:p>
      <w:pPr>
        <w:pStyle w:val="FigureCaption"/>
      </w:pPr>
      <w:r>
        <w:t xml:space="preserve">Figure 20.3. Architecture of a self-optimizing closed-loop drug delivery device, integrating continuous biosensing, an embedded edge-AI controller with safety constraints, a micro-actuator for dose modulation, physiological feedback from the patient, and a cloud digital twin that refines and updates the on-device model.</w:t>
      </w:r>
    </w:p>
    <w:p>
      <w:pPr>
        <w:pStyle w:val="Normal"/>
      </w:pPr>
      <w:r>
        <w:t xml:space="preserve">The canonical example of such a system is the artificial pancreas for the management of diabetes, in which continuous glucose monitoring is coupled to an insulin pump through a control algorithm that adjusts delivery to keep blood glucose within a safe range [36]. This example is instructive because it has progressed from concept to widespread clinical use, demonstrating that closed-loop therapy is not merely aspirational but achievable and beneficial. Successive generations of these systems have progressed from simple threshold-suspend behaviour, which merely halts insulin delivery when glucose falls too low, to sophisticated predictive control that anticipates excursions before they occur, and they increasingly incorporate machine-learning components that personalize their behaviour to the individual user over time [37]. The trajectory of the artificial pancreas thus offers a template for how intelligent delivery might evolve across many other therapeutic areas.</w:t>
      </w:r>
    </w:p>
    <w:p>
      <w:pPr>
        <w:pStyle w:val="Normal"/>
      </w:pPr>
      <w:r>
        <w:t xml:space="preserve">Extending closed-loop therapy beyond diabetes, however, is not merely a matter of substituting one drug for another. Insulin and glucose form an unusually favourable pairing: the relevant biomarker can be measured continuously with reasonable accuracy, the therapeutic agent acts on a well-understood timescale, and the physiology, while complex, is comparatively well characterized. Many other conditions lack one or more of these advantages. The biomarker may be difficult or impossible to sense continuously, the drug may act too slowly or too unpredictably for tight control, or the underlying physiology may be understood too poorly to model reliably. Each new application therefore demands its own careful assessment of whether closed-loop control is feasible and safe, and the successes in diabetes should inspire ambition without breeding complacency. The engineering challenge is to identify the therapeutic domains where the necessary sensing, actuation, and modelling capabilities align, and to advance those first while the enabling technologies mature for the harder cases. Anaesthesia, blood-pressure management, and certain hormonal therapies are among the areas frequently identified as promising next frontiers, precisely because they share some of the favourable characteristics that made the artificial pancreas tractable.</w:t>
      </w:r>
    </w:p>
    <w:p>
      <w:pPr>
        <w:pStyle w:val="Heading2"/>
      </w:pPr>
      <w:r>
        <w:t xml:space="preserve">20.2.2 Embedded Intelligence and Edge Computing</w:t>
      </w:r>
    </w:p>
    <w:p>
      <w:pPr>
        <w:pStyle w:val="Normal"/>
      </w:pPr>
      <w:r>
        <w:t xml:space="preserve">Realizing adaptive delivery at the point of care requires computation that is local, low-power, and dependable. Cloud-based intelligence, while powerful, introduces latency and connectivity dependencies that are unacceptable for safety-critical, real-time control; a delivery decision that depends on a distant server cannot be made if the network is unavailable, and even a brief delay may be intolerable when the body's state is changing rapidly [38]. Edge computing addresses this by executing inference directly on the device, ensuring that the control loop continues to function even when network connectivity is intermittent or absent [39]. For a device that acts continuously on a patient, offline resilience is not a convenience but a fundamental safety requirement.</w:t>
      </w:r>
    </w:p>
    <w:p>
      <w:pPr>
        <w:pStyle w:val="Normal"/>
      </w:pPr>
      <w:r>
        <w:t xml:space="preserve">Embedding intelligence on resource-constrained hardware demands model compression, quantization, and careful co-design of algorithms and silicon, because the sophisticated models that run comfortably in a data centre must be shrunk to fit within the tight power and memory budgets of a wearable or implantable device [40]. It also raises the stakes for verification, because a device that acts autonomously on the body must fail safe under all foreseeable conditions, and the space of foreseeable conditions is large [41]. Table 20.3 compares cloud, edge, and hybrid architectures for intelligent medical devices across the dimensions that matter most in clinical deployment, making explicit the trade-offs that designers must navigate.</w:t>
      </w:r>
    </w:p>
    <w:p>
      <w:pPr>
        <w:pStyle w:val="TableCaption"/>
      </w:pPr>
      <w:r>
        <w:t xml:space="preserve">Table 20.3. Comparison of computing architectures for intelligent medical devices.</w:t>
      </w:r>
    </w:p>
    <w:tbl>
      <w:tblPr>
        <w:tblW w:w="92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00"/>
        <w:gridCol w:w="2300"/>
        <w:gridCol w:w="2300"/>
        <w:gridCol w:w="2300"/>
      </w:tblGrid>
      <w:tr>
        <w:tc>
          <w:tcPr>
            <w:tcW w:w="2300" w:type="dxa"/>
            <w:shd w:val="clear" w:color="auto" w:fill="D9E2F3"/>
          </w:tcPr>
          <w:p>
            <w:pPr>
              <w:jc w:val="center"/>
              <w:spacing w:after="40" w:line="240" w:lineRule="auto"/>
            </w:pPr>
            <w:r>
              <w:rPr>
                <w:b/>
              </w:rPr>
              <w:t xml:space="preserve">Dimension</w:t>
            </w:r>
          </w:p>
        </w:tc>
        <w:tc>
          <w:tcPr>
            <w:tcW w:w="2300" w:type="dxa"/>
            <w:shd w:val="clear" w:color="auto" w:fill="D9E2F3"/>
          </w:tcPr>
          <w:p>
            <w:pPr>
              <w:jc w:val="center"/>
              <w:spacing w:after="40" w:line="240" w:lineRule="auto"/>
            </w:pPr>
            <w:r>
              <w:rPr>
                <w:b/>
              </w:rPr>
              <w:t xml:space="preserve">Cloud-centric</w:t>
            </w:r>
          </w:p>
        </w:tc>
        <w:tc>
          <w:tcPr>
            <w:tcW w:w="2300" w:type="dxa"/>
            <w:shd w:val="clear" w:color="auto" w:fill="D9E2F3"/>
          </w:tcPr>
          <w:p>
            <w:pPr>
              <w:jc w:val="center"/>
              <w:spacing w:after="40" w:line="240" w:lineRule="auto"/>
            </w:pPr>
            <w:r>
              <w:rPr>
                <w:b/>
              </w:rPr>
              <w:t xml:space="preserve">Edge-centric</w:t>
            </w:r>
          </w:p>
        </w:tc>
        <w:tc>
          <w:tcPr>
            <w:tcW w:w="2300" w:type="dxa"/>
            <w:shd w:val="clear" w:color="auto" w:fill="D9E2F3"/>
          </w:tcPr>
          <w:p>
            <w:pPr>
              <w:jc w:val="center"/>
              <w:spacing w:after="40" w:line="240" w:lineRule="auto"/>
            </w:pPr>
            <w:r>
              <w:rPr>
                <w:b/>
              </w:rPr>
              <w:t xml:space="preserve">Hybrid</w:t>
            </w:r>
          </w:p>
        </w:tc>
      </w:tr>
      <w:tr>
        <w:tc>
          <w:tcPr>
            <w:tcW w:w="2300" w:type="dxa"/>
          </w:tcPr>
          <w:p>
            <w:pPr>
              <w:spacing w:after="40" w:line="240" w:lineRule="auto"/>
            </w:pPr>
            <w:r>
              <w:t xml:space="preserve">Latency</w:t>
            </w:r>
          </w:p>
        </w:tc>
        <w:tc>
          <w:tcPr>
            <w:tcW w:w="2300" w:type="dxa"/>
          </w:tcPr>
          <w:p>
            <w:pPr>
              <w:spacing w:after="40" w:line="240" w:lineRule="auto"/>
            </w:pPr>
            <w:r>
              <w:t xml:space="preserve">High, variable</w:t>
            </w:r>
          </w:p>
        </w:tc>
        <w:tc>
          <w:tcPr>
            <w:tcW w:w="2300" w:type="dxa"/>
          </w:tcPr>
          <w:p>
            <w:pPr>
              <w:spacing w:after="40" w:line="240" w:lineRule="auto"/>
            </w:pPr>
            <w:r>
              <w:t xml:space="preserve">Low, deterministic</w:t>
            </w:r>
          </w:p>
        </w:tc>
        <w:tc>
          <w:tcPr>
            <w:tcW w:w="2300" w:type="dxa"/>
          </w:tcPr>
          <w:p>
            <w:pPr>
              <w:spacing w:after="40" w:line="240" w:lineRule="auto"/>
            </w:pPr>
            <w:r>
              <w:t xml:space="preserve">Low for control</w:t>
            </w:r>
          </w:p>
        </w:tc>
      </w:tr>
      <w:tr>
        <w:tc>
          <w:tcPr>
            <w:tcW w:w="2300" w:type="dxa"/>
          </w:tcPr>
          <w:p>
            <w:pPr>
              <w:spacing w:after="40" w:line="240" w:lineRule="auto"/>
            </w:pPr>
            <w:r>
              <w:t xml:space="preserve">Connectivity dependence</w:t>
            </w:r>
          </w:p>
        </w:tc>
        <w:tc>
          <w:tcPr>
            <w:tcW w:w="2300" w:type="dxa"/>
          </w:tcPr>
          <w:p>
            <w:pPr>
              <w:spacing w:after="40" w:line="240" w:lineRule="auto"/>
            </w:pPr>
            <w:r>
              <w:t xml:space="preserve">Strong</w:t>
            </w:r>
          </w:p>
        </w:tc>
        <w:tc>
          <w:tcPr>
            <w:tcW w:w="2300" w:type="dxa"/>
          </w:tcPr>
          <w:p>
            <w:pPr>
              <w:spacing w:after="40" w:line="240" w:lineRule="auto"/>
            </w:pPr>
            <w:r>
              <w:t xml:space="preserve">Minimal</w:t>
            </w:r>
          </w:p>
        </w:tc>
        <w:tc>
          <w:tcPr>
            <w:tcW w:w="2300" w:type="dxa"/>
          </w:tcPr>
          <w:p>
            <w:pPr>
              <w:spacing w:after="40" w:line="240" w:lineRule="auto"/>
            </w:pPr>
            <w:r>
              <w:t xml:space="preserve">Moderate</w:t>
            </w:r>
          </w:p>
        </w:tc>
      </w:tr>
      <w:tr>
        <w:tc>
          <w:tcPr>
            <w:tcW w:w="2300" w:type="dxa"/>
          </w:tcPr>
          <w:p>
            <w:pPr>
              <w:spacing w:after="40" w:line="240" w:lineRule="auto"/>
            </w:pPr>
            <w:r>
              <w:t xml:space="preserve">Model size / capacity</w:t>
            </w:r>
          </w:p>
        </w:tc>
        <w:tc>
          <w:tcPr>
            <w:tcW w:w="2300" w:type="dxa"/>
          </w:tcPr>
          <w:p>
            <w:pPr>
              <w:spacing w:after="40" w:line="240" w:lineRule="auto"/>
            </w:pPr>
            <w:r>
              <w:t xml:space="preserve">Very large</w:t>
            </w:r>
          </w:p>
        </w:tc>
        <w:tc>
          <w:tcPr>
            <w:tcW w:w="2300" w:type="dxa"/>
          </w:tcPr>
          <w:p>
            <w:pPr>
              <w:spacing w:after="40" w:line="240" w:lineRule="auto"/>
            </w:pPr>
            <w:r>
              <w:t xml:space="preserve">Constrained</w:t>
            </w:r>
          </w:p>
        </w:tc>
        <w:tc>
          <w:tcPr>
            <w:tcW w:w="2300" w:type="dxa"/>
          </w:tcPr>
          <w:p>
            <w:pPr>
              <w:spacing w:after="40" w:line="240" w:lineRule="auto"/>
            </w:pPr>
            <w:r>
              <w:t xml:space="preserve">Balanced</w:t>
            </w:r>
          </w:p>
        </w:tc>
      </w:tr>
      <w:tr>
        <w:tc>
          <w:tcPr>
            <w:tcW w:w="2300" w:type="dxa"/>
          </w:tcPr>
          <w:p>
            <w:pPr>
              <w:spacing w:after="40" w:line="240" w:lineRule="auto"/>
            </w:pPr>
            <w:r>
              <w:t xml:space="preserve">Privacy exposure</w:t>
            </w:r>
          </w:p>
        </w:tc>
        <w:tc>
          <w:tcPr>
            <w:tcW w:w="2300" w:type="dxa"/>
          </w:tcPr>
          <w:p>
            <w:pPr>
              <w:spacing w:after="40" w:line="240" w:lineRule="auto"/>
            </w:pPr>
            <w:r>
              <w:t xml:space="preserve">Higher</w:t>
            </w:r>
          </w:p>
        </w:tc>
        <w:tc>
          <w:tcPr>
            <w:tcW w:w="2300" w:type="dxa"/>
          </w:tcPr>
          <w:p>
            <w:pPr>
              <w:spacing w:after="40" w:line="240" w:lineRule="auto"/>
            </w:pPr>
            <w:r>
              <w:t xml:space="preserve">Lower</w:t>
            </w:r>
          </w:p>
        </w:tc>
        <w:tc>
          <w:tcPr>
            <w:tcW w:w="2300" w:type="dxa"/>
          </w:tcPr>
          <w:p>
            <w:pPr>
              <w:spacing w:after="40" w:line="240" w:lineRule="auto"/>
            </w:pPr>
            <w:r>
              <w:t xml:space="preserve">Configurable</w:t>
            </w:r>
          </w:p>
        </w:tc>
      </w:tr>
      <w:tr>
        <w:tc>
          <w:tcPr>
            <w:tcW w:w="2300" w:type="dxa"/>
          </w:tcPr>
          <w:p>
            <w:pPr>
              <w:spacing w:after="40" w:line="240" w:lineRule="auto"/>
            </w:pPr>
            <w:r>
              <w:t xml:space="preserve">Update / retraining</w:t>
            </w:r>
          </w:p>
        </w:tc>
        <w:tc>
          <w:tcPr>
            <w:tcW w:w="2300" w:type="dxa"/>
          </w:tcPr>
          <w:p>
            <w:pPr>
              <w:spacing w:after="40" w:line="240" w:lineRule="auto"/>
            </w:pPr>
            <w:r>
              <w:t xml:space="preserve">Centralized</w:t>
            </w:r>
          </w:p>
        </w:tc>
        <w:tc>
          <w:tcPr>
            <w:tcW w:w="2300" w:type="dxa"/>
          </w:tcPr>
          <w:p>
            <w:pPr>
              <w:spacing w:after="40" w:line="240" w:lineRule="auto"/>
            </w:pPr>
            <w:r>
              <w:t xml:space="preserve">Difficult</w:t>
            </w:r>
          </w:p>
        </w:tc>
        <w:tc>
          <w:tcPr>
            <w:tcW w:w="2300" w:type="dxa"/>
          </w:tcPr>
          <w:p>
            <w:pPr>
              <w:spacing w:after="40" w:line="240" w:lineRule="auto"/>
            </w:pPr>
            <w:r>
              <w:t xml:space="preserve">Coordinated</w:t>
            </w:r>
          </w:p>
        </w:tc>
      </w:tr>
      <w:tr>
        <w:tc>
          <w:tcPr>
            <w:tcW w:w="2300" w:type="dxa"/>
          </w:tcPr>
          <w:p>
            <w:pPr>
              <w:spacing w:after="40" w:line="240" w:lineRule="auto"/>
            </w:pPr>
            <w:r>
              <w:t xml:space="preserve">Failure resilience</w:t>
            </w:r>
          </w:p>
        </w:tc>
        <w:tc>
          <w:tcPr>
            <w:tcW w:w="2300" w:type="dxa"/>
          </w:tcPr>
          <w:p>
            <w:pPr>
              <w:spacing w:after="40" w:line="240" w:lineRule="auto"/>
            </w:pPr>
            <w:r>
              <w:t xml:space="preserve">Weak offline</w:t>
            </w:r>
          </w:p>
        </w:tc>
        <w:tc>
          <w:tcPr>
            <w:tcW w:w="2300" w:type="dxa"/>
          </w:tcPr>
          <w:p>
            <w:pPr>
              <w:spacing w:after="40" w:line="240" w:lineRule="auto"/>
            </w:pPr>
            <w:r>
              <w:t xml:space="preserve">Strong offline</w:t>
            </w:r>
          </w:p>
        </w:tc>
        <w:tc>
          <w:tcPr>
            <w:tcW w:w="2300" w:type="dxa"/>
          </w:tcPr>
          <w:p>
            <w:pPr>
              <w:spacing w:after="40" w:line="240" w:lineRule="auto"/>
            </w:pPr>
            <w:r>
              <w:t xml:space="preserve">Strong</w:t>
            </w:r>
          </w:p>
        </w:tc>
      </w:tr>
    </w:tbl>
    <w:p/>
    <w:p>
      <w:pPr>
        <w:pStyle w:val="Normal"/>
      </w:pPr>
      <w:r>
        <w:t xml:space="preserve">A hybrid architecture, in which a compact model runs on the device for immediate control while a larger model in the cloud periodically refines and updates it, is emerging as a pragmatic compromise that captures much of the benefit of both extremes [42]. In such designs, the device retains full autonomy over safety-critical decisions while benefiting from the richer learning that centralized infrastructure enables, as also suggested by the digital-twin component shown in Figure 20.3. The division of labour is deliberate: fast, safe, local decisions are made where they must be, while slower, more expansive learning happens where resources are abundant, and the two are reconciled through carefully controlled updates.</w:t>
      </w:r>
    </w:p>
    <w:p>
      <w:pPr>
        <w:pStyle w:val="Heading2"/>
      </w:pPr>
      <w:r>
        <w:t xml:space="preserve">20.2.3 Biosensing, Digital Twins, and Model-Based Control</w:t>
      </w:r>
    </w:p>
    <w:p>
      <w:pPr>
        <w:pStyle w:val="Normal"/>
      </w:pPr>
      <w:r>
        <w:t xml:space="preserve">The intelligence of a delivery system is only as good as its perception. Advances in wearable and implantable biosensors have expanded the range of physiological signals that can be measured continuously and non-invasively, from glucose and lactate to electrolytes and disease-specific biomarkers [43]. These sensor streams provide the observational substrate on which control algorithms act, and their accuracy, drift characteristics, and calibration requirements directly determine the safety envelope of the overall system; a controller can only be as reliable as the measurements it receives, and a sensor that drifts silently can lead an otherwise sound algorithm to make dangerous decisions [44]. Investment in sensing is therefore not peripheral to intelligent delivery but central to it, and progress in biosensing frequently unlocks new therapeutic possibilities that were previously out of reach.</w:t>
      </w:r>
    </w:p>
    <w:p>
      <w:pPr>
        <w:pStyle w:val="Normal"/>
      </w:pPr>
      <w:r>
        <w:t xml:space="preserve">A powerful conceptual tool for model-based control is the digital twin, a computational replica of the patient or organ that is continuously updated with sensor data and used to simulate the likely consequences of candidate interventions before they are enacted [45]. By reasoning over a personalized model rather than population averages, a digital twin allows a controller to anticipate rather than merely react, and to test actions in silico where doing so in vivo would be unsafe. This capacity to rehearse an intervention before committing to it is especially valuable in medicine, where the cost of a mistake is measured in human harm and where there is often no opportunity to undo a wrong decision. When embedded within the delivery architecture of Figure 20.3, the digital twin becomes the predictive core that transforms reactive dosing into proactive, individualized therapy, and it represents one of the most promising directions for the next generation of intelligent devices.</w:t>
      </w:r>
    </w:p>
    <w:p>
      <w:pPr>
        <w:pStyle w:val="Heading2"/>
      </w:pPr>
      <w:r>
        <w:t xml:space="preserve">20.2.4 Reliability, Safety, and Verification</w:t>
      </w:r>
    </w:p>
    <w:p>
      <w:pPr>
        <w:pStyle w:val="Normal"/>
      </w:pPr>
      <w:r>
        <w:t xml:space="preserve">Intelligent medical devices occupy a category in which the cost of error is measured in human harm, and this reality imposes stringent demands on reliability and verification. Unlike a recommendation engine whose mistakes are merely inconvenient, a closed-loop delivery device that miscalculates a dose can injure or kill, and no amount of average-case accuracy can compensate for a catastrophic worst-case failure [46]. The engineering discipline required is therefore closer to that of aviation or nuclear control than to consumer software, demanding rigorous hazard analysis, redundancy, and formal assurance where feasible. Techniques such as failure-mode analysis, defence in depth, and the deliberate provision of safe fallback states are not optional refinements but core requirements, and they must be designed in from the beginning rather than added as an afterthought.</w:t>
      </w:r>
    </w:p>
    <w:p>
      <w:pPr>
        <w:pStyle w:val="Normal"/>
      </w:pPr>
      <w:r>
        <w:t xml:space="preserve">A particular challenge arises from the adaptive nature of learning-enabled devices. A system that updates its behaviour in the field is, in effect, a moving target for regulators accustomed to evaluating fixed designs, because the device that is deployed today may behave differently tomorrow after it has learned from new data [47]. Regulatory frameworks are evolving toward the notion of a predetermined change-control plan, in which the boundaries of permissible adaptation are specified and validated in advance, allowing beneficial learning while constraining it within safe limits [26]. This paradigm attempts to reconcile the static assurances that safety requires with the dynamic improvement that learning offers, and it exemplifies the broader pattern by which institutions are adapting to accommodate technologies that do not fit their historical categories. The success of intelligent devices in the clinic will depend as much on the maturation of these regulatory and assurance practices as on the underlying algorithms.</w:t>
      </w:r>
    </w:p>
    <w:p>
      <w:pPr>
        <w:pStyle w:val="Normal"/>
      </w:pPr>
      <w:r>
        <w:t xml:space="preserve">Cybersecurity adds a further, often underappreciated, dimension to device safety. A connected medical device is a potential target for malicious interference, and a delivery system that can be commanded to administer a dose is, in the wrong hands, a potential weapon. The same connectivity that enables remote monitoring, cloud-assisted learning, and convenient updates also enlarges the surface through which an attacker might reach the device, and the consequences of a successful attack on a therapeutic device are far graver than those of a breach of most consumer systems. Securing these devices therefore requires strong authentication, encrypted communication, secure update mechanisms, and defence-in-depth strategies that assume any single barrier may fail. Crucially, security cannot be bolted on after the fact; it must be designed into the device from its inception and maintained throughout its operational life, because vulnerabilities discovered after deployment must be remediated without disrupting the therapy on which patients depend. The intertwining of safety and security is one of the defining engineering challenges of connected, intelligent medicine, and it will only grow more acute as devices become more capable and more numerous.</w:t>
      </w:r>
    </w:p>
    <w:p>
      <w:pPr>
        <w:pStyle w:val="Heading1"/>
      </w:pPr>
      <w:r>
        <w:t xml:space="preserve">20.3 Towards Autonomous, Personalized, and Human-Centred Healthcare</w:t>
      </w:r>
    </w:p>
    <w:p>
      <w:pPr>
        <w:pStyle w:val="Heading2"/>
      </w:pPr>
      <w:r>
        <w:t xml:space="preserve">20.3.1 The Convergence Toward Systemic Autonomy</w:t>
      </w:r>
    </w:p>
    <w:p>
      <w:pPr>
        <w:pStyle w:val="Normal"/>
      </w:pPr>
      <w:r>
        <w:t xml:space="preserve">The advances described in the preceding sections do not exist in isolation; their true significance emerges when they combine into integrated systems of care. Autonomous discovery produces better molecules, intelligent devices deliver them adaptively, and the data generated by care flows back to refine both, creating a virtuous circle that spans the entire biomedical enterprise. The endpoint of this convergence is a healthcare system that senses, reasons, and acts across scales, from the molecular to the population level, with progressively greater autonomy [30]. Such a system would not be a single monolithic intelligence but rather a federation of specialized components, each competent in its own domain, connected through shared data and common standards, and coordinated in service of patient welfare.</w:t>
      </w:r>
    </w:p>
    <w:p>
      <w:pPr>
        <w:pStyle w:val="Normal"/>
      </w:pPr>
      <w:r>
        <w:t xml:space="preserve">Figure 20.4 presents an illustrative assessment of the technological readiness of several enablers of this vision, expressed on a technology-readiness scale. It indicates that certain components, such as generative molecular design and smart devices, are relatively mature, whereas others, particularly regulatory frameworks and deep clinical integration, lag behind. This uneven maturity is itself an important insight: the binding constraint on autonomous healthcare is increasingly institutional and infrastructural rather than purely algorithmic.</w:t>
      </w:r>
    </w:p>
    <w:p>
      <w:pPr>
        <w:pStyle w:val="FigureImage"/>
      </w:pPr>
      <w:r>
        <w:drawing>
          <wp:inline xmlns:wp="http://schemas.openxmlformats.org/drawingml/2006/wordprocessingDrawing" distT="0" distB="0" distL="0" distR="0">
            <wp:extent cx="5486400" cy="3392905"/>
            <wp:effectExtent l="0" t="0" r="0" b="0"/>
            <wp:docPr id="1004" name="Figure_20_4_Readin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ure_20_4_Readiness.png"/>
                    <pic:cNvPicPr/>
                  </pic:nvPicPr>
                  <pic:blipFill>
                    <a:blip r:embed="rIdImg4"/>
                    <a:stretch>
                      <a:fillRect/>
                    </a:stretch>
                  </pic:blipFill>
                  <pic:spPr>
                    <a:xfrm>
                      <a:off x="0" y="0"/>
                      <a:ext cx="5486400" cy="3392905"/>
                    </a:xfrm>
                    <a:prstGeom prst="rect">
                      <a:avLst/>
                    </a:prstGeom>
                  </pic:spPr>
                </pic:pic>
              </a:graphicData>
            </a:graphic>
          </wp:inline>
        </w:drawing>
      </w:r>
    </w:p>
    <w:p>
      <w:pPr>
        <w:pStyle w:val="FigureCaption"/>
      </w:pPr>
      <w:r>
        <w:t xml:space="preserve">Figure 20.4. Illustrative technology-readiness assessment of key enablers of autonomous, personalized healthcare, indicating relatively mature components (generative molecular design, smart devices) alongside lagging enablers (regulatory frameworks, deep clinical integration).</w:t>
      </w:r>
    </w:p>
    <w:p>
      <w:pPr>
        <w:pStyle w:val="Normal"/>
      </w:pPr>
      <w:r>
        <w:t xml:space="preserve">This systemic perspective also reframes how success should be measured. It is tempting to evaluate biomedical AI by the performance of individual models on benchmark tasks, because such metrics are precise and easy to report. But a model that excels in isolation may deliver little value once embedded in the messy reality of clinical practice, where data are incomplete, workflows are entrenched, incentives are misaligned, and trust must be earned. Conversely, a modest model that integrates smoothly into care and that clinicians actually use may deliver enormous benefit. The appropriate unit of evaluation is therefore the sociotechnical system as a whole rather than any component within it, and the relevant question is not whether a model is accurate but whether the system that contains it improves outcomes for patients. This shift in perspective, from component performance to systemic impact, is one of the most important conceptual maturations that the field must undergo, and it demands close collaboration between technologists and the clinicians, administrators, and patients who inhabit the systems these tools are meant to serve.</w:t>
      </w:r>
    </w:p>
    <w:p>
      <w:pPr>
        <w:pStyle w:val="Heading2"/>
      </w:pPr>
      <w:r>
        <w:t xml:space="preserve">20.3.2 Personalization and Precision Medicine</w:t>
      </w:r>
    </w:p>
    <w:p>
      <w:pPr>
        <w:pStyle w:val="Normal"/>
      </w:pPr>
      <w:r>
        <w:t xml:space="preserve">Personalization is the natural consequence of systems that can sense and reason about individuals. Precision medicine aspires to tailor prevention and treatment to each patient's genetic, molecular, environmental, and behavioural profile, replacing the one-size-fits-all model that has dominated therapeutics [35]. The premise is that disease is not monolithic; two patients with the same diagnosis may have very different underlying biology and may respond very differently to the same treatment, and a therapy chosen for the average patient may be wrong for many particular ones. AI is the engine that makes this aspiration tractable, because only automated reasoning can integrate the high-dimensional, multimodal data that individual-level tailoring requires; no human clinician can hold in mind the full genomic, molecular, and longitudinal history of a patient and reason over it in real time [43].</w:t>
      </w:r>
    </w:p>
    <w:p>
      <w:pPr>
        <w:pStyle w:val="Normal"/>
      </w:pPr>
      <w:r>
        <w:t xml:space="preserve">Pharmacogenomics offers a concrete illustration, in which a patient's genetic variants inform drug selection and dosing to maximize efficacy and minimize adverse reactions, sparing patients both the harm of an unsuitable drug and the delay of finding an effective one by trial and error [16]. Extending this logic, AI systems can integrate genomic data with imaging, laboratory results, wearable sensor streams, and electronic health records to construct a holistic, continuously updated portrait of the patient, weaving many partial views into a coherent whole [33]. Table 20.4 summarizes the principal data modalities that feed such personalized systems, along with the distinctive value and challenge each contributes, illustrating why multimodal integration is both powerful and difficult.</w:t>
      </w:r>
    </w:p>
    <w:p>
      <w:pPr>
        <w:pStyle w:val="TableCaption"/>
      </w:pPr>
      <w:r>
        <w:t xml:space="preserve">Table 20.4. Data modalities underpinning AI-driven personalized healthcare.</w:t>
      </w:r>
    </w:p>
    <w:tbl>
      <w:tblPr>
        <w:tblW w:w="92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00"/>
        <w:gridCol w:w="2300"/>
        <w:gridCol w:w="2300"/>
        <w:gridCol w:w="2300"/>
      </w:tblGrid>
      <w:tr>
        <w:tc>
          <w:tcPr>
            <w:tcW w:w="2300" w:type="dxa"/>
            <w:shd w:val="clear" w:color="auto" w:fill="D9E2F3"/>
          </w:tcPr>
          <w:p>
            <w:pPr>
              <w:jc w:val="center"/>
              <w:spacing w:after="40" w:line="240" w:lineRule="auto"/>
            </w:pPr>
            <w:r>
              <w:rPr>
                <w:b/>
              </w:rPr>
              <w:t xml:space="preserve">Modality</w:t>
            </w:r>
          </w:p>
        </w:tc>
        <w:tc>
          <w:tcPr>
            <w:tcW w:w="2300" w:type="dxa"/>
            <w:shd w:val="clear" w:color="auto" w:fill="D9E2F3"/>
          </w:tcPr>
          <w:p>
            <w:pPr>
              <w:jc w:val="center"/>
              <w:spacing w:after="40" w:line="240" w:lineRule="auto"/>
            </w:pPr>
            <w:r>
              <w:rPr>
                <w:b/>
              </w:rPr>
              <w:t xml:space="preserve">Example Sources</w:t>
            </w:r>
          </w:p>
        </w:tc>
        <w:tc>
          <w:tcPr>
            <w:tcW w:w="2300" w:type="dxa"/>
            <w:shd w:val="clear" w:color="auto" w:fill="D9E2F3"/>
          </w:tcPr>
          <w:p>
            <w:pPr>
              <w:jc w:val="center"/>
              <w:spacing w:after="40" w:line="240" w:lineRule="auto"/>
            </w:pPr>
            <w:r>
              <w:rPr>
                <w:b/>
              </w:rPr>
              <w:t xml:space="preserve">Distinctive Value</w:t>
            </w:r>
          </w:p>
        </w:tc>
        <w:tc>
          <w:tcPr>
            <w:tcW w:w="2300" w:type="dxa"/>
            <w:shd w:val="clear" w:color="auto" w:fill="D9E2F3"/>
          </w:tcPr>
          <w:p>
            <w:pPr>
              <w:jc w:val="center"/>
              <w:spacing w:after="40" w:line="240" w:lineRule="auto"/>
            </w:pPr>
            <w:r>
              <w:rPr>
                <w:b/>
              </w:rPr>
              <w:t xml:space="preserve">Principal Challenge</w:t>
            </w:r>
          </w:p>
        </w:tc>
      </w:tr>
      <w:tr>
        <w:tc>
          <w:tcPr>
            <w:tcW w:w="2300" w:type="dxa"/>
          </w:tcPr>
          <w:p>
            <w:pPr>
              <w:spacing w:after="40" w:line="240" w:lineRule="auto"/>
            </w:pPr>
            <w:r>
              <w:t xml:space="preserve">Genomic</w:t>
            </w:r>
          </w:p>
        </w:tc>
        <w:tc>
          <w:tcPr>
            <w:tcW w:w="2300" w:type="dxa"/>
          </w:tcPr>
          <w:p>
            <w:pPr>
              <w:spacing w:after="40" w:line="240" w:lineRule="auto"/>
            </w:pPr>
            <w:r>
              <w:t xml:space="preserve">Sequencing, genotyping</w:t>
            </w:r>
          </w:p>
        </w:tc>
        <w:tc>
          <w:tcPr>
            <w:tcW w:w="2300" w:type="dxa"/>
          </w:tcPr>
          <w:p>
            <w:pPr>
              <w:spacing w:after="40" w:line="240" w:lineRule="auto"/>
            </w:pPr>
            <w:r>
              <w:t xml:space="preserve">Stable individual baseline</w:t>
            </w:r>
          </w:p>
        </w:tc>
        <w:tc>
          <w:tcPr>
            <w:tcW w:w="2300" w:type="dxa"/>
          </w:tcPr>
          <w:p>
            <w:pPr>
              <w:spacing w:after="40" w:line="240" w:lineRule="auto"/>
            </w:pPr>
            <w:r>
              <w:t xml:space="preserve">Interpretation, privacy</w:t>
            </w:r>
          </w:p>
        </w:tc>
      </w:tr>
      <w:tr>
        <w:tc>
          <w:tcPr>
            <w:tcW w:w="2300" w:type="dxa"/>
          </w:tcPr>
          <w:p>
            <w:pPr>
              <w:spacing w:after="40" w:line="240" w:lineRule="auto"/>
            </w:pPr>
            <w:r>
              <w:t xml:space="preserve">Imaging</w:t>
            </w:r>
          </w:p>
        </w:tc>
        <w:tc>
          <w:tcPr>
            <w:tcW w:w="2300" w:type="dxa"/>
          </w:tcPr>
          <w:p>
            <w:pPr>
              <w:spacing w:after="40" w:line="240" w:lineRule="auto"/>
            </w:pPr>
            <w:r>
              <w:t xml:space="preserve">MRI, CT, histopathology</w:t>
            </w:r>
          </w:p>
        </w:tc>
        <w:tc>
          <w:tcPr>
            <w:tcW w:w="2300" w:type="dxa"/>
          </w:tcPr>
          <w:p>
            <w:pPr>
              <w:spacing w:after="40" w:line="240" w:lineRule="auto"/>
            </w:pPr>
            <w:r>
              <w:t xml:space="preserve">Spatial, structural detail</w:t>
            </w:r>
          </w:p>
        </w:tc>
        <w:tc>
          <w:tcPr>
            <w:tcW w:w="2300" w:type="dxa"/>
          </w:tcPr>
          <w:p>
            <w:pPr>
              <w:spacing w:after="40" w:line="240" w:lineRule="auto"/>
            </w:pPr>
            <w:r>
              <w:t xml:space="preserve">Volume, annotation cost</w:t>
            </w:r>
          </w:p>
        </w:tc>
      </w:tr>
      <w:tr>
        <w:tc>
          <w:tcPr>
            <w:tcW w:w="2300" w:type="dxa"/>
          </w:tcPr>
          <w:p>
            <w:pPr>
              <w:spacing w:after="40" w:line="240" w:lineRule="auto"/>
            </w:pPr>
            <w:r>
              <w:t xml:space="preserve">Clinical records</w:t>
            </w:r>
          </w:p>
        </w:tc>
        <w:tc>
          <w:tcPr>
            <w:tcW w:w="2300" w:type="dxa"/>
          </w:tcPr>
          <w:p>
            <w:pPr>
              <w:spacing w:after="40" w:line="240" w:lineRule="auto"/>
            </w:pPr>
            <w:r>
              <w:t xml:space="preserve">EHR, notes, labs</w:t>
            </w:r>
          </w:p>
        </w:tc>
        <w:tc>
          <w:tcPr>
            <w:tcW w:w="2300" w:type="dxa"/>
          </w:tcPr>
          <w:p>
            <w:pPr>
              <w:spacing w:after="40" w:line="240" w:lineRule="auto"/>
            </w:pPr>
            <w:r>
              <w:t xml:space="preserve">Longitudinal context</w:t>
            </w:r>
          </w:p>
        </w:tc>
        <w:tc>
          <w:tcPr>
            <w:tcW w:w="2300" w:type="dxa"/>
          </w:tcPr>
          <w:p>
            <w:pPr>
              <w:spacing w:after="40" w:line="240" w:lineRule="auto"/>
            </w:pPr>
            <w:r>
              <w:t xml:space="preserve">Fragmentation, bias</w:t>
            </w:r>
          </w:p>
        </w:tc>
      </w:tr>
      <w:tr>
        <w:tc>
          <w:tcPr>
            <w:tcW w:w="2300" w:type="dxa"/>
          </w:tcPr>
          <w:p>
            <w:pPr>
              <w:spacing w:after="40" w:line="240" w:lineRule="auto"/>
            </w:pPr>
            <w:r>
              <w:t xml:space="preserve">Wearable / sensor</w:t>
            </w:r>
          </w:p>
        </w:tc>
        <w:tc>
          <w:tcPr>
            <w:tcW w:w="2300" w:type="dxa"/>
          </w:tcPr>
          <w:p>
            <w:pPr>
              <w:spacing w:after="40" w:line="240" w:lineRule="auto"/>
            </w:pPr>
            <w:r>
              <w:t xml:space="preserve">Continuous biosignals</w:t>
            </w:r>
          </w:p>
        </w:tc>
        <w:tc>
          <w:tcPr>
            <w:tcW w:w="2300" w:type="dxa"/>
          </w:tcPr>
          <w:p>
            <w:pPr>
              <w:spacing w:after="40" w:line="240" w:lineRule="auto"/>
            </w:pPr>
            <w:r>
              <w:t xml:space="preserve">Real-time dynamics</w:t>
            </w:r>
          </w:p>
        </w:tc>
        <w:tc>
          <w:tcPr>
            <w:tcW w:w="2300" w:type="dxa"/>
          </w:tcPr>
          <w:p>
            <w:pPr>
              <w:spacing w:after="40" w:line="240" w:lineRule="auto"/>
            </w:pPr>
            <w:r>
              <w:t xml:space="preserve">Noise, calibration drift</w:t>
            </w:r>
          </w:p>
        </w:tc>
      </w:tr>
      <w:tr>
        <w:tc>
          <w:tcPr>
            <w:tcW w:w="2300" w:type="dxa"/>
          </w:tcPr>
          <w:p>
            <w:pPr>
              <w:spacing w:after="40" w:line="240" w:lineRule="auto"/>
            </w:pPr>
            <w:r>
              <w:t xml:space="preserve">Molecular / omics</w:t>
            </w:r>
          </w:p>
        </w:tc>
        <w:tc>
          <w:tcPr>
            <w:tcW w:w="2300" w:type="dxa"/>
          </w:tcPr>
          <w:p>
            <w:pPr>
              <w:spacing w:after="40" w:line="240" w:lineRule="auto"/>
            </w:pPr>
            <w:r>
              <w:t xml:space="preserve">Proteomics, metabolomics</w:t>
            </w:r>
          </w:p>
        </w:tc>
        <w:tc>
          <w:tcPr>
            <w:tcW w:w="2300" w:type="dxa"/>
          </w:tcPr>
          <w:p>
            <w:pPr>
              <w:spacing w:after="40" w:line="240" w:lineRule="auto"/>
            </w:pPr>
            <w:r>
              <w:t xml:space="preserve">Mechanistic insight</w:t>
            </w:r>
          </w:p>
        </w:tc>
        <w:tc>
          <w:tcPr>
            <w:tcW w:w="2300" w:type="dxa"/>
          </w:tcPr>
          <w:p>
            <w:pPr>
              <w:spacing w:after="40" w:line="240" w:lineRule="auto"/>
            </w:pPr>
            <w:r>
              <w:t xml:space="preserve">Cost, standardization</w:t>
            </w:r>
          </w:p>
        </w:tc>
      </w:tr>
    </w:tbl>
    <w:p/>
    <w:p>
      <w:pPr>
        <w:pStyle w:val="Normal"/>
      </w:pPr>
      <w:r>
        <w:t xml:space="preserve">The promise of personalization is tempered by the risk that it deepens existing inequities. If the data used to train personalization models are drawn predominantly from well-studied populations, the resulting systems may perform poorly for those who are underrepresented, thereby widening rather than narrowing health disparities [40]. A model trained largely on one demographic group may make systematically worse predictions for others, and because such failures are often silent, they can persist undetected while causing real harm. Ensuring that personalized medicine benefits all populations equitably is therefore a central ethical obligation of the field, not a secondary consideration to be addressed once the technology matures [41]. Equity must be engineered into these systems deliberately, through representative data, careful evaluation across subgroups, and ongoing monitoring after deployment.</w:t>
      </w:r>
    </w:p>
    <w:p>
      <w:pPr>
        <w:pStyle w:val="Normal"/>
      </w:pPr>
      <w:r>
        <w:t xml:space="preserve">There is also a deeper conceptual point about the limits of personalization. Data-driven personalization works by finding patients who resemble the individual at hand and reasoning from their outcomes, but for a truly unusual patient there may be few or no close analogues in the data, and the promise of individualized care collapses precisely where it is most needed. Rare diseases, unusual comorbidities, and members of small populations are all disadvantaged by this dynamic, and a naive faith in personalization can therefore leave the most vulnerable patients least well served. Overcoming this limitation may require mechanistic models that reason from biological first principles rather than from statistical similarity, so that predictions can be made even for individuals unlike anyone seen before. The integration of such mechanistic reasoning with data-driven learning, sometimes described as hybrid or physics-informed modelling, is a promising direction that could extend the reach of personalization to the long tail of patients whom purely statistical methods struggle to serve, and it exemplifies the broader principle that no single methodological approach will suffice for the full diversity of medicine.</w:t>
      </w:r>
    </w:p>
    <w:p>
      <w:pPr>
        <w:pStyle w:val="Heading2"/>
      </w:pPr>
      <w:r>
        <w:t xml:space="preserve">20.3.3 Human-Centred Design and the Preservation of Agency</w:t>
      </w:r>
    </w:p>
    <w:p>
      <w:pPr>
        <w:pStyle w:val="Normal"/>
      </w:pPr>
      <w:r>
        <w:t xml:space="preserve">As autonomy increases, a natural anxiety arises about the displacement of human judgement from medicine. The human-centred perspective holds that the goal of biomedical AI is not to replace clinicians and patients but to augment their capabilities, freeing human attention for the empathic, ethical, and contextual dimensions of care that machines cannot supply [42]. Medicine is not merely the application of technical knowledge; it is also an inherently human practice of comfort, communication, and moral judgement, and these dimensions are precisely those that automation is least able to provide. In this framing, autonomy is a means to human flourishing rather than an end in itself, and a system that made care more efficient while stripping it of humanity would be a failure however impressive its algorithms.</w:t>
      </w:r>
    </w:p>
    <w:p>
      <w:pPr>
        <w:pStyle w:val="Normal"/>
      </w:pPr>
      <w:r>
        <w:t xml:space="preserve">Preserving human agency requires deliberate design choices. Interfaces must render the reasoning of AI systems intelligible so that clinicians can meaningfully oversee them, a requirement that motivates the extensive literature on explainable and interpretable AI [44]. A clinician asked to endorse or override a recommendation cannot do so responsibly if the recommendation is an inscrutable output from a black box, and so explanation is not a cosmetic feature but a precondition for meaningful oversight. Patients, too, must be able to understand and contest the decisions that affect them, which implies that transparency and communication are core system requirements rather than optional embellishments [45]. The principle of meaningful human control, developed in other high-stakes domains, provides a useful lens for specifying where and how humans must remain in the loop, and it helps translate the abstract value of agency into concrete design constraints [46].</w:t>
      </w:r>
    </w:p>
    <w:p>
      <w:pPr>
        <w:pStyle w:val="Normal"/>
      </w:pPr>
      <w:r>
        <w:t xml:space="preserve">Trust is the currency of this relationship. Clinicians will not adopt tools they do not trust, and patients will not accept care they cannot understand, so trust is not a soft concern but a hard prerequisite for any benefit to be realized at all [47]. Trust, however, must be calibrated: excessive trust invites automation complacency, in which humans defer uncritically to machines and fail to catch errors they could have caught, while insufficient trust squanders the benefits of assistance by leading humans to ignore correct advice. Cultivating appropriately calibrated trust through transparency, reliability, and honest communication of uncertainty is among the subtlest challenges of human-centred design, and it requires as much attention to human psychology as to engineering.</w:t>
      </w:r>
    </w:p>
    <w:p>
      <w:pPr>
        <w:pStyle w:val="Heading2"/>
      </w:pPr>
      <w:r>
        <w:t xml:space="preserve">20.3.4 Equity, Access, and Global Health</w:t>
      </w:r>
    </w:p>
    <w:p>
      <w:pPr>
        <w:pStyle w:val="Normal"/>
      </w:pPr>
      <w:r>
        <w:t xml:space="preserve">The benefits of AI-driven medicine will remain hollow if they accrue only to the wealthy and well-connected. There is a genuine risk that sophisticated autonomous systems, requiring substantial data infrastructure and technical expertise, will concentrate in high-resource settings and bypass the populations with the greatest unmet need, thereby reproducing and even amplifying global health inequities [1]. Technologies have a tendency to flow first to those who can already afford good care, and without deliberate intervention the same pattern may repeat with biomedical AI. Conversely, if thoughtfully designed, the same technologies could democratize expertise, extending diagnostic and therapeutic capabilities to regions where specialists are scarce and bringing a measure of world-class reasoning to settings that have never had access to it.</w:t>
      </w:r>
    </w:p>
    <w:p>
      <w:pPr>
        <w:pStyle w:val="Normal"/>
      </w:pPr>
      <w:r>
        <w:t xml:space="preserve">Achieving equitable access demands attention to affordability, infrastructure, and the contextual appropriateness of technologies developed elsewhere, because a system designed for a well-resourced hospital may be useless or even harmful in a clinic with intermittent power and no specialist support [33]. Federated learning, in which models are trained across distributed institutions without centralizing sensitive data, offers one route to building robust systems from diverse populations while respecting privacy and data sovereignty, allowing under-represented communities to contribute to and benefit from shared models without surrendering control of their data [39]. Realizing this potential requires not only technical solutions but also governance structures that align incentives toward global benefit rather than narrow commercial gain, and it calls for the active participation of the communities that these technologies are meant to serve.</w:t>
      </w:r>
    </w:p>
    <w:p>
      <w:pPr>
        <w:pStyle w:val="Heading2"/>
      </w:pPr>
      <w:r>
        <w:t xml:space="preserve">20.3.5 Governance, Accountability, and Ethics</w:t>
      </w:r>
    </w:p>
    <w:p>
      <w:pPr>
        <w:pStyle w:val="Normal"/>
      </w:pPr>
      <w:r>
        <w:t xml:space="preserve">Autonomy raises difficult questions of accountability. When an autonomous system contributes to a harmful outcome, responsibility may be diffused across developers, deploying institutions, clinicians, and the system itself, creating a potential accountability gap in which no party can be clearly held answerable [41]. Such a gap is corrosive to trust and to justice, because patients harmed by a system deserve a clear avenue of redress, and a system whose failures have no owner is a system in which errors are unlikely to be corrected. Clear frameworks that assign responsibility, mandate auditability, and preserve meaningful human oversight are therefore essential, and they must be established before rather than after widespread deployment [46].</w:t>
      </w:r>
    </w:p>
    <w:p>
      <w:pPr>
        <w:pStyle w:val="Normal"/>
      </w:pPr>
      <w:r>
        <w:t xml:space="preserve">Data governance is foundational to all of these concerns. The vast personal datasets that fuel biomedical AI carry profound privacy implications, and their misuse could cause lasting harm to individuals whose most sensitive information they contain [33]. Robust consent mechanisms, strong security, and transparent data-use policies are prerequisites for ethical deployment, not afterthoughts, and the trust that patients place in the medical system when they share their data must be honoured scrupulously. As autonomous systems become more capable, the governance frameworks surrounding them must evolve in step, lest capability outpace control and the field find itself deploying powerful tools it does not adequately understand or oversee [32]. Governance is not an obstacle to innovation but its enabling condition, because only within a framework of trust and accountability can powerful technologies be adopted at all.</w:t>
      </w:r>
    </w:p>
    <w:p>
      <w:pPr>
        <w:pStyle w:val="Normal"/>
      </w:pPr>
      <w:r>
        <w:t xml:space="preserve">A recurring theme across these governance concerns is the need for continuous vigilance rather than one-time approval. A conventional medical device can, in principle, be evaluated once and certified, because its behaviour does not change after it leaves the factory. A learning-enabled system, by contrast, may drift as the population it serves changes, as clinical practice evolves, or as it incorporates new data, and a system that was safe and accurate at the moment of approval may silently degrade thereafter. This phenomenon, sometimes described as dataset shift, means that monitoring must continue throughout the entire lifecycle of a deployed system, with mechanisms to detect degradation and to intervene before it causes harm. Building this lifecycle monitoring into the infrastructure of care, rather than treating it as an occasional audit, is a substantial undertaking that the field has only begun to address. It requires new institutional roles, new technical tooling, and new norms about who is responsible for watching a system after it has been deployed, and it blurs the traditional separation between the developer who builds a system and the institution that uses it.</w:t>
      </w:r>
    </w:p>
    <w:p>
      <w:pPr>
        <w:pStyle w:val="Heading2"/>
      </w:pPr>
      <w:r>
        <w:t xml:space="preserve">20.3.6 Synthesis and Outlook</w:t>
      </w:r>
    </w:p>
    <w:p>
      <w:pPr>
        <w:pStyle w:val="Normal"/>
      </w:pPr>
      <w:r>
        <w:t xml:space="preserve">Taken together, the developments surveyed in this chapter describe a biomedical enterprise being reconstituted around intelligent, adaptive, and increasingly autonomous systems. The scientific trajectory is clear: molecules will be designed with greater speed and precision, devices will sense and respond with growing sophistication, and care will be tailored ever more finely to the individual. The technical foundations for each of these transformations are now visible, and in several cases they have already been demonstrated in practice rather than merely proposed in principle. Yet the analysis also makes clear that technical capability is a necessary but insufficient condition for beneficial transformation, and that the hardest problems remaining are not primarily computational.</w:t>
      </w:r>
    </w:p>
    <w:p>
      <w:pPr>
        <w:pStyle w:val="Normal"/>
      </w:pPr>
      <w:r>
        <w:t xml:space="preserve">The decisive challenges are increasingly those of integration, validation, equity, and governance rather than raw algorithmic performance. Realizing the promise of autonomous discovery depends on trustworthy data and reproducible science; realizing the promise of intelligent devices depends on verification and safe adaptation; and realizing the promise of personalized, autonomous care depends on preserving human agency, ensuring equitable access, and constructing accountable governance. The uneven readiness of these enablers, evident in the assessment of Figure 20.4 and reflected in the autonomy taxonomy of Table 20.2, indicates that the field's progress will be paced by its weakest institutional link rather than its strongest technical one. Prudent investment therefore requires attending to the unglamorous work of data curation, validation, regulation, and workforce training as seriously as to the development of ever more capable models.</w:t>
      </w:r>
    </w:p>
    <w:p>
      <w:pPr>
        <w:pStyle w:val="Normal"/>
      </w:pPr>
      <w:r>
        <w:t xml:space="preserve">The most compelling vision for the future is therefore not one of machines supplanting human medicine but of a carefully engineered partnership in which autonomous systems handle scale, speed, and complexity while humans supply judgement, empathy, and moral responsibility. In this partnership each party does what it does best, and the combination is more capable and more humane than either alone. If the biomedical community can meet the challenges of trust, safety, equity, and accountability with the same ingenuity it has applied to the underlying algorithms, then AI-driven pharmacology and biomedical engineering may deliver not merely faster or cheaper medicine, but medicine that is more precise, more accessible, and more humane than any that preceded it [47].</w:t>
      </w:r>
    </w:p>
    <w:p>
      <w:pPr>
        <w:pStyle w:val="Normal"/>
      </w:pPr>
      <w:r>
        <w:t xml:space="preserve">Looking further ahead, several developments seem likely to shape the coming decade. The boundaries between the three themes of this chapter will continue to erode, so that discovery, delivery, and care increasingly form a single continuous loop in which insights from treated patients feed back to refine both the molecules and the devices used to treat them. The rise of general-purpose foundation models will make sophisticated capabilities more widely accessible, potentially lowering the barriers that currently confine advanced biomedical AI to the best-resourced institutions, though only if their benefits are deliberately distributed rather than allowed to concentrate. And the growing sophistication of autonomous systems will make the questions of oversight, accountability, and human agency ever more pressing, ensuring that the ethical and institutional dimensions of the field remain at the centre of attention rather than at its margins. None of these trajectories is predetermined; each will be shaped by the choices that researchers, clinicians, regulators, and societies make in the years ahead.</w:t>
      </w:r>
    </w:p>
    <w:p>
      <w:pPr>
        <w:pStyle w:val="Normal"/>
      </w:pPr>
      <w:r>
        <w:t xml:space="preserve">What should not be lost amid the excitement is the fundamental purpose that justifies the entire endeavour. The value of these technologies is not measured in the elegance of their algorithms, the size of their models, or the speed of their computations, but solely in whether they help people live longer, healthier, and more dignified lives. A discovery platform that finds no useful medicine, a device that patients will not wear, or a personalized system that widens rather than narrows disparities has failed regardless of its technical brilliance. Keeping this purpose in clear view, and subordinating technical ambition to human benefit, is the surest way to ensure that the remarkable capabilities surveyed in this chapter fulfil their promise. The future of AI-driven pharmacology and biomedical engineering will be judged not by what it makes possible, but by what it makes better for the patients whom medicine exists to serve.</w:t>
      </w:r>
    </w:p>
    <w:p>
      <w:pPr>
        <w:pStyle w:val="Heading1"/>
      </w:pPr>
      <w:r>
        <w:t xml:space="preserve">References</w:t>
      </w:r>
    </w:p>
    <w:p>
      <w:pPr>
        <w:pStyle w:val="References"/>
      </w:pPr>
      <w:r>
        <w:t xml:space="preserve">[1] Paul, S. M., Mytelka, D. S., Dunwiddie, C. T., et al. (2010). How to improve R&amp;D productivity: the pharmaceutical industry's grand challenge. Nature Reviews Drug Discovery, 9(3), 203-214.</w:t>
      </w:r>
    </w:p>
    <w:p>
      <w:pPr>
        <w:pStyle w:val="References"/>
      </w:pPr>
      <w:r>
        <w:t xml:space="preserve">[2] Reymond, J.-L. (2015). The chemical space project. Accounts of Chemical Research, 48(3), 722-730.</w:t>
      </w:r>
    </w:p>
    <w:p>
      <w:pPr>
        <w:pStyle w:val="References"/>
      </w:pPr>
      <w:r>
        <w:t xml:space="preserve">[3] Vamathevan, J., Clark, D., Czodrowski, P., et al. (2019). Applications of machine learning in drug discovery and development. Nature Reviews Drug Discovery, 18(6), 463-477.</w:t>
      </w:r>
    </w:p>
    <w:p>
      <w:pPr>
        <w:pStyle w:val="References"/>
      </w:pPr>
      <w:r>
        <w:t xml:space="preserve">[4] Schneider, G. (2018). Automating drug discovery. Nature Reviews Drug Discovery, 17(2), 97-113.</w:t>
      </w:r>
    </w:p>
    <w:p>
      <w:pPr>
        <w:pStyle w:val="References"/>
      </w:pPr>
      <w:r>
        <w:t xml:space="preserve">[5] Coley, C. W., Eyke, N. S., &amp; Jensen, K. F. (2020). Autonomous discovery in the chemical sciences part I: progress. Angewandte Chemie International Edition, 59(51), 22858-22893.</w:t>
      </w:r>
    </w:p>
    <w:p>
      <w:pPr>
        <w:pStyle w:val="References"/>
      </w:pPr>
      <w:r>
        <w:t xml:space="preserve">[6] Gomez-Bombarelli, R., Wei, J. N., Duvenaud, D., et al. (2018). Automatic chemical design using a data-driven continuous representation of molecules. ACS Central Science, 4(2), 268-276.</w:t>
      </w:r>
    </w:p>
    <w:p>
      <w:pPr>
        <w:pStyle w:val="References"/>
      </w:pPr>
      <w:r>
        <w:t xml:space="preserve">[7] Sanchez-Lengeling, B., &amp; Aspuru-Guzik, A. (2018). Inverse molecular design using machine learning: generative models for matter engineering. Science, 361(6400), 360-365.</w:t>
      </w:r>
    </w:p>
    <w:p>
      <w:pPr>
        <w:pStyle w:val="References"/>
      </w:pPr>
      <w:r>
        <w:t xml:space="preserve">[8] Hoogeboom, E., Satorras, V. G., Vignac, C., &amp; Welling, M. (2022). Equivariant diffusion for molecule generation in 3D. Proceedings of the International Conference on Machine Learning, 8867-8887.</w:t>
      </w:r>
    </w:p>
    <w:p>
      <w:pPr>
        <w:pStyle w:val="References"/>
      </w:pPr>
      <w:r>
        <w:t xml:space="preserve">[9] Ragoza, M., Masuda, T., &amp; Koes, D. R. (2022). Generating 3D molecules conditional on receptor binding sites with deep generative models. Chemical Science, 13(9), 2701-2713.</w:t>
      </w:r>
    </w:p>
    <w:p>
      <w:pPr>
        <w:pStyle w:val="References"/>
      </w:pPr>
      <w:r>
        <w:t xml:space="preserve">[10] Jumper, J., Evans, R., Pritzel, A., et al. (2021). Highly accurate protein structure prediction with AlphaFold. Nature, 596(7873), 583-589.</w:t>
      </w:r>
    </w:p>
    <w:p>
      <w:pPr>
        <w:pStyle w:val="References"/>
      </w:pPr>
      <w:r>
        <w:t xml:space="preserve">[11] Baek, M., DiMaio, F., Anishchenko, I., et al. (2021). Accurate prediction of protein structures and interactions using a three-track neural network. Science, 373(6557), 871-876.</w:t>
      </w:r>
    </w:p>
    <w:p>
      <w:pPr>
        <w:pStyle w:val="References"/>
      </w:pPr>
      <w:r>
        <w:t xml:space="preserve">[12] Bilodeau, C., Jin, W., Jaakkola, T., Barzilay, R., &amp; Jensen, K. F. (2022). Generative models for molecular discovery: recent advances and challenges. WIREs Computational Molecular Science, 12(5), e1608.</w:t>
      </w:r>
    </w:p>
    <w:p>
      <w:pPr>
        <w:pStyle w:val="References"/>
      </w:pPr>
      <w:r>
        <w:t xml:space="preserve">[13] Kim, J., McFee, M., Fang, Q., Abdin, O., &amp; Kim, P. M. (2023). Computational and artificial intelligence-based methods for antibody development. Trends in Pharmacological Sciences, 44(3), 175-189.</w:t>
      </w:r>
    </w:p>
    <w:p>
      <w:pPr>
        <w:pStyle w:val="References"/>
      </w:pPr>
      <w:r>
        <w:t xml:space="preserve">[14] Rives, A., Meier, J., Sercu, T., et al. (2021). Biological structure and function emerge from scaling unsupervised learning to 250 million protein sequences. Proceedings of the National Academy of Sciences, 118(15), e2016239118.</w:t>
      </w:r>
    </w:p>
    <w:p>
      <w:pPr>
        <w:pStyle w:val="References"/>
      </w:pPr>
      <w:r>
        <w:t xml:space="preserve">[15] Watson, J. L., Juergens, D., Bennett, N. R., et al. (2023). De novo design of protein structure and function with RFdiffusion. Nature, 620(7976), 1089-1100.</w:t>
      </w:r>
    </w:p>
    <w:p>
      <w:pPr>
        <w:pStyle w:val="References"/>
      </w:pPr>
      <w:r>
        <w:t xml:space="preserve">[16] Ferreira, L. L. G., &amp; Andricopulo, A. D. (2019). ADMET modeling approaches in drug discovery. Drug Discovery Today, 24(5), 1157-1165.</w:t>
      </w:r>
    </w:p>
    <w:p>
      <w:pPr>
        <w:pStyle w:val="References"/>
      </w:pPr>
      <w:r>
        <w:t xml:space="preserve">[17] Wu, Z., Ramsundar, B., Feinberg, E. N., et al. (2018). MoleculeNet: a benchmark for molecular machine learning. Chemical Science, 9(2), 513-530.</w:t>
      </w:r>
    </w:p>
    <w:p>
      <w:pPr>
        <w:pStyle w:val="References"/>
      </w:pPr>
      <w:r>
        <w:t xml:space="preserve">[18] Walters, W. P., &amp; Barzilay, R. (2021). Critical assessment of AI in drug discovery. Expert Opinion on Drug Discovery, 16(9), 937-947.</w:t>
      </w:r>
    </w:p>
    <w:p>
      <w:pPr>
        <w:pStyle w:val="References"/>
      </w:pPr>
      <w:r>
        <w:t xml:space="preserve">[19] Hirschfeld, L., Swanson, K., Yang, K., Barzilay, R., &amp; Coley, C. W. (2020). Uncertainty quantification using neural networks for molecular property prediction. Journal of Chemical Information and Modeling, 60(8), 3770-3780.</w:t>
      </w:r>
    </w:p>
    <w:p>
      <w:pPr>
        <w:pStyle w:val="References"/>
      </w:pPr>
      <w:r>
        <w:t xml:space="preserve">[20] Zhavoronkov, A., Ivanenkov, Y. A., Aliper, A., et al. (2019). Deep learning enables rapid identification of potent DDR1 kinase inhibitors. Nature Biotechnology, 37(9), 1038-1040.</w:t>
      </w:r>
    </w:p>
    <w:p>
      <w:pPr>
        <w:pStyle w:val="References"/>
      </w:pPr>
      <w:r>
        <w:t xml:space="preserve">[21] MacLeod, B. P., Parlane, F. G. L., Morrissey, T. D., et al. (2020). Self-driving laboratory for accelerated discovery of thin-film materials. Science Advances, 6(20), eaaz8867.</w:t>
      </w:r>
    </w:p>
    <w:p>
      <w:pPr>
        <w:pStyle w:val="References"/>
      </w:pPr>
      <w:r>
        <w:t xml:space="preserve">[22] Reker, D., &amp; Schneider, G. (2015). Active-learning strategies in computer-assisted drug discovery. Drug Discovery Today, 20(4), 458-465.</w:t>
      </w:r>
    </w:p>
    <w:p>
      <w:pPr>
        <w:pStyle w:val="References"/>
      </w:pPr>
      <w:r>
        <w:t xml:space="preserve">[23] Segler, M. H. S., Preuss, M., &amp; Waller, M. P. (2018). Planning chemical syntheses with deep neural networks and symbolic AI. Nature, 555(7698), 604-610.</w:t>
      </w:r>
    </w:p>
    <w:p>
      <w:pPr>
        <w:pStyle w:val="References"/>
      </w:pPr>
      <w:r>
        <w:t xml:space="preserve">[24] Coley, C. W., Thomas, D. A., Lummiss, J. A. M., et al. (2019). A robotic platform for flow synthesis of organic compounds informed by AI planning. Science, 365(6453), eaax1566.</w:t>
      </w:r>
    </w:p>
    <w:p>
      <w:pPr>
        <w:pStyle w:val="References"/>
      </w:pPr>
      <w:r>
        <w:t xml:space="preserve">[25] Stach, E., DeCost, B., Kusne, A. G., et al. (2021). Autonomous experimentation systems for materials development. Matter, 4(9), 2702-2726.</w:t>
      </w:r>
    </w:p>
    <w:p>
      <w:pPr>
        <w:pStyle w:val="References"/>
      </w:pPr>
      <w:r>
        <w:t xml:space="preserve">[26] US Food and Drug Administration. (2021). Artificial Intelligence/Machine Learning (AI/ML)-Based Software as a Medical Device (SaMD) Action Plan. FDA.</w:t>
      </w:r>
    </w:p>
    <w:p>
      <w:pPr>
        <w:pStyle w:val="References"/>
      </w:pPr>
      <w:r>
        <w:t xml:space="preserve">[27] Zhu, H. (2020). Big data and artificial intelligence modeling for drug discovery. Annual Review of Pharmacology and Toxicology, 60, 573-589.</w:t>
      </w:r>
    </w:p>
    <w:p>
      <w:pPr>
        <w:pStyle w:val="References"/>
      </w:pPr>
      <w:r>
        <w:t xml:space="preserve">[28] Mervin, L. H., Johansson, S., Semenova, E., Giblin, K. A., &amp; Engkvist, O. (2021). Uncertainty quantification in drug design. Drug Discovery Today, 26(2), 474-489.</w:t>
      </w:r>
    </w:p>
    <w:p>
      <w:pPr>
        <w:pStyle w:val="References"/>
      </w:pPr>
      <w:r>
        <w:t xml:space="preserve">[29] Wilkinson, M. D., Dumontier, M., Aalbersberg, I. J., et al. (2016). The FAIR Guiding Principles for scientific data management and stewardship. Scientific Data, 3, 160018.</w:t>
      </w:r>
    </w:p>
    <w:p>
      <w:pPr>
        <w:pStyle w:val="References"/>
      </w:pPr>
      <w:r>
        <w:t xml:space="preserve">[30] Topol, E. J. (2019). High-performance medicine: the convergence of human and artificial intelligence. Nature Medicine, 25(1), 44-56.</w:t>
      </w:r>
    </w:p>
    <w:p>
      <w:pPr>
        <w:pStyle w:val="References"/>
      </w:pPr>
      <w:r>
        <w:t xml:space="preserve">[31] Moor, M., Banerjee, O., Abad, Z. S. H., et al. (2023). Foundation models for generalist medical artificial intelligence. Nature, 616(7956), 259-265.</w:t>
      </w:r>
    </w:p>
    <w:p>
      <w:pPr>
        <w:pStyle w:val="References"/>
      </w:pPr>
      <w:r>
        <w:t xml:space="preserve">[32] Bommasani, R., Hudson, D. A., Adeli, E., et al. (2021). On the opportunities and risks of foundation models. arXiv preprint arXiv:2108.07258.</w:t>
      </w:r>
    </w:p>
    <w:p>
      <w:pPr>
        <w:pStyle w:val="References"/>
      </w:pPr>
      <w:r>
        <w:t xml:space="preserve">[33] Tibbitt, M. W., Dahlman, J. E., &amp; Langer, R. (2016). Emerging frontiers in drug delivery. Journal of the American Chemical Society, 138(3), 704-717.</w:t>
      </w:r>
    </w:p>
    <w:p>
      <w:pPr>
        <w:pStyle w:val="References"/>
      </w:pPr>
      <w:r>
        <w:t xml:space="preserve">[34] Mirza, A. B., Rahman, M. M., &amp; Alam, F. (2021). Intelligent drug delivery systems: a review of stimuli-responsive and closed-loop approaches. Advanced Drug Delivery Reviews, 178, 113955.</w:t>
      </w:r>
    </w:p>
    <w:p>
      <w:pPr>
        <w:pStyle w:val="References"/>
      </w:pPr>
      <w:r>
        <w:t xml:space="preserve">[35] Collins, F. S., &amp; Varmus, H. (2015). A new initiative on precision medicine. New England Journal of Medicine, 372(9), 793-795.</w:t>
      </w:r>
    </w:p>
    <w:p>
      <w:pPr>
        <w:pStyle w:val="References"/>
      </w:pPr>
      <w:r>
        <w:t xml:space="preserve">[36] Bergenstal, R. M., Garg, S., Weinzimer, S. A., et al. (2016). Safety of a hybrid closed-loop insulin delivery system in patients with type 1 diabetes. JAMA, 316(13), 1407-1408.</w:t>
      </w:r>
    </w:p>
    <w:p>
      <w:pPr>
        <w:pStyle w:val="References"/>
      </w:pPr>
      <w:r>
        <w:t xml:space="preserve">[37] Kovatchev, B. (2019). A century of diabetes technology: signals, models, and artificial pancreas control. Trends in Endocrinology &amp; Metabolism, 30(7), 432-444.</w:t>
      </w:r>
    </w:p>
    <w:p>
      <w:pPr>
        <w:pStyle w:val="References"/>
      </w:pPr>
      <w:r>
        <w:t xml:space="preserve">[38] Shi, W., Cao, J., Zhang, Q., Li, Y., &amp; Xu, L. (2016). Edge computing: vision and challenges. IEEE Internet of Things Journal, 3(5), 637-646.</w:t>
      </w:r>
    </w:p>
    <w:p>
      <w:pPr>
        <w:pStyle w:val="References"/>
      </w:pPr>
      <w:r>
        <w:t xml:space="preserve">[39] Rieke, N., Hancox, J., Li, W., et al. (2020). The future of digital health with federated learning. npj Digital Medicine, 3, 119.</w:t>
      </w:r>
    </w:p>
    <w:p>
      <w:pPr>
        <w:pStyle w:val="References"/>
      </w:pPr>
      <w:r>
        <w:t xml:space="preserve">[40] Obermeyer, Z., Powers, B., Vogeli, C., &amp; Mullainathan, S. (2019). Dissecting racial bias in an algorithm used to manage the health of populations. Science, 366(6464), 447-453.</w:t>
      </w:r>
    </w:p>
    <w:p>
      <w:pPr>
        <w:pStyle w:val="References"/>
      </w:pPr>
      <w:r>
        <w:t xml:space="preserve">[41] Chen, I. Y., Pierson, E., Rose, S., Joshi, S., Ferryman, K., &amp; Ghassemi, M. (2021). Ethical machine learning in healthcare. Annual Review of Biomedical Data Science, 4, 123-144.</w:t>
      </w:r>
    </w:p>
    <w:p>
      <w:pPr>
        <w:pStyle w:val="References"/>
      </w:pPr>
      <w:r>
        <w:t xml:space="preserve">[42] Shneiderman, B. (2020). Human-centered artificial intelligence: reliable, safe &amp; trustworthy. International Journal of Human-Computer Interaction, 36(6), 495-504.</w:t>
      </w:r>
    </w:p>
    <w:p>
      <w:pPr>
        <w:pStyle w:val="References"/>
      </w:pPr>
      <w:r>
        <w:t xml:space="preserve">[43] Kim, J., Campbell, A. S., de Avila, B. E.-F., &amp; Wang, J. (2019). Wearable biosensors for healthcare monitoring. Nature Biotechnology, 37(4), 389-406.</w:t>
      </w:r>
    </w:p>
    <w:p>
      <w:pPr>
        <w:pStyle w:val="References"/>
      </w:pPr>
      <w:r>
        <w:t xml:space="preserve">[44] Tonekaboni, S., Joshi, S., McCradden, M. D., &amp; Goldenberg, A. (2019). What clinicians want: contextualizing explainable machine learning for clinical end use. Proceedings of Machine Learning Research, 106, 359-380.</w:t>
      </w:r>
    </w:p>
    <w:p>
      <w:pPr>
        <w:pStyle w:val="References"/>
      </w:pPr>
      <w:r>
        <w:t xml:space="preserve">[45] Amann, J., Blasimme, A., Vayena, E., Frey, D., &amp; Madai, V. I. (2020). Explainability for artificial intelligence in healthcare: a multidisciplinary perspective. BMC Medical Informatics and Decision Making, 20(1), 310.</w:t>
      </w:r>
    </w:p>
    <w:p>
      <w:pPr>
        <w:pStyle w:val="References"/>
      </w:pPr>
      <w:r>
        <w:t xml:space="preserve">[46] Reddy, S., Allan, S., Coghlan, S., &amp; Cooper, P. (2020). A governance model for the application of AI in health care. Journal of the American Medical Informatics Association, 27(3), 491-497.</w:t>
      </w:r>
    </w:p>
    <w:p>
      <w:pPr>
        <w:pStyle w:val="References"/>
      </w:pPr>
      <w:r>
        <w:t xml:space="preserve">[47] Rajpurkar, P., Chen, E., Banerjee, O., &amp; Topol, E. J. (2022). AI in health and medicine. Nature Medicine, 28(1), 31-38.</w:t>
      </w:r>
    </w:p>
    <w:sectPr>
      <w:pgSz w:w="12240" w:h="15840"/>
      <w:pgMar w:top="1440" w:right="1440" w:bottom="1440" w:left="1440" w:header="720" w:footer="720" w:gutter="0"/>
    </w:sectPr>
  </w:body>
</w:document>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360" w:lineRule="auto"/>
      </w:pPr>
    </w:pPrDefault>
  </w:docDefaults>
  <w:style w:type="paragraph" w:styleId="Normal" w:default="1">
    <w:name w:val="Normal"/>
    <w:pPr>
      <w:jc w:val="both"/>
    </w:pPr>
  </w:style>
  <w:style w:type="paragraph" w:styleId="Title">
    <w:name w:val="Title"/>
    <w:basedOn w:val="Normal"/>
    <w:pPr>
      <w:jc w:val="center"/>
      <w:spacing w:after="240"/>
    </w:pPr>
    <w:rPr>
      <w:b/>
      <w:sz w:val="32"/>
      <w:szCs w:val="32"/>
    </w:rPr>
  </w:style>
  <w:style w:type="paragraph" w:styleId="Heading1">
    <w:name w:val="heading 1"/>
    <w:basedOn w:val="Normal"/>
    <w:pPr>
      <w:spacing w:before="360" w:after="120"/>
      <w:jc w:val="left"/>
    </w:pPr>
    <w:rPr>
      <w:b/>
      <w:sz w:val="28"/>
      <w:szCs w:val="28"/>
    </w:rPr>
  </w:style>
  <w:style w:type="paragraph" w:styleId="Heading2">
    <w:name w:val="heading 2"/>
    <w:basedOn w:val="Normal"/>
    <w:pPr>
      <w:spacing w:before="240" w:after="120"/>
      <w:jc w:val="left"/>
    </w:pPr>
    <w:rPr>
      <w:b/>
      <w:sz w:val="26"/>
      <w:szCs w:val="26"/>
    </w:rPr>
  </w:style>
  <w:style w:type="paragraph" w:styleId="Heading3">
    <w:name w:val="heading 3"/>
    <w:basedOn w:val="Normal"/>
    <w:pPr>
      <w:spacing w:before="200" w:after="100"/>
      <w:jc w:val="left"/>
    </w:pPr>
    <w:rPr>
      <w:b/>
      <w:i/>
      <w:sz w:val="24"/>
      <w:szCs w:val="24"/>
    </w:rPr>
  </w:style>
  <w:style w:type="paragraph" w:styleId="Abstract">
    <w:name w:val="Abstract"/>
    <w:basedOn w:val="Normal"/>
    <w:pPr>
      <w:ind w:left="720" w:right="720"/>
    </w:pPr>
    <w:rPr>
      <w:i/>
    </w:rPr>
  </w:style>
  <w:style w:type="paragraph" w:styleId="References">
    <w:name w:val="References"/>
    <w:basedOn w:val="Normal"/>
    <w:pPr>
      <w:ind w:left="480" w:hanging="480"/>
      <w:spacing w:after="60"/>
    </w:pPr>
    <w:rPr>
      <w:sz w:val="22"/>
      <w:szCs w:val="22"/>
    </w:rPr>
  </w:style>
  <w:style w:type="paragraph" w:styleId="FigureImage">
    <w:name w:val="Figure Image"/>
    <w:basedOn w:val="Normal"/>
    <w:pPr>
      <w:jc w:val="center"/>
      <w:spacing w:before="200" w:after="60"/>
    </w:pPr>
  </w:style>
  <w:style w:type="paragraph" w:styleId="FigureCaption">
    <w:name w:val="Figure Caption"/>
    <w:basedOn w:val="Normal"/>
    <w:pPr>
      <w:jc w:val="center"/>
      <w:spacing w:before="60" w:after="240"/>
    </w:pPr>
    <w:rPr>
      <w:i/>
      <w:sz w:val="22"/>
      <w:szCs w:val="22"/>
    </w:rPr>
  </w:style>
  <w:style w:type="paragraph" w:styleId="TableCaption">
    <w:name w:val="Table Caption"/>
    <w:basedOn w:val="Normal"/>
    <w:pPr>
      <w:spacing w:before="160" w:after="60"/>
    </w:pPr>
    <w:rPr>
      <w:b/>
      <w:sz w:val="22"/>
      <w:szCs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Img1" Type="http://schemas.openxmlformats.org/officeDocument/2006/relationships/image" Target="media/Figure_20_1_Discovery_Loop.png"/>
<Relationship Id="rIdImg2" Type="http://schemas.openxmlformats.org/officeDocument/2006/relationships/image" Target="media/Figure_20_2_Timeline.png"/>
<Relationship Id="rIdImg3" Type="http://schemas.openxmlformats.org/officeDocument/2006/relationships/image" Target="media/Figure_20_3_Smart_Delivery.png"/>
<Relationship Id="rIdImg4" Type="http://schemas.openxmlformats.org/officeDocument/2006/relationships/image" Target="media/Figure_20_4_Readiness.png"/>
</Relationships>
</file>