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pic="http://schemas.openxmlformats.org/drawingml/2006/picture" xmlns:a="http://schemas.openxmlformats.org/drawingml/2006/main">
  <w:body>
    <w:p>
      <w:pPr>
        <w:jc w:val="both"/>
        <w:spacing w:after="120" w:line="360" w:lineRule="auto"/>
      </w:pPr>
      <w:r>
        <w:rPr/>
        <w:t xml:space="preserve"/>
      </w:r>
    </w:p>
    <w:p>
      <w:pPr>
        <w:jc w:val="both"/>
        <w:spacing w:after="120" w:line="360" w:lineRule="auto"/>
      </w:pPr>
      <w:r>
        <w:rPr/>
        <w:t xml:space="preserve"/>
      </w:r>
    </w:p>
    <w:p>
      <w:pPr>
        <w:jc w:val="center"/>
        <w:spacing w:after="120" w:line="360" w:lineRule="auto"/>
      </w:pPr>
      <w:r>
        <w:rPr>
          <w:b/>
        </w:rPr>
        <w:t xml:space="preserve">CHAPTER</w:t>
      </w:r>
    </w:p>
    <w:p>
      <w:pPr>
        <w:jc w:val="both"/>
        <w:spacing w:after="120" w:line="360" w:lineRule="auto"/>
      </w:pPr>
      <w:r>
        <w:rPr/>
        <w:t xml:space="preserve"/>
      </w:r>
    </w:p>
    <w:p>
      <w:pPr>
        <w:pStyle w:val="Heading1"/>
      </w:pPr>
      <w:r>
        <w:rPr>
          <w:b/>
        </w:rPr>
        <w:t>Advanced Materials and Intelligent Processes for Sustainable Manufacturing: From Bio-Derived Inputs to Circular Net-Zero Ecosystems</w:t>
      </w:r>
    </w:p>
    <w:p>
      <w:pPr>
        <w:jc w:val="both"/>
        <w:spacing w:after="120" w:line="360" w:lineRule="auto"/>
      </w:pPr>
      <w:r>
        <w:rPr/>
        <w:t xml:space="preserve"/>
      </w:r>
    </w:p>
    <w:p>
      <w:pPr>
        <w:jc w:val="center"/>
        <w:spacing w:after="120" w:line="360" w:lineRule="auto"/>
      </w:pPr>
      <w:r>
        <w:rPr/>
        <w:t xml:space="preserve">Authors: [Author Names]</w:t>
      </w:r>
    </w:p>
    <w:p>
      <w:pPr>
        <w:jc w:val="center"/>
        <w:spacing w:after="120" w:line="360" w:lineRule="auto"/>
      </w:pPr>
      <w:r>
        <w:rPr/>
        <w:t xml:space="preserve">Affiliation: [Department/University]</w:t>
      </w:r>
    </w:p>
    <w:p>
      <w:pPr>
        <w:jc w:val="both"/>
        <w:spacing w:after="120" w:line="360" w:lineRule="auto"/>
      </w:pPr>
      <w:r>
        <w:rPr/>
        <w:t xml:space="preserve"/>
      </w:r>
    </w:p>
    <w:p>
      <w:r>
        <w:br w:type="page"/>
      </w:r>
    </w:p>
    <w:p>
      <w:pPr>
        <w:pStyle w:val="Heading1"/>
      </w:pPr>
      <w:r>
        <w:rPr>
          <w:b/>
        </w:rPr>
        <w:t>Abstract</w:t>
      </w:r>
    </w:p>
    <w:p>
      <w:pPr>
        <w:jc w:val="both"/>
        <w:spacing w:after="120" w:line="360" w:lineRule="auto"/>
      </w:pPr>
      <w:r>
        <w:rPr/>
        <w:t xml:space="preserve">The convergence of advanced materials science, intelligent digital technologies, and circular economy principles is fundamentally reshaping manufacturing toward sustainability and net-zero emissions. This chapter presents a comprehensive analysis of four interconnected pillars driving this transformation: (1) advanced materials for sustainable manufacturing, encompassing bio-derived renewable materials, next-generation metals and composites, and sustainable electronics; (2) intelligent processes and digital integration, including digital twin technology, AI-driven process control, and human-centric manufacturing systems; (3) circular systems and regenerative design, covering multi-level circular frameworks, design for multiple life cycles, and enabling policy and business models; and (4) integration pathways toward net-zero manufacturing ecosystems, sustainable operations, and future research directions. Through systematic examination of recent advances in lignin-derived carbon fibers, ultra-high surface area metallic meshes, green conductive inks, digital twin architectures, large language model-powered agentic systems, and multi-level circular economy frameworks, this chapter demonstrates how these elements can be synergistically combined to achieve manufacturing systems that are simultaneously productive, environmentally regenerative, and socially responsible. The chapter concludes with an integrated roadmap identifying critical research gaps, industrial investment priorities, and policy interventions needed to accelerate the transition to sustainable manufacturing at scale.</w:t>
      </w:r>
    </w:p>
    <w:p>
      <w:pPr>
        <w:jc w:val="both"/>
        <w:spacing w:after="120" w:line="360" w:lineRule="auto"/>
      </w:pPr>
      <w:r>
        <w:rPr/>
        <w:t xml:space="preserve"/>
      </w:r>
    </w:p>
    <w:p>
      <w:pPr>
        <w:jc w:val="both"/>
        <w:spacing w:after="120" w:line="360" w:lineRule="auto"/>
      </w:pPr>
      <w:r>
        <w:rPr>
          <w:b/>
        </w:rPr>
        <w:t xml:space="preserve">Keywords: </w:t>
      </w:r>
      <w:r>
        <w:rPr>
          <w:i/>
        </w:rPr>
        <w:t xml:space="preserve">Sustainable manufacturing; Bio-derived materials; Digital twins; Circular economy; Net-zero emissions; Industry 5.0; Advanced composites; AI-driven process control; Remanufacturing; Green electronics</w:t>
      </w:r>
    </w:p>
    <w:p>
      <w:r>
        <w:br w:type="page"/>
      </w:r>
    </w:p>
    <w:p>
      <w:pPr>
        <w:pStyle w:val="Heading1"/>
      </w:pPr>
      <w:r>
        <w:rPr>
          <w:b/>
        </w:rPr>
        <w:t>Section 1: Advanced Materials for Sustainable Manufacturing</w:t>
      </w:r>
    </w:p>
    <w:p>
      <w:pPr>
        <w:jc w:val="both"/>
        <w:spacing w:after="120" w:line="360" w:lineRule="auto"/>
      </w:pPr>
      <w:r>
        <w:rPr/>
        <w:t xml:space="preserve">The development of advanced materials constitutes a foundational pillar for achieving sustainable manufacturing. Traditional material systems, predominantly derived from fossil fuels and energy-intensive extraction processes, have contributed significantly to environmental degradation, resource depletion, and greenhouse gas emissions. The paradigm shift toward sustainability demands materials that are renewable, recyclable, energy-efficient in production, and capable of delivering performance equal to or exceeding that of conventional alternatives [1]. This section examines three critical material categories: bio-derived and renewable materials, advanced metals and composites, and sustainable electronics and functional materials. Each category represents a distinct pathway toward reducing the environmental footprint of manufacturing while maintaining or enhancing product performance and functionality [2].</w:t>
      </w:r>
    </w:p>
    <w:p>
      <w:pPr>
        <w:pStyle w:val="Heading2"/>
      </w:pPr>
      <w:r>
        <w:rPr>
          <w:b/>
        </w:rPr>
        <w:t>1.1 Bio-Derived and Renewable Materials</w:t>
      </w:r>
    </w:p>
    <w:p>
      <w:pPr>
        <w:jc w:val="both"/>
        <w:spacing w:after="120" w:line="360" w:lineRule="auto"/>
      </w:pPr>
      <w:r>
        <w:rPr/>
        <w:t xml:space="preserve">The transformation of biological waste streams into high-performance manufacturing inputs represents one of the most promising frontiers in sustainable materials science. Lignin, one of the most abundant biopolymers on Earth with approximately 70 million tons produced annually as a byproduct of the pulp and paper industry, has historically been burned for low-grade heat recovery. However, recent advances in processing technology have demonstrated that lignin can be converted into functional carbon fibers through electrospinning and subsequent thermal treatment, creating conductive scaffolds suitable for catalytic applications [3]. The electrospinning process enables precise control over fiber diameter, porosity, and surface functionality, yielding materials with tailored properties for specific applications.</w:t>
      </w:r>
    </w:p>
    <w:p>
      <w:pPr>
        <w:jc w:val="both"/>
        <w:spacing w:after="120" w:line="360" w:lineRule="auto"/>
      </w:pPr>
      <w:r>
        <w:rPr/>
        <w:t xml:space="preserve">Research has demonstrated that lignin-derived carbon fibers loaded with metal oxide nanoparticles, specifically nickel oxide and iron oxide (NiO/Fe3O4) combinations, exhibit exceptional performance in oxygen evolution reactions (OER). These materials achieve remarkably low overpotential values of approximately 250 mV at a current density of 10 mA cm-2, with operational stability exceeding 50 hours at high current density [4]. This performance is competitive with noble metal catalysts while utilizing entirely renewable precursors, representing a significant advancement in sustainable electrocatalysis. The bifunctional nature of NiO/Fe3O4 on carbon nanofiber substrates creates synergistic effects that enhance both activity and durability through optimized electronic structure and increased active site density [5].</w:t>
      </w:r>
    </w:p>
    <w:p>
      <w:pPr>
        <w:jc w:val="both"/>
        <w:spacing w:after="120" w:line="360" w:lineRule="auto"/>
      </w:pPr>
      <w:r>
        <w:rPr/>
        <w:t xml:space="preserve">Beyond lignin, chitosan-based substrates have emerged as versatile platforms for flexible electronics. Derived from chitin, the second most abundant natural polymer, chitosan offers biocompatibility, film-forming capability, and tunable mechanical properties. When combined with cellulose nanomaterials, chitosan substrates achieve tensile strengths exceeding 100 MPa while maintaining flexibility and biodegradability [6]. Mycelium-based composites, grown from fungal networks on agricultural waste substrates, provide another class of renewable materials with exceptional sustainability credentials. These materials require minimal energy input during production, sequester carbon during growth, and are fully compostable at end of life. Recent developments have improved their mechanical properties through thermal pressing and surface treatments, achieving compressive strengths suitable for packaging and insulation applications [7].</w:t>
      </w:r>
    </w:p>
    <w:p>
      <w:pPr>
        <w:jc w:val="both"/>
        <w:spacing w:after="120" w:line="360" w:lineRule="auto"/>
      </w:pPr>
      <w:r>
        <w:rPr/>
        <w:t xml:space="preserve">Table 1 summarizes the comparative performance characteristics of key bio-derived materials, highlighting their mechanical properties, processing requirements, and sustainability metrics. Figure 1 provides a visual comparison of performance across these material categories.</w:t>
      </w:r>
    </w:p>
    <w:p>
      <w:pPr>
        <w:jc w:val="center"/>
        <w:spacing w:after="120" w:line="360" w:lineRule="auto"/>
      </w:pPr>
      <w:r>
        <w:rPr>
          <w:b/>
        </w:rPr>
        <w:t xml:space="preserve">Table 1: Comparative Performance of Bio-Derived Materials for Sustainable Manufacturing</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tcW w:w="1800" w:type="dxa"/>
            <w:shd w:val="clear" w:color="auto" w:fill="2E86C1"/>
          </w:tcPr>
          <w:p>
            <w:pPr>
              <w:jc w:val="center"/>
            </w:pPr>
            <w:r>
              <w:rPr>
                <w:b/>
                <w:color w:val="FFFFFF"/>
              </w:rPr>
              <w:t>Material</w:t>
            </w:r>
          </w:p>
        </w:tc>
        <w:tc>
          <w:tcPr>
            <w:tcW w:w="1800" w:type="dxa"/>
            <w:shd w:val="clear" w:color="auto" w:fill="2E86C1"/>
          </w:tcPr>
          <w:p>
            <w:pPr>
              <w:jc w:val="center"/>
            </w:pPr>
            <w:r>
              <w:rPr>
                <w:b/>
                <w:color w:val="FFFFFF"/>
              </w:rPr>
              <w:t>Tensile Strength (MPa)</w:t>
            </w:r>
          </w:p>
        </w:tc>
        <w:tc>
          <w:tcPr>
            <w:tcW w:w="1800" w:type="dxa"/>
            <w:shd w:val="clear" w:color="auto" w:fill="2E86C1"/>
          </w:tcPr>
          <w:p>
            <w:pPr>
              <w:jc w:val="center"/>
            </w:pPr>
            <w:r>
              <w:rPr>
                <w:b/>
                <w:color w:val="FFFFFF"/>
              </w:rPr>
              <w:t>Conductivity (S/cm)</w:t>
            </w:r>
          </w:p>
        </w:tc>
        <w:tc>
          <w:tcPr>
            <w:tcW w:w="1800" w:type="dxa"/>
            <w:shd w:val="clear" w:color="auto" w:fill="2E86C1"/>
          </w:tcPr>
          <w:p>
            <w:pPr>
              <w:jc w:val="center"/>
            </w:pPr>
            <w:r>
              <w:rPr>
                <w:b/>
                <w:color w:val="FFFFFF"/>
              </w:rPr>
              <w:t>Biodegradability</w:t>
            </w:r>
          </w:p>
        </w:tc>
        <w:tc>
          <w:tcPr>
            <w:tcW w:w="1800" w:type="dxa"/>
            <w:shd w:val="clear" w:color="auto" w:fill="2E86C1"/>
          </w:tcPr>
          <w:p>
            <w:pPr>
              <w:jc w:val="center"/>
            </w:pPr>
            <w:r>
              <w:rPr>
                <w:b/>
                <w:color w:val="FFFFFF"/>
              </w:rPr>
              <w:t>Processing Energy (MJ/kg)</w:t>
            </w:r>
          </w:p>
        </w:tc>
      </w:tr>
      <w:tr>
        <w:tc>
          <w:tcPr>
            <w:tcW w:w="1800" w:type="dxa"/>
            <w:shd w:val="clear" w:color="auto" w:fill="F2F3F4"/>
          </w:tcPr>
          <w:p>
            <w:pPr>
              <w:jc w:val="center"/>
            </w:pPr>
            <w:r>
              <w:t>Lignin Carbon Fibers</w:t>
            </w:r>
          </w:p>
        </w:tc>
        <w:tc>
          <w:tcPr>
            <w:tcW w:w="1800" w:type="dxa"/>
            <w:shd w:val="clear" w:color="auto" w:fill="F2F3F4"/>
          </w:tcPr>
          <w:p>
            <w:pPr>
              <w:jc w:val="center"/>
            </w:pPr>
            <w:r>
              <w:t>350-800</w:t>
            </w:r>
          </w:p>
        </w:tc>
        <w:tc>
          <w:tcPr>
            <w:tcW w:w="1800" w:type="dxa"/>
            <w:shd w:val="clear" w:color="auto" w:fill="F2F3F4"/>
          </w:tcPr>
          <w:p>
            <w:pPr>
              <w:jc w:val="center"/>
            </w:pPr>
            <w:r>
              <w:t>10-100</w:t>
            </w:r>
          </w:p>
        </w:tc>
        <w:tc>
          <w:tcPr>
            <w:tcW w:w="1800" w:type="dxa"/>
            <w:shd w:val="clear" w:color="auto" w:fill="F2F3F4"/>
          </w:tcPr>
          <w:p>
            <w:pPr>
              <w:jc w:val="center"/>
            </w:pPr>
            <w:r>
              <w:t>Partial</w:t>
            </w:r>
          </w:p>
        </w:tc>
        <w:tc>
          <w:tcPr>
            <w:tcW w:w="1800" w:type="dxa"/>
            <w:shd w:val="clear" w:color="auto" w:fill="F2F3F4"/>
          </w:tcPr>
          <w:p>
            <w:pPr>
              <w:jc w:val="center"/>
            </w:pPr>
            <w:r>
              <w:t>45-60</w:t>
            </w:r>
          </w:p>
        </w:tc>
      </w:tr>
      <w:tr>
        <w:tc>
          <w:tcPr>
            <w:tcW w:w="1800" w:type="dxa"/>
            <w:shd w:val="clear" w:color="auto" w:fill="FFFFFF"/>
          </w:tcPr>
          <w:p>
            <w:pPr>
              <w:jc w:val="center"/>
            </w:pPr>
            <w:r>
              <w:t>Chitosan Substrates</w:t>
            </w:r>
          </w:p>
        </w:tc>
        <w:tc>
          <w:tcPr>
            <w:tcW w:w="1800" w:type="dxa"/>
            <w:shd w:val="clear" w:color="auto" w:fill="FFFFFF"/>
          </w:tcPr>
          <w:p>
            <w:pPr>
              <w:jc w:val="center"/>
            </w:pPr>
            <w:r>
              <w:t>80-120</w:t>
            </w:r>
          </w:p>
        </w:tc>
        <w:tc>
          <w:tcPr>
            <w:tcW w:w="1800" w:type="dxa"/>
            <w:shd w:val="clear" w:color="auto" w:fill="FFFFFF"/>
          </w:tcPr>
          <w:p>
            <w:pPr>
              <w:jc w:val="center"/>
            </w:pPr>
            <w:r>
              <w:t>0.01-1.0</w:t>
            </w:r>
          </w:p>
        </w:tc>
        <w:tc>
          <w:tcPr>
            <w:tcW w:w="1800" w:type="dxa"/>
            <w:shd w:val="clear" w:color="auto" w:fill="FFFFFF"/>
          </w:tcPr>
          <w:p>
            <w:pPr>
              <w:jc w:val="center"/>
            </w:pPr>
            <w:r>
              <w:t>Full</w:t>
            </w:r>
          </w:p>
        </w:tc>
        <w:tc>
          <w:tcPr>
            <w:tcW w:w="1800" w:type="dxa"/>
            <w:shd w:val="clear" w:color="auto" w:fill="FFFFFF"/>
          </w:tcPr>
          <w:p>
            <w:pPr>
              <w:jc w:val="center"/>
            </w:pPr>
            <w:r>
              <w:t>15-25</w:t>
            </w:r>
          </w:p>
        </w:tc>
      </w:tr>
      <w:tr>
        <w:tc>
          <w:tcPr>
            <w:tcW w:w="1800" w:type="dxa"/>
            <w:shd w:val="clear" w:color="auto" w:fill="F2F3F4"/>
          </w:tcPr>
          <w:p>
            <w:pPr>
              <w:jc w:val="center"/>
            </w:pPr>
            <w:r>
              <w:t>Cellulose Nanomaterials</w:t>
            </w:r>
          </w:p>
        </w:tc>
        <w:tc>
          <w:tcPr>
            <w:tcW w:w="1800" w:type="dxa"/>
            <w:shd w:val="clear" w:color="auto" w:fill="F2F3F4"/>
          </w:tcPr>
          <w:p>
            <w:pPr>
              <w:jc w:val="center"/>
            </w:pPr>
            <w:r>
              <w:t>200-500</w:t>
            </w:r>
          </w:p>
        </w:tc>
        <w:tc>
          <w:tcPr>
            <w:tcW w:w="1800" w:type="dxa"/>
            <w:shd w:val="clear" w:color="auto" w:fill="F2F3F4"/>
          </w:tcPr>
          <w:p>
            <w:pPr>
              <w:jc w:val="center"/>
            </w:pPr>
            <w:r>
              <w:t>0.001-0.1</w:t>
            </w:r>
          </w:p>
        </w:tc>
        <w:tc>
          <w:tcPr>
            <w:tcW w:w="1800" w:type="dxa"/>
            <w:shd w:val="clear" w:color="auto" w:fill="F2F3F4"/>
          </w:tcPr>
          <w:p>
            <w:pPr>
              <w:jc w:val="center"/>
            </w:pPr>
            <w:r>
              <w:t>Full</w:t>
            </w:r>
          </w:p>
        </w:tc>
        <w:tc>
          <w:tcPr>
            <w:tcW w:w="1800" w:type="dxa"/>
            <w:shd w:val="clear" w:color="auto" w:fill="F2F3F4"/>
          </w:tcPr>
          <w:p>
            <w:pPr>
              <w:jc w:val="center"/>
            </w:pPr>
            <w:r>
              <w:t>30-50</w:t>
            </w:r>
          </w:p>
        </w:tc>
      </w:tr>
      <w:tr>
        <w:tc>
          <w:tcPr>
            <w:tcW w:w="1800" w:type="dxa"/>
            <w:shd w:val="clear" w:color="auto" w:fill="FFFFFF"/>
          </w:tcPr>
          <w:p>
            <w:pPr>
              <w:jc w:val="center"/>
            </w:pPr>
            <w:r>
              <w:t>Mycelium Composites</w:t>
            </w:r>
          </w:p>
        </w:tc>
        <w:tc>
          <w:tcPr>
            <w:tcW w:w="1800" w:type="dxa"/>
            <w:shd w:val="clear" w:color="auto" w:fill="FFFFFF"/>
          </w:tcPr>
          <w:p>
            <w:pPr>
              <w:jc w:val="center"/>
            </w:pPr>
            <w:r>
              <w:t>1-10</w:t>
            </w:r>
          </w:p>
        </w:tc>
        <w:tc>
          <w:tcPr>
            <w:tcW w:w="1800" w:type="dxa"/>
            <w:shd w:val="clear" w:color="auto" w:fill="FFFFFF"/>
          </w:tcPr>
          <w:p>
            <w:pPr>
              <w:jc w:val="center"/>
            </w:pPr>
            <w:r>
              <w:t>&lt;0.001</w:t>
            </w:r>
          </w:p>
        </w:tc>
        <w:tc>
          <w:tcPr>
            <w:tcW w:w="1800" w:type="dxa"/>
            <w:shd w:val="clear" w:color="auto" w:fill="FFFFFF"/>
          </w:tcPr>
          <w:p>
            <w:pPr>
              <w:jc w:val="center"/>
            </w:pPr>
            <w:r>
              <w:t>Full</w:t>
            </w:r>
          </w:p>
        </w:tc>
        <w:tc>
          <w:tcPr>
            <w:tcW w:w="1800" w:type="dxa"/>
            <w:shd w:val="clear" w:color="auto" w:fill="FFFFFF"/>
          </w:tcPr>
          <w:p>
            <w:pPr>
              <w:jc w:val="center"/>
            </w:pPr>
            <w:r>
              <w:t>2-5</w:t>
            </w:r>
          </w:p>
        </w:tc>
      </w:tr>
      <w:tr>
        <w:tc>
          <w:tcPr>
            <w:tcW w:w="1800" w:type="dxa"/>
            <w:shd w:val="clear" w:color="auto" w:fill="F2F3F4"/>
          </w:tcPr>
          <w:p>
            <w:pPr>
              <w:jc w:val="center"/>
            </w:pPr>
            <w:r>
              <w:t>PLA Blends</w:t>
            </w:r>
          </w:p>
        </w:tc>
        <w:tc>
          <w:tcPr>
            <w:tcW w:w="1800" w:type="dxa"/>
            <w:shd w:val="clear" w:color="auto" w:fill="F2F3F4"/>
          </w:tcPr>
          <w:p>
            <w:pPr>
              <w:jc w:val="center"/>
            </w:pPr>
            <w:r>
              <w:t>50-70</w:t>
            </w:r>
          </w:p>
        </w:tc>
        <w:tc>
          <w:tcPr>
            <w:tcW w:w="1800" w:type="dxa"/>
            <w:shd w:val="clear" w:color="auto" w:fill="F2F3F4"/>
          </w:tcPr>
          <w:p>
            <w:pPr>
              <w:jc w:val="center"/>
            </w:pPr>
            <w:r>
              <w:t>&lt;0.001</w:t>
            </w:r>
          </w:p>
        </w:tc>
        <w:tc>
          <w:tcPr>
            <w:tcW w:w="1800" w:type="dxa"/>
            <w:shd w:val="clear" w:color="auto" w:fill="F2F3F4"/>
          </w:tcPr>
          <w:p>
            <w:pPr>
              <w:jc w:val="center"/>
            </w:pPr>
            <w:r>
              <w:t>Full</w:t>
            </w:r>
          </w:p>
        </w:tc>
        <w:tc>
          <w:tcPr>
            <w:tcW w:w="1800" w:type="dxa"/>
            <w:shd w:val="clear" w:color="auto" w:fill="F2F3F4"/>
          </w:tcPr>
          <w:p>
            <w:pPr>
              <w:jc w:val="center"/>
            </w:pPr>
            <w:r>
              <w:t>25-35</w:t>
            </w:r>
          </w:p>
        </w:tc>
      </w:tr>
      <w:tr>
        <w:tc>
          <w:tcPr>
            <w:tcW w:w="1800" w:type="dxa"/>
            <w:shd w:val="clear" w:color="auto" w:fill="FFFFFF"/>
          </w:tcPr>
          <w:p>
            <w:pPr>
              <w:jc w:val="center"/>
            </w:pPr>
            <w:r>
              <w:t>Hemp Fiber Composites</w:t>
            </w:r>
          </w:p>
        </w:tc>
        <w:tc>
          <w:tcPr>
            <w:tcW w:w="1800" w:type="dxa"/>
            <w:shd w:val="clear" w:color="auto" w:fill="FFFFFF"/>
          </w:tcPr>
          <w:p>
            <w:pPr>
              <w:jc w:val="center"/>
            </w:pPr>
            <w:r>
              <w:t>300-600</w:t>
            </w:r>
          </w:p>
        </w:tc>
        <w:tc>
          <w:tcPr>
            <w:tcW w:w="1800" w:type="dxa"/>
            <w:shd w:val="clear" w:color="auto" w:fill="FFFFFF"/>
          </w:tcPr>
          <w:p>
            <w:pPr>
              <w:jc w:val="center"/>
            </w:pPr>
            <w:r>
              <w:t>&lt;0.001</w:t>
            </w:r>
          </w:p>
        </w:tc>
        <w:tc>
          <w:tcPr>
            <w:tcW w:w="1800" w:type="dxa"/>
            <w:shd w:val="clear" w:color="auto" w:fill="FFFFFF"/>
          </w:tcPr>
          <w:p>
            <w:pPr>
              <w:jc w:val="center"/>
            </w:pPr>
            <w:r>
              <w:t>Partial</w:t>
            </w:r>
          </w:p>
        </w:tc>
        <w:tc>
          <w:tcPr>
            <w:tcW w:w="1800" w:type="dxa"/>
            <w:shd w:val="clear" w:color="auto" w:fill="FFFFFF"/>
          </w:tcPr>
          <w:p>
            <w:pPr>
              <w:jc w:val="center"/>
            </w:pPr>
            <w:r>
              <w:t>10-20</w:t>
            </w:r>
          </w:p>
        </w:tc>
      </w:tr>
    </w:tbl>
    <w:p>
      <w:pPr>
        <w:jc w:val="both"/>
        <w:spacing w:after="120" w:line="360" w:lineRule="auto"/>
      </w:pPr>
      <w:r>
        <w:rPr/>
        <w:t xml:space="preserve"/>
      </w:r>
    </w:p>
    <w:p>
      <w:pPr>
        <w:jc w:val="center"/>
      </w:pPr>
      <w:r>
        <w:drawing>
          <wp:inline distT="0" distB="0" distL="0" distR="0">
            <wp:extent cx="5400000" cy="3400000"/>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1"/>
                    <a:stretch>
                      <a:fillRect/>
                    </a:stretch>
                  </pic:blipFill>
                  <pic:spPr>
                    <a:xfrm>
                      <a:off x="0" y="0"/>
                      <a:ext cx="5400000" cy="3400000"/>
                    </a:xfrm>
                    <a:prstGeom prst="rect">
                      <a:avLst/>
                    </a:prstGeom>
                  </pic:spPr>
                </pic:pic>
              </a:graphicData>
            </a:graphic>
          </wp:inline>
        </w:drawing>
      </w:r>
    </w:p>
    <w:p>
      <w:pPr>
        <w:jc w:val="center"/>
        <w:spacing w:after="120" w:line="360" w:lineRule="auto"/>
      </w:pPr>
      <w:r>
        <w:rPr>
          <w:b/>
          <w:i/>
        </w:rPr>
        <w:t xml:space="preserve">Figure 1: Performance comparison of bio-derived materials across tensile strength, conductivity, and sustainability metrics. Dark bars represent tensile strength, medium bars represent conductivity, and light bars represent sustainability score.</w:t>
      </w:r>
    </w:p>
    <w:p>
      <w:pPr>
        <w:pStyle w:val="Heading2"/>
      </w:pPr>
      <w:r>
        <w:rPr>
          <w:b/>
        </w:rPr>
        <w:t>1.2 Advanced Metals, Composites, and Alloys</w:t>
      </w:r>
    </w:p>
    <w:p>
      <w:pPr>
        <w:jc w:val="both"/>
        <w:spacing w:after="120" w:line="360" w:lineRule="auto"/>
      </w:pPr>
      <w:r>
        <w:rPr/>
        <w:t xml:space="preserve">Next-generation metallic materials engineered for sustainability represent a critical pathway toward reducing the environmental impact of manufacturing while maintaining the high-performance characteristics required for demanding applications. Ultra-high surface area metallic meshes, formed from nanofibers with diameters of several hundred nanometers, provide surface areas up to 1,000 times greater than conventional metallic foams [8]. This extraordinary surface area enhancement enables up to fivefold increases in hydrogen production rate and approximately 10% higher efficiency in electrolysis applications compared to traditional electrode configurations. The fabrication process combines electrospinning of polymer-metal precursor solutions with controlled thermal reduction, creating self-supporting metallic nanofiber networks with tunable composition and morphology [9].</w:t>
      </w:r>
    </w:p>
    <w:p>
      <w:pPr>
        <w:jc w:val="both"/>
        <w:spacing w:after="120" w:line="360" w:lineRule="auto"/>
      </w:pPr>
      <w:r>
        <w:rPr/>
        <w:t xml:space="preserve">Metal matrix composites (MMCs) with hybrid reinforcement architectures represent another frontier in sustainable metallic materials. These composites combine metallic matrices with multiple reinforcement phases, including ceramic particles, carbon nanotubes, and graphene nanoplatelets, to achieve synergistic property enhancement. Recent research has demonstrated that hybrid Al/SiC/graphene composites achieve 40% higher specific strength compared to monolithic aluminum alloys while reducing weight by 15-25% in automotive applications [10]. Process optimization techniques, including friction stir processing and spark plasma sintering, enable uniform distribution of reinforcements while minimizing interfacial reactions that degrade composite properties [11].</w:t>
      </w:r>
    </w:p>
    <w:p>
      <w:pPr>
        <w:jc w:val="both"/>
        <w:spacing w:after="120" w:line="360" w:lineRule="auto"/>
      </w:pPr>
      <w:r>
        <w:rPr/>
        <w:t xml:space="preserve">Tribological aspects of metal matrix composites for industrial and automotive applications have received significant attention. The incorporation of solid lubricant phases, such as molybdenum disulfide and hexagonal boron nitride, within MMC architectures reduces friction coefficients by 30-50% while maintaining wear resistance [12]. These tribological improvements translate directly to energy savings in moving components, with estimates suggesting 2-5% fuel efficiency improvements in automotive drivetrains utilizing optimized MMC bearings and bushings. Lightweight magnesium and aluminum alloys with rare-earth additions extend product lifetimes through enhanced corrosion resistance, while design strategies based on topology optimization minimize material intensity without compromising structural performance [13].</w:t>
      </w:r>
    </w:p>
    <w:p>
      <w:pPr>
        <w:jc w:val="both"/>
        <w:spacing w:after="120" w:line="360" w:lineRule="auto"/>
      </w:pPr>
      <w:r>
        <w:rPr/>
        <w:t xml:space="preserve">The environmental benefits of advanced metallic materials extend across the entire product lifecycle. Manufacturing processes optimized for these materials consume 20-40% less energy compared to conventional processing routes, primarily through reduced processing temperatures and shorter cycle times. In-service weight reductions achieved through advanced alloy design and topology optimization translate to cumulative energy savings over product operational lifetimes that far exceed the embodied energy of the materials themselves. End-of-life recovery of advanced alloys is facilitated by their intrinsic material value and well-established recycling infrastructure, with secondary aluminum production requiring only 5% of the energy needed for primary production. The development of alloy sorting technologies based on laser-induced breakdown spectroscopy and X-ray fluorescence enables automated separation of mixed alloy waste streams into composition-specific fractions, maintaining material quality through recycling cycles and supporting closed-loop alloy production systems that minimize downgrading and quality loss.</w:t>
      </w:r>
    </w:p>
    <w:p>
      <w:pPr>
        <w:pStyle w:val="Heading2"/>
      </w:pPr>
      <w:r>
        <w:rPr>
          <w:b/>
        </w:rPr>
        <w:t>1.3 Sustainable Electronics and Functional Materials</w:t>
      </w:r>
    </w:p>
    <w:p>
      <w:pPr>
        <w:jc w:val="both"/>
        <w:spacing w:after="120" w:line="360" w:lineRule="auto"/>
      </w:pPr>
      <w:r>
        <w:rPr/>
        <w:t xml:space="preserve">The electronics industry faces mounting environmental challenges, including hazardous waste generation, rare earth dependency, and energy-intensive manufacturing processes. Green conductive inks derived from sustainable carbon sources offer a pathway to reduce the environmental footprint of printed electronics. Carbon-based inks formulated from biomass-derived graphene and carbon nanotubes achieve sheet resistances below 50 ohms/square on flexible substrates, approaching the performance of silver-based alternatives while eliminating precious metal dependency [14]. These inks can be processed at temperatures below 150 degrees Celsius, enabling compatibility with biodegradable polymer substrates and reducing manufacturing energy consumption by approximately 60% compared to conventional metallization processes [15].</w:t>
      </w:r>
    </w:p>
    <w:p>
      <w:pPr>
        <w:jc w:val="both"/>
        <w:spacing w:after="120" w:line="360" w:lineRule="auto"/>
      </w:pPr>
      <w:r>
        <w:rPr/>
        <w:t xml:space="preserve">Biodegradable and recyclable substrates combining chitosan and lignin offer dual functionality as both structural support and active sensing elements. The inherent humidity sensitivity of chitosan enables passive sensing capabilities without additional transducer materials, while lignin provides mechanical reinforcement and UV stability [16]. Direct-laser-written energy devices on paper substrates demonstrate efficient heat distribution patterns suitable for wearable heating applications, achieving uniform temperature profiles within plus or minus 2 degrees Celsius across the active area. Sensing platforms based on metal oxide nanomaterials, particularly zinc oxide and titanium dioxide nanostructures, provide detection capabilities for environmental pollutants at parts-per-billion concentrations [17].</w:t>
      </w:r>
    </w:p>
    <w:p>
      <w:pPr>
        <w:jc w:val="both"/>
        <w:spacing w:after="120" w:line="360" w:lineRule="auto"/>
      </w:pPr>
      <w:r>
        <w:rPr/>
        <w:t xml:space="preserve">Lead-free perovskite alternatives for electronic devices address one of the most pressing toxicity concerns in modern electronics. Tin-based and bismuth-based perovskites demonstrate power conversion efficiencies exceeding 14% in photovoltaic applications while eliminating the lead toxicity risk associated with conventional organic-inorganic perovskites [18]. The integration of these materials into fully recyclable device architectures, where substrates, active layers, and contacts can be separated and recovered through mild solvent processes, represents a significant step toward circular electronics manufacturing.</w:t>
      </w:r>
    </w:p>
    <w:p>
      <w:pPr>
        <w:jc w:val="both"/>
        <w:spacing w:after="120" w:line="360" w:lineRule="auto"/>
      </w:pPr>
      <w:r>
        <w:rPr/>
        <w:t xml:space="preserve">The convergence of sustainable materials with advanced deposition techniques opens new possibilities for large-area electronics fabrication. Roll-to-roll processing of bio-derived conductive inks on cellulose substrates achieves throughput rates exceeding 10 meters per minute, compatible with industrial-scale production requirements. The thermal budget constraints of biodegradable substrates have stimulated innovation in photonic sintering and plasma treatment methods that achieve electrical percolation without substrate degradation. Furthermore, the incorporation of self-healing polymers into electronic device architectures extends operational lifetime and reduces electronic waste generation, contributing to both sustainability and reliability objectives simultaneously. These advances collectively demonstrate that sustainable electronics need not compromise on performance, opening pathways to market adoption driven by both environmental responsibility and technical merit.</w:t>
      </w:r>
    </w:p>
    <w:p>
      <w:r>
        <w:br w:type="page"/>
      </w:r>
    </w:p>
    <w:p>
      <w:pPr>
        <w:pStyle w:val="Heading1"/>
      </w:pPr>
      <w:r>
        <w:rPr>
          <w:b/>
        </w:rPr>
        <w:t>Section 2: Intelligent Processes and Digital Integration</w:t>
      </w:r>
    </w:p>
    <w:p>
      <w:pPr>
        <w:jc w:val="both"/>
        <w:spacing w:after="120" w:line="360" w:lineRule="auto"/>
      </w:pPr>
      <w:r>
        <w:rPr/>
        <w:t xml:space="preserve">The fourth industrial revolution has introduced transformative digital technologies that fundamentally alter how manufacturing systems are designed, operated, and optimized. Digital twins, artificial intelligence, and human-centric design paradigms collectively enable manufacturing processes that are more efficient, adaptive, and sustainable than their predecessors [19]. This section examines the three primary axes of intelligent manufacturing: digital twin architectures for real-time system optimization, AI-driven process control for quality and efficiency enhancement, and human-centric systems that empower workers while leveraging the capabilities of advanced automation.</w:t>
      </w:r>
    </w:p>
    <w:p>
      <w:pPr>
        <w:jc w:val="both"/>
        <w:spacing w:after="120" w:line="360" w:lineRule="auto"/>
      </w:pPr>
      <w:r>
        <w:rPr/>
        <w:t xml:space="preserve">The integration of digital technologies into manufacturing operations represents more than incremental improvement; it constitutes a fundamental restructuring of information flows, decision-making processes, and value creation mechanisms within manufacturing enterprises. Traditional manufacturing relies on sequential design-build-test cycles with limited feedback between stages; intelligent manufacturing creates continuous feedback loops where operational data informs design decisions, process adjustments occur in real time, and predictive models anticipate problems before they manifest. This transformation enables manufacturing systems to approach theoretical efficiency limits that were previously inaccessible due to information constraints, creating significant sustainability benefits through reduced material waste, energy consumption, and defective production. The following subsections examine the key technologies enabling this transformation and their specific contributions to sustainable manufacturing objectives.</w:t>
      </w:r>
    </w:p>
    <w:p>
      <w:pPr>
        <w:pStyle w:val="Heading2"/>
      </w:pPr>
      <w:r>
        <w:rPr>
          <w:b/>
        </w:rPr>
        <w:t>2.1 Digital Twins and Cyber-Physical Systems</w:t>
      </w:r>
    </w:p>
    <w:p>
      <w:pPr>
        <w:jc w:val="both"/>
        <w:spacing w:after="120" w:line="360" w:lineRule="auto"/>
      </w:pPr>
      <w:r>
        <w:rPr/>
        <w:t xml:space="preserve">Digital twin (DT) technology has emerged as a cornerstone of intelligent manufacturing, providing seamless integration between physical systems and their virtual counterparts. A digital twin is defined as a dynamic virtual representation of a physical entity that mirrors its state, behavior, and lifecycle through continuous data exchange and bidirectional communication [20]. In manufacturing contexts, DTs enable real-time simulation, monitoring, and optimization of production operations, reducing downtime, improving quality, and enabling predictive maintenance strategies that extend equipment lifetimes by 20-30% [21].</w:t>
      </w:r>
    </w:p>
    <w:p>
      <w:pPr>
        <w:jc w:val="both"/>
        <w:spacing w:after="120" w:line="360" w:lineRule="auto"/>
      </w:pPr>
      <w:r>
        <w:rPr/>
        <w:t xml:space="preserve">The architecture of manufacturing digital twins typically comprises three interconnected layers. The physical layer encompasses the actual hardware, including machine tools, robotic systems, conveyor mechanisms, and sensor networks that capture operational data. The digital twin engine layer processes incoming data streams through computational models, applying physics-based simulations, statistical analyses, and machine learning algorithms to extract actionable insights. The virtual model layer provides three-dimensional visualization and simulation capabilities that enable operators and engineers to interact with the digital representation of the manufacturing system in real time [22]. Figure 2 illustrates this three-layer architecture and the data flows between layers.</w:t>
      </w:r>
    </w:p>
    <w:p>
      <w:pPr>
        <w:jc w:val="center"/>
      </w:pPr>
      <w:r>
        <w:drawing>
          <wp:inline distT="0" distB="0" distL="0" distR="0">
            <wp:extent cx="5400000" cy="3700000"/>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2"/>
                    <a:stretch>
                      <a:fillRect/>
                    </a:stretch>
                  </pic:blipFill>
                  <pic:spPr>
                    <a:xfrm>
                      <a:off x="0" y="0"/>
                      <a:ext cx="5400000" cy="3700000"/>
                    </a:xfrm>
                    <a:prstGeom prst="rect">
                      <a:avLst/>
                    </a:prstGeom>
                  </pic:spPr>
                </pic:pic>
              </a:graphicData>
            </a:graphic>
          </wp:inline>
        </w:drawing>
      </w:r>
    </w:p>
    <w:p>
      <w:pPr>
        <w:jc w:val="center"/>
        <w:spacing w:after="120" w:line="360" w:lineRule="auto"/>
      </w:pPr>
      <w:r>
        <w:rPr>
          <w:b/>
          <w:i/>
        </w:rPr>
        <w:t xml:space="preserve">Figure 2: Three-layer digital twin architecture for intelligent manufacturing. The physical layer (blue, bottom) contains hardware and sensors; the DT engine (green, middle) processes data and runs models; the virtual model (red, top) provides visualization and simulation. Feedback loops enable bidirectional optimization.</w:t>
      </w:r>
    </w:p>
    <w:p>
      <w:pPr>
        <w:jc w:val="both"/>
        <w:spacing w:after="120" w:line="360" w:lineRule="auto"/>
      </w:pPr>
      <w:r>
        <w:rPr/>
        <w:t xml:space="preserve">Applications of DT technology in machine tool processing lines demonstrate significant practical benefits. Physical sensor data, including vibration signatures, thermal profiles, cutting forces, and acoustic emissions, drives virtual simulation to create digital mirrors that monitor dynamic characteristics in real time [23]. These digital mirrors enable condition-based maintenance scheduling, reducing unplanned downtime by up to 45% and maintenance costs by 20-35%. The integration of DTs with Automated Guided Vehicles (AGVs), Radio Frequency Identification (RFID) technology, and intelligent warehousing systems creates comprehensive cyber-physical production systems that optimize material flow, minimize work-in-progress inventory, and reduce energy consumption through intelligent scheduling [24].</w:t>
      </w:r>
    </w:p>
    <w:p>
      <w:pPr>
        <w:jc w:val="both"/>
        <w:spacing w:after="120" w:line="360" w:lineRule="auto"/>
      </w:pPr>
      <w:r>
        <w:rPr/>
        <w:t xml:space="preserve">The maturation of edge computing and 5G communication technologies has significantly enhanced the real-time capabilities of manufacturing digital twins. Edge computing nodes deployed at machine level process sensor data locally with latencies below 10 milliseconds, enabling closed-loop control applications that were previously impossible with cloud-based architectures. The combination of high-fidelity physics-based models with data-driven surrogate models creates hybrid digital twins that balance computational accuracy with real-time responsiveness. These hybrid approaches achieve prediction accuracies within 2-5% of full physics simulations while running 100-1000 times faster, enabling their deployment in time-critical manufacturing control applications where decisions must be made within milliseconds.</w:t>
      </w:r>
    </w:p>
    <w:p>
      <w:pPr>
        <w:jc w:val="center"/>
        <w:spacing w:after="120" w:line="360" w:lineRule="auto"/>
      </w:pPr>
      <w:r>
        <w:rPr>
          <w:b/>
        </w:rPr>
        <w:t xml:space="preserve">Table 2: Digital Twin Applications in Manufacturing - Performance Metrics and Maturity Assessment</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tcW w:w="1800" w:type="dxa"/>
            <w:shd w:val="clear" w:color="auto" w:fill="2E86C1"/>
          </w:tcPr>
          <w:p>
            <w:pPr>
              <w:jc w:val="center"/>
            </w:pPr>
            <w:r>
              <w:rPr>
                <w:b/>
                <w:color w:val="FFFFFF"/>
              </w:rPr>
              <w:t>DT Application</w:t>
            </w:r>
          </w:p>
        </w:tc>
        <w:tc>
          <w:tcPr>
            <w:tcW w:w="1800" w:type="dxa"/>
            <w:shd w:val="clear" w:color="auto" w:fill="2E86C1"/>
          </w:tcPr>
          <w:p>
            <w:pPr>
              <w:jc w:val="center"/>
            </w:pPr>
            <w:r>
              <w:rPr>
                <w:b/>
                <w:color w:val="FFFFFF"/>
              </w:rPr>
              <w:t>Efficiency Gain (%)</w:t>
            </w:r>
          </w:p>
        </w:tc>
        <w:tc>
          <w:tcPr>
            <w:tcW w:w="1800" w:type="dxa"/>
            <w:shd w:val="clear" w:color="auto" w:fill="2E86C1"/>
          </w:tcPr>
          <w:p>
            <w:pPr>
              <w:jc w:val="center"/>
            </w:pPr>
            <w:r>
              <w:rPr>
                <w:b/>
                <w:color w:val="FFFFFF"/>
              </w:rPr>
              <w:t>Cost Reduction (%)</w:t>
            </w:r>
          </w:p>
        </w:tc>
        <w:tc>
          <w:tcPr>
            <w:tcW w:w="1800" w:type="dxa"/>
            <w:shd w:val="clear" w:color="auto" w:fill="2E86C1"/>
          </w:tcPr>
          <w:p>
            <w:pPr>
              <w:jc w:val="center"/>
            </w:pPr>
            <w:r>
              <w:rPr>
                <w:b/>
                <w:color w:val="FFFFFF"/>
              </w:rPr>
              <w:t>Implementation Complexity</w:t>
            </w:r>
          </w:p>
        </w:tc>
        <w:tc>
          <w:tcPr>
            <w:tcW w:w="1800" w:type="dxa"/>
            <w:shd w:val="clear" w:color="auto" w:fill="2E86C1"/>
          </w:tcPr>
          <w:p>
            <w:pPr>
              <w:jc w:val="center"/>
            </w:pPr>
            <w:r>
              <w:rPr>
                <w:b/>
                <w:color w:val="FFFFFF"/>
              </w:rPr>
              <w:t>Maturity Level</w:t>
            </w:r>
          </w:p>
        </w:tc>
      </w:tr>
      <w:tr>
        <w:tc>
          <w:tcPr>
            <w:tcW w:w="1800" w:type="dxa"/>
            <w:shd w:val="clear" w:color="auto" w:fill="F2F3F4"/>
          </w:tcPr>
          <w:p>
            <w:pPr>
              <w:jc w:val="center"/>
            </w:pPr>
            <w:r>
              <w:t>Predictive Maintenance</w:t>
            </w:r>
          </w:p>
        </w:tc>
        <w:tc>
          <w:tcPr>
            <w:tcW w:w="1800" w:type="dxa"/>
            <w:shd w:val="clear" w:color="auto" w:fill="F2F3F4"/>
          </w:tcPr>
          <w:p>
            <w:pPr>
              <w:jc w:val="center"/>
            </w:pPr>
            <w:r>
              <w:t>20-45</w:t>
            </w:r>
          </w:p>
        </w:tc>
        <w:tc>
          <w:tcPr>
            <w:tcW w:w="1800" w:type="dxa"/>
            <w:shd w:val="clear" w:color="auto" w:fill="F2F3F4"/>
          </w:tcPr>
          <w:p>
            <w:pPr>
              <w:jc w:val="center"/>
            </w:pPr>
            <w:r>
              <w:t>20-35</w:t>
            </w:r>
          </w:p>
        </w:tc>
        <w:tc>
          <w:tcPr>
            <w:tcW w:w="1800" w:type="dxa"/>
            <w:shd w:val="clear" w:color="auto" w:fill="F2F3F4"/>
          </w:tcPr>
          <w:p>
            <w:pPr>
              <w:jc w:val="center"/>
            </w:pPr>
            <w:r>
              <w:t>Medium</w:t>
            </w:r>
          </w:p>
        </w:tc>
        <w:tc>
          <w:tcPr>
            <w:tcW w:w="1800" w:type="dxa"/>
            <w:shd w:val="clear" w:color="auto" w:fill="F2F3F4"/>
          </w:tcPr>
          <w:p>
            <w:pPr>
              <w:jc w:val="center"/>
            </w:pPr>
            <w:r>
              <w:t>TRL 7-8</w:t>
            </w:r>
          </w:p>
        </w:tc>
      </w:tr>
      <w:tr>
        <w:tc>
          <w:tcPr>
            <w:tcW w:w="1800" w:type="dxa"/>
            <w:shd w:val="clear" w:color="auto" w:fill="FFFFFF"/>
          </w:tcPr>
          <w:p>
            <w:pPr>
              <w:jc w:val="center"/>
            </w:pPr>
            <w:r>
              <w:t>Process Optimization</w:t>
            </w:r>
          </w:p>
        </w:tc>
        <w:tc>
          <w:tcPr>
            <w:tcW w:w="1800" w:type="dxa"/>
            <w:shd w:val="clear" w:color="auto" w:fill="FFFFFF"/>
          </w:tcPr>
          <w:p>
            <w:pPr>
              <w:jc w:val="center"/>
            </w:pPr>
            <w:r>
              <w:t>10-25</w:t>
            </w:r>
          </w:p>
        </w:tc>
        <w:tc>
          <w:tcPr>
            <w:tcW w:w="1800" w:type="dxa"/>
            <w:shd w:val="clear" w:color="auto" w:fill="FFFFFF"/>
          </w:tcPr>
          <w:p>
            <w:pPr>
              <w:jc w:val="center"/>
            </w:pPr>
            <w:r>
              <w:t>15-30</w:t>
            </w:r>
          </w:p>
        </w:tc>
        <w:tc>
          <w:tcPr>
            <w:tcW w:w="1800" w:type="dxa"/>
            <w:shd w:val="clear" w:color="auto" w:fill="FFFFFF"/>
          </w:tcPr>
          <w:p>
            <w:pPr>
              <w:jc w:val="center"/>
            </w:pPr>
            <w:r>
              <w:t>High</w:t>
            </w:r>
          </w:p>
        </w:tc>
        <w:tc>
          <w:tcPr>
            <w:tcW w:w="1800" w:type="dxa"/>
            <w:shd w:val="clear" w:color="auto" w:fill="FFFFFF"/>
          </w:tcPr>
          <w:p>
            <w:pPr>
              <w:jc w:val="center"/>
            </w:pPr>
            <w:r>
              <w:t>TRL 6-7</w:t>
            </w:r>
          </w:p>
        </w:tc>
      </w:tr>
      <w:tr>
        <w:tc>
          <w:tcPr>
            <w:tcW w:w="1800" w:type="dxa"/>
            <w:shd w:val="clear" w:color="auto" w:fill="F2F3F4"/>
          </w:tcPr>
          <w:p>
            <w:pPr>
              <w:jc w:val="center"/>
            </w:pPr>
            <w:r>
              <w:t>Quality Monitoring</w:t>
            </w:r>
          </w:p>
        </w:tc>
        <w:tc>
          <w:tcPr>
            <w:tcW w:w="1800" w:type="dxa"/>
            <w:shd w:val="clear" w:color="auto" w:fill="F2F3F4"/>
          </w:tcPr>
          <w:p>
            <w:pPr>
              <w:jc w:val="center"/>
            </w:pPr>
            <w:r>
              <w:t>15-35</w:t>
            </w:r>
          </w:p>
        </w:tc>
        <w:tc>
          <w:tcPr>
            <w:tcW w:w="1800" w:type="dxa"/>
            <w:shd w:val="clear" w:color="auto" w:fill="F2F3F4"/>
          </w:tcPr>
          <w:p>
            <w:pPr>
              <w:jc w:val="center"/>
            </w:pPr>
            <w:r>
              <w:t>10-25</w:t>
            </w:r>
          </w:p>
        </w:tc>
        <w:tc>
          <w:tcPr>
            <w:tcW w:w="1800" w:type="dxa"/>
            <w:shd w:val="clear" w:color="auto" w:fill="F2F3F4"/>
          </w:tcPr>
          <w:p>
            <w:pPr>
              <w:jc w:val="center"/>
            </w:pPr>
            <w:r>
              <w:t>Medium</w:t>
            </w:r>
          </w:p>
        </w:tc>
        <w:tc>
          <w:tcPr>
            <w:tcW w:w="1800" w:type="dxa"/>
            <w:shd w:val="clear" w:color="auto" w:fill="F2F3F4"/>
          </w:tcPr>
          <w:p>
            <w:pPr>
              <w:jc w:val="center"/>
            </w:pPr>
            <w:r>
              <w:t>TRL 7-8</w:t>
            </w:r>
          </w:p>
        </w:tc>
      </w:tr>
      <w:tr>
        <w:tc>
          <w:tcPr>
            <w:tcW w:w="1800" w:type="dxa"/>
            <w:shd w:val="clear" w:color="auto" w:fill="FFFFFF"/>
          </w:tcPr>
          <w:p>
            <w:pPr>
              <w:jc w:val="center"/>
            </w:pPr>
            <w:r>
              <w:t>Energy Management</w:t>
            </w:r>
          </w:p>
        </w:tc>
        <w:tc>
          <w:tcPr>
            <w:tcW w:w="1800" w:type="dxa"/>
            <w:shd w:val="clear" w:color="auto" w:fill="FFFFFF"/>
          </w:tcPr>
          <w:p>
            <w:pPr>
              <w:jc w:val="center"/>
            </w:pPr>
            <w:r>
              <w:t>8-20</w:t>
            </w:r>
          </w:p>
        </w:tc>
        <w:tc>
          <w:tcPr>
            <w:tcW w:w="1800" w:type="dxa"/>
            <w:shd w:val="clear" w:color="auto" w:fill="FFFFFF"/>
          </w:tcPr>
          <w:p>
            <w:pPr>
              <w:jc w:val="center"/>
            </w:pPr>
            <w:r>
              <w:t>12-22</w:t>
            </w:r>
          </w:p>
        </w:tc>
        <w:tc>
          <w:tcPr>
            <w:tcW w:w="1800" w:type="dxa"/>
            <w:shd w:val="clear" w:color="auto" w:fill="FFFFFF"/>
          </w:tcPr>
          <w:p>
            <w:pPr>
              <w:jc w:val="center"/>
            </w:pPr>
            <w:r>
              <w:t>Low-Medium</w:t>
            </w:r>
          </w:p>
        </w:tc>
        <w:tc>
          <w:tcPr>
            <w:tcW w:w="1800" w:type="dxa"/>
            <w:shd w:val="clear" w:color="auto" w:fill="FFFFFF"/>
          </w:tcPr>
          <w:p>
            <w:pPr>
              <w:jc w:val="center"/>
            </w:pPr>
            <w:r>
              <w:t>TRL 6-7</w:t>
            </w:r>
          </w:p>
        </w:tc>
      </w:tr>
      <w:tr>
        <w:tc>
          <w:tcPr>
            <w:tcW w:w="1800" w:type="dxa"/>
            <w:shd w:val="clear" w:color="auto" w:fill="F2F3F4"/>
          </w:tcPr>
          <w:p>
            <w:pPr>
              <w:jc w:val="center"/>
            </w:pPr>
            <w:r>
              <w:t>Supply Chain Sync</w:t>
            </w:r>
          </w:p>
        </w:tc>
        <w:tc>
          <w:tcPr>
            <w:tcW w:w="1800" w:type="dxa"/>
            <w:shd w:val="clear" w:color="auto" w:fill="F2F3F4"/>
          </w:tcPr>
          <w:p>
            <w:pPr>
              <w:jc w:val="center"/>
            </w:pPr>
            <w:r>
              <w:t>5-15</w:t>
            </w:r>
          </w:p>
        </w:tc>
        <w:tc>
          <w:tcPr>
            <w:tcW w:w="1800" w:type="dxa"/>
            <w:shd w:val="clear" w:color="auto" w:fill="F2F3F4"/>
          </w:tcPr>
          <w:p>
            <w:pPr>
              <w:jc w:val="center"/>
            </w:pPr>
            <w:r>
              <w:t>8-18</w:t>
            </w:r>
          </w:p>
        </w:tc>
        <w:tc>
          <w:tcPr>
            <w:tcW w:w="1800" w:type="dxa"/>
            <w:shd w:val="clear" w:color="auto" w:fill="F2F3F4"/>
          </w:tcPr>
          <w:p>
            <w:pPr>
              <w:jc w:val="center"/>
            </w:pPr>
            <w:r>
              <w:t>High</w:t>
            </w:r>
          </w:p>
        </w:tc>
        <w:tc>
          <w:tcPr>
            <w:tcW w:w="1800" w:type="dxa"/>
            <w:shd w:val="clear" w:color="auto" w:fill="F2F3F4"/>
          </w:tcPr>
          <w:p>
            <w:pPr>
              <w:jc w:val="center"/>
            </w:pPr>
            <w:r>
              <w:t>TRL 5-6</w:t>
            </w:r>
          </w:p>
        </w:tc>
      </w:tr>
      <w:tr>
        <w:tc>
          <w:tcPr>
            <w:tcW w:w="1800" w:type="dxa"/>
            <w:shd w:val="clear" w:color="auto" w:fill="FFFFFF"/>
          </w:tcPr>
          <w:p>
            <w:pPr>
              <w:jc w:val="center"/>
            </w:pPr>
            <w:r>
              <w:t>Layout Optimization</w:t>
            </w:r>
          </w:p>
        </w:tc>
        <w:tc>
          <w:tcPr>
            <w:tcW w:w="1800" w:type="dxa"/>
            <w:shd w:val="clear" w:color="auto" w:fill="FFFFFF"/>
          </w:tcPr>
          <w:p>
            <w:pPr>
              <w:jc w:val="center"/>
            </w:pPr>
            <w:r>
              <w:t>10-20</w:t>
            </w:r>
          </w:p>
        </w:tc>
        <w:tc>
          <w:tcPr>
            <w:tcW w:w="1800" w:type="dxa"/>
            <w:shd w:val="clear" w:color="auto" w:fill="FFFFFF"/>
          </w:tcPr>
          <w:p>
            <w:pPr>
              <w:jc w:val="center"/>
            </w:pPr>
            <w:r>
              <w:t>5-15</w:t>
            </w:r>
          </w:p>
        </w:tc>
        <w:tc>
          <w:tcPr>
            <w:tcW w:w="1800" w:type="dxa"/>
            <w:shd w:val="clear" w:color="auto" w:fill="FFFFFF"/>
          </w:tcPr>
          <w:p>
            <w:pPr>
              <w:jc w:val="center"/>
            </w:pPr>
            <w:r>
              <w:t>Medium</w:t>
            </w:r>
          </w:p>
        </w:tc>
        <w:tc>
          <w:tcPr>
            <w:tcW w:w="1800" w:type="dxa"/>
            <w:shd w:val="clear" w:color="auto" w:fill="FFFFFF"/>
          </w:tcPr>
          <w:p>
            <w:pPr>
              <w:jc w:val="center"/>
            </w:pPr>
            <w:r>
              <w:t>TRL 6-7</w:t>
            </w:r>
          </w:p>
        </w:tc>
      </w:tr>
    </w:tbl>
    <w:p>
      <w:pPr>
        <w:jc w:val="both"/>
        <w:spacing w:after="120" w:line="360" w:lineRule="auto"/>
      </w:pPr>
      <w:r>
        <w:rPr/>
        <w:t xml:space="preserve"/>
      </w:r>
    </w:p>
    <w:p>
      <w:pPr>
        <w:pStyle w:val="Heading2"/>
      </w:pPr>
      <w:r>
        <w:rPr>
          <w:b/>
        </w:rPr>
        <w:t>2.2 AI-Driven Process Control and Optimization</w:t>
      </w:r>
    </w:p>
    <w:p>
      <w:pPr>
        <w:jc w:val="both"/>
        <w:spacing w:after="120" w:line="360" w:lineRule="auto"/>
      </w:pPr>
      <w:r>
        <w:rPr/>
        <w:t xml:space="preserve">Data-driven and artificial intelligence-based monitoring and control platforms are revolutionizing discrete manufacturing processes by enabling unprecedented levels of precision, adaptability, and consistency. Smart offline programming systems leverage machine learning algorithms to generate optimized tool paths, cutting parameters, and process sequences that account for material variability, tool wear, and thermal distortion [25]. These systems achieve cycle time reductions of 15-30% while improving surface finish quality by reducing dimensional deviation to within 5 micrometers for precision machining operations.</w:t>
      </w:r>
    </w:p>
    <w:p>
      <w:pPr>
        <w:jc w:val="both"/>
        <w:spacing w:after="120" w:line="360" w:lineRule="auto"/>
      </w:pPr>
      <w:r>
        <w:rPr/>
        <w:t xml:space="preserve">Robust and flexible control systems based on AI/ML frameworks learn from historical process data to compensate for deviations caused by tool manipulation inaccuracies, fixturing variations, and heat distortions in real time. Deep reinforcement learning algorithms, trained on millions of simulated manufacturing scenarios, develop control policies that adapt to changing conditions without explicit reprogramming [26]. These adaptive controllers achieve high consistency in product quality, with defect rates reduced by 60-80% compared to conventional programmed control approaches, while simultaneously reducing time-consuming manual calibration and setup tasks by up to 70% [27].</w:t>
      </w:r>
    </w:p>
    <w:p>
      <w:pPr>
        <w:jc w:val="both"/>
        <w:spacing w:after="120" w:line="360" w:lineRule="auto"/>
      </w:pPr>
      <w:r>
        <w:rPr/>
        <w:t xml:space="preserve">The application of fuzzy neural networks for performance prediction and process design represents an intermediate approach between purely data-driven and physics-based methods. Fuzzy logic handles the inherent uncertainty and imprecision in manufacturing processes, while neural network architectures capture complex nonlinear relationships between process parameters and quality outcomes [28]. Hybrid fuzzy-neural systems have demonstrated prediction accuracies exceeding 95% for surface roughness, tool life, and dimensional accuracy across diverse manufacturing operations, enabling proactive process adjustment rather than reactive quality inspection. These AI/ML technologies collectively support agile, quickly reconfigurable manufacturing units with short ramp-up times, essential for the high-mix, low-volume production paradigms increasingly demanded by sustainable manufacturing approaches [29].</w:t>
      </w:r>
    </w:p>
    <w:p>
      <w:pPr>
        <w:jc w:val="both"/>
        <w:spacing w:after="120" w:line="360" w:lineRule="auto"/>
      </w:pPr>
      <w:r>
        <w:rPr/>
        <w:t xml:space="preserve">The integration of digital twin technology with AI-driven process control creates a powerful synergy where the digital twin provides the simulation environment for training and validating AI control algorithms, while the AI system continuously updates and refines the digital twin model based on real-world operational data. This bidirectional relationship accelerates both model development and control system performance improvement, creating a virtuous cycle of continuous optimization. Transfer learning techniques enable AI control systems trained on one machine or process to be rapidly adapted to similar equipment with minimal additional data collection, reducing deployment time from months to days and enabling economical AI adoption even for small and medium enterprises with limited data resources. The convergence of physics-informed neural networks with traditional control theory creates hybrid controllers that guarantee stability while exploiting the adaptive capabilities of machine learning to optimize performance beyond what purely model-based approaches can achieve.</w:t>
      </w:r>
    </w:p>
    <w:p>
      <w:pPr>
        <w:pStyle w:val="Heading2"/>
      </w:pPr>
      <w:r>
        <w:rPr>
          <w:b/>
        </w:rPr>
        <w:t>2.3 Human-Centric and Agentic Manufacturing Systems</w:t>
      </w:r>
    </w:p>
    <w:p>
      <w:pPr>
        <w:jc w:val="both"/>
        <w:spacing w:after="120" w:line="360" w:lineRule="auto"/>
      </w:pPr>
      <w:r>
        <w:rPr/>
        <w:t xml:space="preserve">The evolution from Industry 4.0 to Industry 5.0 represents a fundamental philosophical shift, moving from technology-centric automation toward human-centric approaches that empower factory workers through intelligent tools rather than replacing them. Industry 5.0 emphasizes three core values: human-centricity, sustainability, and resilience, recognizing that the most effective manufacturing systems leverage the unique strengths of both human creativity and machine precision [30]. This paradigm positions workers as decision-makers and problem-solvers, supported by AI assistants that handle routine tasks and provide real-time information for complex decisions.</w:t>
      </w:r>
    </w:p>
    <w:p>
      <w:pPr>
        <w:jc w:val="both"/>
        <w:spacing w:after="120" w:line="360" w:lineRule="auto"/>
      </w:pPr>
      <w:r>
        <w:rPr/>
        <w:t xml:space="preserve">Large language model (LLM)-powered agentic frameworks represent a transformative development in human-centric manufacturing. These systems generate and adapt manufacturing programs directly on the shop floor, bridging the gap between high-level user intentions expressed in natural language and precise machine operations encoded in G-code, robotic programs, or PLC logic [31]. By processing contextual information including part geometry, material properties, machine capabilities, and quality requirements, agentic systems produce manufacturing instructions that would traditionally require specialized programming expertise. This democratization of manufacturing programming enables rapid reconfiguration and reduces the skills gap that constrains many manufacturing organizations.</w:t>
      </w:r>
    </w:p>
    <w:p>
      <w:pPr>
        <w:jc w:val="both"/>
        <w:spacing w:after="120" w:line="360" w:lineRule="auto"/>
      </w:pPr>
      <w:r>
        <w:rPr/>
        <w:t xml:space="preserve">Human-machine collaboration in remanufacturing workflows illustrates the practical application of agentic systems. The workflow progresses from scanning defective regions using structured light or laser scanning, comparing the damaged geometry to original CAD models to identify material deficit zones, generating tool paths for additive material deposition, simulating the deposition process to verify coverage and thermal management, executing the deposition using directed energy deposition or wire arc processes, and finally machining the deposited material to restore original dimensions and surface finish [32]. Throughout this workflow, the human operator provides oversight, makes critical decisions, and intervenes when unexpected conditions arise, while the AI system handles computation-intensive tasks. Augmented reality (AR) and virtual reality (VR) applications further simplify strategic decision-making, allowing operators to visualize complex manufacturing scenarios, evaluate alternatives, and monitor operations remotely [33].</w:t>
      </w:r>
    </w:p>
    <w:p>
      <w:pPr>
        <w:jc w:val="both"/>
        <w:spacing w:after="120" w:line="360" w:lineRule="auto"/>
      </w:pPr>
      <w:r>
        <w:rPr/>
        <w:t xml:space="preserve">The implementation of agentic manufacturing systems introduces new considerations regarding safety, reliability, and trust. Manufacturing environments demand deterministic behavior for safety-critical operations, yet the probabilistic nature of large language models introduces uncertainty that must be carefully managed. Hierarchical control architectures address this challenge by assigning LLM-based agents to high-level planning and optimization tasks while reserving deterministic controllers for safety-critical real-time operations. Human-in-the-loop validation checkpoints ensure that generated manufacturing programs are verified before execution, particularly for operations involving expensive materials, complex geometries, or safety-sensitive processes. The development of manufacturing-specific guardrails, including geometric feasibility checking, collision detection, and process parameter validation, provides additional layers of safety assurance that build operator trust and enable progressive autonomy as system reliability is demonstrated over time.</w:t>
      </w:r>
    </w:p>
    <w:p>
      <w:r>
        <w:br w:type="page"/>
      </w:r>
    </w:p>
    <w:p>
      <w:pPr>
        <w:pStyle w:val="Heading1"/>
      </w:pPr>
      <w:r>
        <w:rPr>
          <w:b/>
        </w:rPr>
        <w:t>Section 3: Circular Systems and Regenerative Design</w:t>
      </w:r>
    </w:p>
    <w:p>
      <w:pPr>
        <w:jc w:val="both"/>
        <w:spacing w:after="120" w:line="360" w:lineRule="auto"/>
      </w:pPr>
      <w:r>
        <w:rPr/>
        <w:t xml:space="preserve">The linear take-make-dispose model of manufacturing has reached its ecological limits, driving urgent demand for circular approaches that maintain materials and products in productive use for as long as possible. Circular economy principles, when applied to manufacturing systems, create regenerative loops that reduce virgin resource consumption, minimize waste generation, and create economic value from materials previously considered waste streams [34]. This section presents a systems perspective on circular manufacturing, examining frameworks for implementation, design strategies for multiple life cycles, and the enabling conditions required for circular transformation at scale.</w:t>
      </w:r>
    </w:p>
    <w:p>
      <w:pPr>
        <w:jc w:val="both"/>
        <w:spacing w:after="120" w:line="360" w:lineRule="auto"/>
      </w:pPr>
      <w:r>
        <w:rPr/>
        <w:t xml:space="preserve">The urgency of transitioning to circular manufacturing is underscored by accelerating resource constraints and environmental pressures. Global material extraction has tripled since 1970 and is projected to double again by 2060 under current trends, while only approximately 8.6% of the global economy operates in circular mode. Manufacturing accounts for approximately 21% of global greenhouse gas emissions and consumes approximately 54% of global energy supply, making it a critical sector for circular economy intervention. The economic opportunity is equally compelling; circular economy strategies in manufacturing could generate over 700 billion dollars annually in material cost savings within European Union economies alone, while creating new employment opportunities in repair, remanufacturing, and recycling activities. However, realizing these benefits requires overcoming deeply entrenched linear assumptions in product design, business models, infrastructure, and consumer behavior that have accumulated over decades of industrial development. The following subsections examine the frameworks, strategies, and enabling conditions needed to overcome these barriers and accelerate circular transformation in manufacturing systems.</w:t>
      </w:r>
    </w:p>
    <w:p>
      <w:pPr>
        <w:pStyle w:val="Heading2"/>
      </w:pPr>
      <w:r>
        <w:rPr>
          <w:b/>
        </w:rPr>
        <w:t>3.1 Circular Manufacturing Systems Framework</w:t>
      </w:r>
    </w:p>
    <w:p>
      <w:pPr>
        <w:jc w:val="both"/>
        <w:spacing w:after="120" w:line="360" w:lineRule="auto"/>
      </w:pPr>
      <w:r>
        <w:rPr/>
        <w:t xml:space="preserve">A comprehensive system-level perspective on circular economy implementations in manufacturing requires frameworks that integrate insights across multiple organizational levels. The multi-level Circular System (CS) framework integrates circular production, manufacturing, and business-model literature across micro (product and process), meso (factory and supply chain), and macro (industry and policy) levels [35]. This integration is essential because circularity cannot be achieved through isolated interventions at any single level; rather, it requires coordinated action across all system dimensions simultaneously.</w:t>
      </w:r>
    </w:p>
    <w:p>
      <w:pPr>
        <w:jc w:val="both"/>
        <w:spacing w:after="120" w:line="360" w:lineRule="auto"/>
      </w:pPr>
      <w:r>
        <w:rPr/>
        <w:t xml:space="preserve">At the micro level, circular strategies focus on product design for longevity, repairability, and material recovery. Process-level circularity involves closed-loop manufacturing systems that recapture and reuse process materials, cutting fluids, and energy streams. The meso level encompasses factory-wide material flow optimization, industrial symbiosis networks where waste streams from one process serve as inputs for another, and supply chain configurations that facilitate reverse logistics. At the macro level, policy frameworks, market mechanisms, and infrastructure investments create the conditions under which circular business models become economically viable [36]. Figure 3 illustrates this multi-level framework and the interactions between system levels.</w:t>
      </w:r>
    </w:p>
    <w:p>
      <w:pPr>
        <w:jc w:val="center"/>
      </w:pPr>
      <w:r>
        <w:drawing>
          <wp:inline distT="0" distB="0" distL="0" distR="0">
            <wp:extent cx="5400000" cy="3700000"/>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3"/>
                    <a:stretch>
                      <a:fillRect/>
                    </a:stretch>
                  </pic:blipFill>
                  <pic:spPr>
                    <a:xfrm>
                      <a:off x="0" y="0"/>
                      <a:ext cx="5400000" cy="3700000"/>
                    </a:xfrm>
                    <a:prstGeom prst="rect">
                      <a:avLst/>
                    </a:prstGeom>
                  </pic:spPr>
                </pic:pic>
              </a:graphicData>
            </a:graphic>
          </wp:inline>
        </w:drawing>
      </w:r>
    </w:p>
    <w:p>
      <w:pPr>
        <w:jc w:val="center"/>
        <w:spacing w:after="120" w:line="360" w:lineRule="auto"/>
      </w:pPr>
      <w:r>
        <w:rPr>
          <w:b/>
          <w:i/>
        </w:rPr>
        <w:t xml:space="preserve">Figure 3: Multi-level Circular System (CS) framework showing micro (product/process, red inner ring), meso (factory/supply chain, green middle ring), and macro (industry/policy, blue outer ring) levels. Yellow boxes represent enablers (technology, finance, policy, organization) while red boxes represent barriers. The framework illustrates how circular strategies must be coordinated across all levels.</w:t>
      </w:r>
    </w:p>
    <w:p>
      <w:pPr>
        <w:jc w:val="both"/>
        <w:spacing w:after="120" w:line="360" w:lineRule="auto"/>
      </w:pPr>
      <w:r>
        <w:rPr/>
        <w:t xml:space="preserve">The framework identifies four primary categories of enabling factors: technological innovations that make circular processes technically feasible, organizational changes that align incentives and capabilities, financing mechanisms that overcome investment barriers, and policy instruments that level the playing field between linear and circular approaches [37]. Conversely, systemic lock-ins that prevent circularity include technological path dependencies, organizational inertia, unfavorable cost structures, and regulatory gaps. Application of this framework to high-technology case studies, such as satellite reusability in the aerospace industry, reveals that the most critical barriers often lie at the interfaces between system levels rather than within any single level [38].</w:t>
      </w:r>
    </w:p>
    <w:p>
      <w:pPr>
        <w:jc w:val="both"/>
        <w:spacing w:after="120" w:line="360" w:lineRule="auto"/>
      </w:pPr>
      <w:r>
        <w:rPr/>
        <w:t xml:space="preserve">The practical application of the circular systems framework requires organizations to simultaneously address multiple system levels through coordinated interventions. At the product level, designers must consider not only first-use functionality but also second-life applications, disassembly pathways, and material compatibility for recycling. At the factory level, production systems must accommodate both forward manufacturing of new products and reverse manufacturing operations including inspection, cleaning, repair, and reassembly of returned products. At the supply chain level, logistics networks must support both forward delivery and reverse collection, while information systems must track individual components throughout multiple use cycles. The framework provides a structured approach for identifying which interventions at which levels will generate the greatest systemic impact, enabling organizations to prioritize investments and sequence transformation activities effectively.</w:t>
      </w:r>
    </w:p>
    <w:p>
      <w:pPr>
        <w:pStyle w:val="Heading2"/>
      </w:pPr>
      <w:r>
        <w:rPr>
          <w:b/>
        </w:rPr>
        <w:t>3.2 Design for Multiple Life Cycles and Remanufacturing</w:t>
      </w:r>
    </w:p>
    <w:p>
      <w:pPr>
        <w:jc w:val="both"/>
        <w:spacing w:after="120" w:line="360" w:lineRule="auto"/>
      </w:pPr>
      <w:r>
        <w:rPr/>
        <w:t xml:space="preserve">Product design strategies that enable multiple life cycles through repair, refurbishment, and remanufacturing are fundamental to achieving circular manufacturing at scale. Design for disassembly principles require products to be assembled using reversible joints, standardized fasteners, and modular architectures that facilitate component separation without damage [39]. Modular product architectures enable selective replacement of worn or obsolete modules while retaining functional components, extending overall product lifetime by 2-5 times compared to monolithic designs.</w:t>
      </w:r>
    </w:p>
    <w:p>
      <w:pPr>
        <w:jc w:val="both"/>
        <w:spacing w:after="120" w:line="360" w:lineRule="auto"/>
      </w:pPr>
      <w:r>
        <w:rPr/>
        <w:t xml:space="preserve">Digital product passports provide the data infrastructure needed for circular economy decision-making throughout the product lifecycle. These passports record material composition, manufacturing history, maintenance records, and end-of-life processing instructions in standardized digital formats accessible to all stakeholders in the value chain [40]. When integrated with Internet of Things sensors, digital passports enable real-time condition monitoring that supports optimal timing of maintenance interventions and end-of-life decisions.</w:t>
      </w:r>
    </w:p>
    <w:p>
      <w:pPr>
        <w:jc w:val="both"/>
        <w:spacing w:after="120" w:line="360" w:lineRule="auto"/>
      </w:pPr>
      <w:r>
        <w:rPr/>
        <w:t xml:space="preserve">Remanufacturing workflows that combine scanning, additive manufacturing for material deposition, and subtractive processes for finishing represent the state of the art in component restoration. Advanced scanning technologies capture the three-dimensional geometry of worn components with micrometer precision, enabling automated comparison with original CAD models to quantify material loss. Directed energy deposition processes restore material in deficit zones, while CNC machining operations achieve final dimensional accuracy and surface finish specifications [41]. These integrated workflows restore worn components to original or even enhanced specifications, with remanufactured components demonstrating fatigue life comparable to newly manufactured parts when appropriate process parameters are employed. The incorporation of production aspects alongside supply chain and product design considerations ensures that circular manufacturing systems address all dimensions of sustainability simultaneously.</w:t>
      </w:r>
    </w:p>
    <w:p>
      <w:pPr>
        <w:jc w:val="both"/>
        <w:spacing w:after="120" w:line="360" w:lineRule="auto"/>
      </w:pPr>
      <w:r>
        <w:rPr/>
        <w:t xml:space="preserve">The economic case for remanufacturing is compelling across multiple industry sectors. Remanufactured components typically cost 40-65% of new equivalents while consuming 70-85% less raw material and 60-80% less energy, creating substantial economic and environmental savings simultaneously. The automotive aftermarket represents the largest remanufacturing sector by volume, with engine blocks, transmissions, alternators, and turbochargers routinely restored to original equipment manufacturer specifications. The aerospace industry remanufactures high-value turbine blades and structural components where the base material value alone justifies restoration investment. Emerging applications in electronics remanufacturing address the growing challenge of e-waste by restoring servers, networking equipment, and industrial controllers for second and third use cycles. The development of standardized quality certification for remanufactured products builds customer confidence and enables remanufactured goods to compete effectively with new products in markets where performance warranties and reliability assurance are essential purchasing criteria.</w:t>
      </w:r>
    </w:p>
    <w:p>
      <w:pPr>
        <w:jc w:val="center"/>
        <w:spacing w:after="120" w:line="360" w:lineRule="auto"/>
      </w:pPr>
      <w:r>
        <w:rPr>
          <w:b/>
        </w:rPr>
        <w:t xml:space="preserve">Table 3: Circular Economy Strategies - Resource Efficiency and Environmental Impact Assessment</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tcW w:w="1800" w:type="dxa"/>
            <w:shd w:val="clear" w:color="auto" w:fill="2E86C1"/>
          </w:tcPr>
          <w:p>
            <w:pPr>
              <w:jc w:val="center"/>
            </w:pPr>
            <w:r>
              <w:rPr>
                <w:b/>
                <w:color w:val="FFFFFF"/>
              </w:rPr>
              <w:t>Strategy</w:t>
            </w:r>
          </w:p>
        </w:tc>
        <w:tc>
          <w:tcPr>
            <w:tcW w:w="1800" w:type="dxa"/>
            <w:shd w:val="clear" w:color="auto" w:fill="2E86C1"/>
          </w:tcPr>
          <w:p>
            <w:pPr>
              <w:jc w:val="center"/>
            </w:pPr>
            <w:r>
              <w:rPr>
                <w:b/>
                <w:color w:val="FFFFFF"/>
              </w:rPr>
              <w:t>Resource Savings (%)</w:t>
            </w:r>
          </w:p>
        </w:tc>
        <w:tc>
          <w:tcPr>
            <w:tcW w:w="1800" w:type="dxa"/>
            <w:shd w:val="clear" w:color="auto" w:fill="2E86C1"/>
          </w:tcPr>
          <w:p>
            <w:pPr>
              <w:jc w:val="center"/>
            </w:pPr>
            <w:r>
              <w:rPr>
                <w:b/>
                <w:color w:val="FFFFFF"/>
              </w:rPr>
              <w:t>Cost vs. New (%)</w:t>
            </w:r>
          </w:p>
        </w:tc>
        <w:tc>
          <w:tcPr>
            <w:tcW w:w="1800" w:type="dxa"/>
            <w:shd w:val="clear" w:color="auto" w:fill="2E86C1"/>
          </w:tcPr>
          <w:p>
            <w:pPr>
              <w:jc w:val="center"/>
            </w:pPr>
            <w:r>
              <w:rPr>
                <w:b/>
                <w:color w:val="FFFFFF"/>
              </w:rPr>
              <w:t>Carbon Reduction (%)</w:t>
            </w:r>
          </w:p>
        </w:tc>
        <w:tc>
          <w:tcPr>
            <w:tcW w:w="1800" w:type="dxa"/>
            <w:shd w:val="clear" w:color="auto" w:fill="2E86C1"/>
          </w:tcPr>
          <w:p>
            <w:pPr>
              <w:jc w:val="center"/>
            </w:pPr>
            <w:r>
              <w:rPr>
                <w:b/>
                <w:color w:val="FFFFFF"/>
              </w:rPr>
              <w:t>Applicable Sectors</w:t>
            </w:r>
          </w:p>
        </w:tc>
      </w:tr>
      <w:tr>
        <w:tc>
          <w:tcPr>
            <w:tcW w:w="1800" w:type="dxa"/>
            <w:shd w:val="clear" w:color="auto" w:fill="F2F3F4"/>
          </w:tcPr>
          <w:p>
            <w:pPr>
              <w:jc w:val="center"/>
            </w:pPr>
            <w:r>
              <w:t>Remanufacturing</w:t>
            </w:r>
          </w:p>
        </w:tc>
        <w:tc>
          <w:tcPr>
            <w:tcW w:w="1800" w:type="dxa"/>
            <w:shd w:val="clear" w:color="auto" w:fill="F2F3F4"/>
          </w:tcPr>
          <w:p>
            <w:pPr>
              <w:jc w:val="center"/>
            </w:pPr>
            <w:r>
              <w:t>70-85</w:t>
            </w:r>
          </w:p>
        </w:tc>
        <w:tc>
          <w:tcPr>
            <w:tcW w:w="1800" w:type="dxa"/>
            <w:shd w:val="clear" w:color="auto" w:fill="F2F3F4"/>
          </w:tcPr>
          <w:p>
            <w:pPr>
              <w:jc w:val="center"/>
            </w:pPr>
            <w:r>
              <w:t>40-65</w:t>
            </w:r>
          </w:p>
        </w:tc>
        <w:tc>
          <w:tcPr>
            <w:tcW w:w="1800" w:type="dxa"/>
            <w:shd w:val="clear" w:color="auto" w:fill="F2F3F4"/>
          </w:tcPr>
          <w:p>
            <w:pPr>
              <w:jc w:val="center"/>
            </w:pPr>
            <w:r>
              <w:t>60-80</w:t>
            </w:r>
          </w:p>
        </w:tc>
        <w:tc>
          <w:tcPr>
            <w:tcW w:w="1800" w:type="dxa"/>
            <w:shd w:val="clear" w:color="auto" w:fill="F2F3F4"/>
          </w:tcPr>
          <w:p>
            <w:pPr>
              <w:jc w:val="center"/>
            </w:pPr>
            <w:r>
              <w:t>Automotive, Aerospace</w:t>
            </w:r>
          </w:p>
        </w:tc>
      </w:tr>
      <w:tr>
        <w:tc>
          <w:tcPr>
            <w:tcW w:w="1800" w:type="dxa"/>
            <w:shd w:val="clear" w:color="auto" w:fill="FFFFFF"/>
          </w:tcPr>
          <w:p>
            <w:pPr>
              <w:jc w:val="center"/>
            </w:pPr>
            <w:r>
              <w:t>Refurbishment</w:t>
            </w:r>
          </w:p>
        </w:tc>
        <w:tc>
          <w:tcPr>
            <w:tcW w:w="1800" w:type="dxa"/>
            <w:shd w:val="clear" w:color="auto" w:fill="FFFFFF"/>
          </w:tcPr>
          <w:p>
            <w:pPr>
              <w:jc w:val="center"/>
            </w:pPr>
            <w:r>
              <w:t>50-70</w:t>
            </w:r>
          </w:p>
        </w:tc>
        <w:tc>
          <w:tcPr>
            <w:tcW w:w="1800" w:type="dxa"/>
            <w:shd w:val="clear" w:color="auto" w:fill="FFFFFF"/>
          </w:tcPr>
          <w:p>
            <w:pPr>
              <w:jc w:val="center"/>
            </w:pPr>
            <w:r>
              <w:t>50-75</w:t>
            </w:r>
          </w:p>
        </w:tc>
        <w:tc>
          <w:tcPr>
            <w:tcW w:w="1800" w:type="dxa"/>
            <w:shd w:val="clear" w:color="auto" w:fill="FFFFFF"/>
          </w:tcPr>
          <w:p>
            <w:pPr>
              <w:jc w:val="center"/>
            </w:pPr>
            <w:r>
              <w:t>40-60</w:t>
            </w:r>
          </w:p>
        </w:tc>
        <w:tc>
          <w:tcPr>
            <w:tcW w:w="1800" w:type="dxa"/>
            <w:shd w:val="clear" w:color="auto" w:fill="FFFFFF"/>
          </w:tcPr>
          <w:p>
            <w:pPr>
              <w:jc w:val="center"/>
            </w:pPr>
            <w:r>
              <w:t>Electronics, Machinery</w:t>
            </w:r>
          </w:p>
        </w:tc>
      </w:tr>
      <w:tr>
        <w:tc>
          <w:tcPr>
            <w:tcW w:w="1800" w:type="dxa"/>
            <w:shd w:val="clear" w:color="auto" w:fill="F2F3F4"/>
          </w:tcPr>
          <w:p>
            <w:pPr>
              <w:jc w:val="center"/>
            </w:pPr>
            <w:r>
              <w:t>Component Reuse</w:t>
            </w:r>
          </w:p>
        </w:tc>
        <w:tc>
          <w:tcPr>
            <w:tcW w:w="1800" w:type="dxa"/>
            <w:shd w:val="clear" w:color="auto" w:fill="F2F3F4"/>
          </w:tcPr>
          <w:p>
            <w:pPr>
              <w:jc w:val="center"/>
            </w:pPr>
            <w:r>
              <w:t>80-95</w:t>
            </w:r>
          </w:p>
        </w:tc>
        <w:tc>
          <w:tcPr>
            <w:tcW w:w="1800" w:type="dxa"/>
            <w:shd w:val="clear" w:color="auto" w:fill="F2F3F4"/>
          </w:tcPr>
          <w:p>
            <w:pPr>
              <w:jc w:val="center"/>
            </w:pPr>
            <w:r>
              <w:t>20-40</w:t>
            </w:r>
          </w:p>
        </w:tc>
        <w:tc>
          <w:tcPr>
            <w:tcW w:w="1800" w:type="dxa"/>
            <w:shd w:val="clear" w:color="auto" w:fill="F2F3F4"/>
          </w:tcPr>
          <w:p>
            <w:pPr>
              <w:jc w:val="center"/>
            </w:pPr>
            <w:r>
              <w:t>70-90</w:t>
            </w:r>
          </w:p>
        </w:tc>
        <w:tc>
          <w:tcPr>
            <w:tcW w:w="1800" w:type="dxa"/>
            <w:shd w:val="clear" w:color="auto" w:fill="F2F3F4"/>
          </w:tcPr>
          <w:p>
            <w:pPr>
              <w:jc w:val="center"/>
            </w:pPr>
            <w:r>
              <w:t>Construction, Automotive</w:t>
            </w:r>
          </w:p>
        </w:tc>
      </w:tr>
      <w:tr>
        <w:tc>
          <w:tcPr>
            <w:tcW w:w="1800" w:type="dxa"/>
            <w:shd w:val="clear" w:color="auto" w:fill="FFFFFF"/>
          </w:tcPr>
          <w:p>
            <w:pPr>
              <w:jc w:val="center"/>
            </w:pPr>
            <w:r>
              <w:t>Material Recycling</w:t>
            </w:r>
          </w:p>
        </w:tc>
        <w:tc>
          <w:tcPr>
            <w:tcW w:w="1800" w:type="dxa"/>
            <w:shd w:val="clear" w:color="auto" w:fill="FFFFFF"/>
          </w:tcPr>
          <w:p>
            <w:pPr>
              <w:jc w:val="center"/>
            </w:pPr>
            <w:r>
              <w:t>40-60</w:t>
            </w:r>
          </w:p>
        </w:tc>
        <w:tc>
          <w:tcPr>
            <w:tcW w:w="1800" w:type="dxa"/>
            <w:shd w:val="clear" w:color="auto" w:fill="FFFFFF"/>
          </w:tcPr>
          <w:p>
            <w:pPr>
              <w:jc w:val="center"/>
            </w:pPr>
            <w:r>
              <w:t>60-80</w:t>
            </w:r>
          </w:p>
        </w:tc>
        <w:tc>
          <w:tcPr>
            <w:tcW w:w="1800" w:type="dxa"/>
            <w:shd w:val="clear" w:color="auto" w:fill="FFFFFF"/>
          </w:tcPr>
          <w:p>
            <w:pPr>
              <w:jc w:val="center"/>
            </w:pPr>
            <w:r>
              <w:t>30-50</w:t>
            </w:r>
          </w:p>
        </w:tc>
        <w:tc>
          <w:tcPr>
            <w:tcW w:w="1800" w:type="dxa"/>
            <w:shd w:val="clear" w:color="auto" w:fill="FFFFFF"/>
          </w:tcPr>
          <w:p>
            <w:pPr>
              <w:jc w:val="center"/>
            </w:pPr>
            <w:r>
              <w:t>Metals, Plastics</w:t>
            </w:r>
          </w:p>
        </w:tc>
      </w:tr>
      <w:tr>
        <w:tc>
          <w:tcPr>
            <w:tcW w:w="1800" w:type="dxa"/>
            <w:shd w:val="clear" w:color="auto" w:fill="F2F3F4"/>
          </w:tcPr>
          <w:p>
            <w:pPr>
              <w:jc w:val="center"/>
            </w:pPr>
            <w:r>
              <w:t>Repair/Maintenance</w:t>
            </w:r>
          </w:p>
        </w:tc>
        <w:tc>
          <w:tcPr>
            <w:tcW w:w="1800" w:type="dxa"/>
            <w:shd w:val="clear" w:color="auto" w:fill="F2F3F4"/>
          </w:tcPr>
          <w:p>
            <w:pPr>
              <w:jc w:val="center"/>
            </w:pPr>
            <w:r>
              <w:t>85-95</w:t>
            </w:r>
          </w:p>
        </w:tc>
        <w:tc>
          <w:tcPr>
            <w:tcW w:w="1800" w:type="dxa"/>
            <w:shd w:val="clear" w:color="auto" w:fill="F2F3F4"/>
          </w:tcPr>
          <w:p>
            <w:pPr>
              <w:jc w:val="center"/>
            </w:pPr>
            <w:r>
              <w:t>10-30</w:t>
            </w:r>
          </w:p>
        </w:tc>
        <w:tc>
          <w:tcPr>
            <w:tcW w:w="1800" w:type="dxa"/>
            <w:shd w:val="clear" w:color="auto" w:fill="F2F3F4"/>
          </w:tcPr>
          <w:p>
            <w:pPr>
              <w:jc w:val="center"/>
            </w:pPr>
            <w:r>
              <w:t>80-95</w:t>
            </w:r>
          </w:p>
        </w:tc>
        <w:tc>
          <w:tcPr>
            <w:tcW w:w="1800" w:type="dxa"/>
            <w:shd w:val="clear" w:color="auto" w:fill="F2F3F4"/>
          </w:tcPr>
          <w:p>
            <w:pPr>
              <w:jc w:val="center"/>
            </w:pPr>
            <w:r>
              <w:t>All sectors</w:t>
            </w:r>
          </w:p>
        </w:tc>
      </w:tr>
      <w:tr>
        <w:tc>
          <w:tcPr>
            <w:tcW w:w="1800" w:type="dxa"/>
            <w:shd w:val="clear" w:color="auto" w:fill="FFFFFF"/>
          </w:tcPr>
          <w:p>
            <w:pPr>
              <w:jc w:val="center"/>
            </w:pPr>
            <w:r>
              <w:t>Cascaded Use</w:t>
            </w:r>
          </w:p>
        </w:tc>
        <w:tc>
          <w:tcPr>
            <w:tcW w:w="1800" w:type="dxa"/>
            <w:shd w:val="clear" w:color="auto" w:fill="FFFFFF"/>
          </w:tcPr>
          <w:p>
            <w:pPr>
              <w:jc w:val="center"/>
            </w:pPr>
            <w:r>
              <w:t>60-80</w:t>
            </w:r>
          </w:p>
        </w:tc>
        <w:tc>
          <w:tcPr>
            <w:tcW w:w="1800" w:type="dxa"/>
            <w:shd w:val="clear" w:color="auto" w:fill="FFFFFF"/>
          </w:tcPr>
          <w:p>
            <w:pPr>
              <w:jc w:val="center"/>
            </w:pPr>
            <w:r>
              <w:t>30-50</w:t>
            </w:r>
          </w:p>
        </w:tc>
        <w:tc>
          <w:tcPr>
            <w:tcW w:w="1800" w:type="dxa"/>
            <w:shd w:val="clear" w:color="auto" w:fill="FFFFFF"/>
          </w:tcPr>
          <w:p>
            <w:pPr>
              <w:jc w:val="center"/>
            </w:pPr>
            <w:r>
              <w:t>50-70</w:t>
            </w:r>
          </w:p>
        </w:tc>
        <w:tc>
          <w:tcPr>
            <w:tcW w:w="1800" w:type="dxa"/>
            <w:shd w:val="clear" w:color="auto" w:fill="FFFFFF"/>
          </w:tcPr>
          <w:p>
            <w:pPr>
              <w:jc w:val="center"/>
            </w:pPr>
            <w:r>
              <w:t>Textiles, Packaging</w:t>
            </w:r>
          </w:p>
        </w:tc>
      </w:tr>
    </w:tbl>
    <w:p>
      <w:pPr>
        <w:jc w:val="both"/>
        <w:spacing w:after="120" w:line="360" w:lineRule="auto"/>
      </w:pPr>
      <w:r>
        <w:rPr/>
        <w:t xml:space="preserve"/>
      </w:r>
    </w:p>
    <w:p>
      <w:pPr>
        <w:pStyle w:val="Heading2"/>
      </w:pPr>
      <w:r>
        <w:rPr>
          <w:b/>
        </w:rPr>
        <w:t>3.3 Policy, Business Models, and Systemic Transformation</w:t>
      </w:r>
    </w:p>
    <w:p>
      <w:pPr>
        <w:jc w:val="both"/>
        <w:spacing w:after="120" w:line="360" w:lineRule="auto"/>
      </w:pPr>
      <w:r>
        <w:rPr/>
        <w:t xml:space="preserve">The transition from linear to circular material flows requires fundamental changes in business models, regulatory frameworks, and industrial capabilities that extend far beyond technical solutions alone. Financial incentives play a critical role, with extended producer responsibility (EPR) schemes, deposit-return systems, and tax differentiation between virgin and recycled materials creating economic conditions that favor circular approaches [42]. Regulatory frameworks, including the European Green Deal and emerging circular economy legislation worldwide, establish minimum recycled content requirements, design-for-recycling mandates, and restrictions on planned obsolescence that collectively drive industry transformation.</w:t>
      </w:r>
    </w:p>
    <w:p>
      <w:pPr>
        <w:jc w:val="both"/>
        <w:spacing w:after="120" w:line="360" w:lineRule="auto"/>
      </w:pPr>
      <w:r>
        <w:rPr/>
        <w:t xml:space="preserve">Business models based on servitization and product-as-a-service fundamentally restructure the manufacturer-customer relationship. Under these models, manufacturers retain ownership and responsibility for products throughout their life cycles, creating direct financial incentives for durability, repairability, and resource efficiency. Companies implementing product-as-a-service models report 20-40% higher lifetime revenue per product while simultaneously reducing material consumption by 30-50% through optimized maintenance and component reuse strategies [43]. Digital technologies, including blockchain for supply chain traceability, Internet of Things for real-time product monitoring, and big data analytics for socio-environmental impact assessment, provide the information infrastructure that makes circular business models operationally feasible.</w:t>
      </w:r>
    </w:p>
    <w:p>
      <w:pPr>
        <w:jc w:val="both"/>
        <w:spacing w:after="120" w:line="360" w:lineRule="auto"/>
      </w:pPr>
      <w:r>
        <w:rPr/>
        <w:t xml:space="preserve">Co-creation dynamics in circular economy ecosystems highlight the importance of collaborative relationships between manufacturers, service providers, recyclers, and consumers. Successful circular ecosystems exhibit high levels of information sharing, aligned incentive structures, and shared infrastructure investments that reduce transaction costs for all participants. The conditions for sustainable startup success in circular markets include access to reverse logistics networks, partnerships with established manufacturers for material supply, and digital platforms that connect circular service providers with potential customers. Policy interventions that support ecosystem development, rather than individual firm performance, generate the greatest systemic impact on circular transition rates.</w:t>
      </w:r>
    </w:p>
    <w:p>
      <w:pPr>
        <w:jc w:val="both"/>
        <w:spacing w:after="120" w:line="360" w:lineRule="auto"/>
      </w:pPr>
      <w:r>
        <w:rPr/>
        <w:t xml:space="preserve">The role of digital technologies in enabling circular business models extends beyond operational efficiency to fundamentally reshape value creation and capture mechanisms. Artificial intelligence and machine learning algorithms analyze product usage patterns to predict optimal maintenance timing, component replacement needs, and end-of-life decisions that maximize total lifecycle value. Predictive analytics based on fleet-wide data from connected products enable manufacturers to pre-position spare parts, schedule maintenance windows that minimize customer disruption, and identify opportunities for component harvesting before degradation reaches critical levels. The combination of IoT monitoring, AI analytics, and automated decision support creates what has been termed the digital circular economy, where information flows enable material loops that would be economically infeasible without digital infrastructure. Industry consortia and standardization bodies are increasingly recognizing the need for common data formats, communication protocols, and semantic vocabularies that enable circular economy data exchange across organizational boundaries, reducing integration costs and enabling ecosystem-wide optimization.</w:t>
      </w:r>
    </w:p>
    <w:p>
      <w:r>
        <w:br w:type="page"/>
      </w:r>
    </w:p>
    <w:p>
      <w:pPr>
        <w:pStyle w:val="Heading1"/>
      </w:pPr>
      <w:r>
        <w:rPr>
          <w:b/>
        </w:rPr>
        <w:t>Section 4: Integration and Implementation Pathways</w:t>
      </w:r>
    </w:p>
    <w:p>
      <w:pPr>
        <w:jc w:val="both"/>
        <w:spacing w:after="120" w:line="360" w:lineRule="auto"/>
      </w:pPr>
      <w:r>
        <w:rPr/>
        <w:t xml:space="preserve">The preceding sections have examined individual pillars of sustainable manufacturing: advanced materials, intelligent processes, and circular systems. However, the greatest potential for transformative impact lies in the integration of these elements into coherent manufacturing ecosystems that simultaneously address environmental, economic, and social sustainability objectives. This section synthesizes integration pathways, operational practices, and future research directions that collectively chart a course toward net-zero sustainable manufacturing at industrial scale.</w:t>
      </w:r>
    </w:p>
    <w:p>
      <w:pPr>
        <w:pStyle w:val="Heading2"/>
      </w:pPr>
      <w:r>
        <w:rPr>
          <w:b/>
        </w:rPr>
        <w:t>4.1 Net-Zero Manufacturing Ecosystems</w:t>
      </w:r>
    </w:p>
    <w:p>
      <w:pPr>
        <w:jc w:val="both"/>
        <w:spacing w:after="120" w:line="360" w:lineRule="auto"/>
      </w:pPr>
      <w:r>
        <w:rPr/>
        <w:t xml:space="preserve">The synthesis of advanced materials, intelligent processes, and circular strategies into integrated net-zero manufacturing ecosystems represents the culmination of sustainable manufacturing research and development. Industry 5.0 frameworks, integrating resilience, sustainability, and human-centricity, provide conceptual guidance for designing manufacturing systems that achieve net-zero emissions while maintaining economic competitiveness and social value creation [19]. The transition to net-zero manufacturing requires simultaneous action across energy systems, material flows, process efficiency, and waste elimination, creating complex interdependencies that demand systems-level thinking and integrated planning approaches.</w:t>
      </w:r>
    </w:p>
    <w:p>
      <w:pPr>
        <w:jc w:val="both"/>
        <w:spacing w:after="120" w:line="360" w:lineRule="auto"/>
      </w:pPr>
      <w:r>
        <w:rPr/>
        <w:t xml:space="preserve">Synergies between digital technologies and circular economy strategies create multiplicative sustainability benefits. Additive manufacturing enables near-zero-waste production by depositing material only where structurally required, eliminating the material removal inherent in subtractive processes. When combined with digital twin technology, additive manufacturing systems optimize process parameters in real time to minimize energy consumption while ensuring part quality [22]. Cyber-physical systems optimize resource flows at the factory level, balancing production schedules to align with renewable energy availability, minimize peak demand charges, and reduce overall carbon intensity. Blockchain technology ensures supply chain transparency, enabling verification of material provenance, recycled content claims, and carbon footprint declarations that build trust in circular value chains.</w:t>
      </w:r>
    </w:p>
    <w:p>
      <w:pPr>
        <w:jc w:val="both"/>
        <w:spacing w:after="120" w:line="360" w:lineRule="auto"/>
      </w:pPr>
      <w:r>
        <w:rPr/>
        <w:t xml:space="preserve">The concept of industrial symbiosis, where waste streams from one manufacturing process serve as feedstock for another, achieves its full potential when enabled by digital coordination platforms. These platforms match waste generators with potential consumers in real time, accounting for material composition, quantity, quality requirements, and logistical constraints. Geographic information systems identify optimal locations for industrial symbiosis hubs that minimize transportation distances while maximizing material exchange opportunities. Life cycle assessment methodologies, enhanced with real-time data from IoT sensors and digital twins, provide continuous environmental performance monitoring that enables dynamic optimization of circular strategies rather than relying on static assumptions about environmental impacts. The integration of social life cycle assessment with environmental and economic evaluations ensures that net-zero strategies create positive outcomes across all dimensions of sustainability simultaneously.</w:t>
      </w:r>
    </w:p>
    <w:p>
      <w:pPr>
        <w:jc w:val="both"/>
        <w:spacing w:after="120" w:line="360" w:lineRule="auto"/>
      </w:pPr>
      <w:r>
        <w:rPr/>
        <w:t xml:space="preserve">The integration of renewable energy systems with manufacturing operations requires careful synchronization of intermittent generation profiles with flexible production scheduling. Energy storage systems, including battery banks, hydrogen storage, and thermal energy storage, buffer temporal mismatches between generation and demand. Carbon accounting throughout product life cycles, enabled by digital twin and blockchain technologies, provides the transparency needed for credible net-zero claims and continuous improvement toward absolute emissions reduction targets. Figure 4 presents an integrated roadmap for achieving net-zero manufacturing through phased implementation of materials, digital, and circular strategies.</w:t>
      </w:r>
    </w:p>
    <w:p>
      <w:pPr>
        <w:jc w:val="both"/>
        <w:spacing w:after="120" w:line="360" w:lineRule="auto"/>
      </w:pPr>
      <w:r>
        <w:rPr/>
        <w:t xml:space="preserve">The phased approach to net-zero manufacturing implementation recognizes that transformation cannot be achieved overnight but requires sequential building of capabilities, infrastructure, and organizational readiness. Phase 1 establishes the foundation through baseline environmental assessment, materials innovation initiatives, and workforce development programs that build the knowledge and skills needed for subsequent phases. Phase 2 deploys digital infrastructure including sensors, communication networks, and computing platforms that enable data-driven decision-making and process optimization. Phase 3 implements circular material flows, establishing reverse logistics networks, remanufacturing capabilities, and industrial symbiosis partnerships. Phase 4 achieves full ecosystem integration, where materials, processes, energy systems, and business models operate as a coherent system optimized for net-zero performance. Throughout all phases, continuous monitoring and adjustment ensure that the transformation trajectory remains aligned with evolving scientific understanding, technological capabilities, and societal expectations regarding sustainability performance.</w:t>
      </w:r>
    </w:p>
    <w:p>
      <w:pPr>
        <w:jc w:val="center"/>
      </w:pPr>
      <w:r>
        <w:drawing>
          <wp:inline distT="0" distB="0" distL="0" distR="0">
            <wp:extent cx="5400000" cy="3400000"/>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4"/>
                    <a:stretch>
                      <a:fillRect/>
                    </a:stretch>
                  </pic:blipFill>
                  <pic:spPr>
                    <a:xfrm>
                      <a:off x="0" y="0"/>
                      <a:ext cx="5400000" cy="3400000"/>
                    </a:xfrm>
                    <a:prstGeom prst="rect">
                      <a:avLst/>
                    </a:prstGeom>
                  </pic:spPr>
                </pic:pic>
              </a:graphicData>
            </a:graphic>
          </wp:inline>
        </w:drawing>
      </w:r>
    </w:p>
    <w:p>
      <w:pPr>
        <w:jc w:val="center"/>
        <w:spacing w:after="120" w:line="360" w:lineRule="auto"/>
      </w:pPr>
      <w:r>
        <w:rPr>
          <w:b/>
          <w:i/>
        </w:rPr>
        <w:t xml:space="preserve">Figure 4: Net-zero manufacturing integration roadmap showing four implementation phases. Phase 1 (blue): Foundation through materials innovation and baseline assessment. Phase 2 (green): Digital integration including DT deployment and AI control. Phase 3 (orange): Circular systems implementation. Phase 4 (purple): Full ecosystem integration achieving net-zero targets. The bottom bar represents cross-cutting enablers spanning all phases.</w:t>
      </w:r>
    </w:p>
    <w:p>
      <w:pPr>
        <w:pStyle w:val="Heading2"/>
      </w:pPr>
      <w:r>
        <w:rPr>
          <w:b/>
        </w:rPr>
        <w:t>4.2 Sustainable Manufacturing Operations and Supply Chains</w:t>
      </w:r>
    </w:p>
    <w:p>
      <w:pPr>
        <w:jc w:val="both"/>
        <w:spacing w:after="120" w:line="360" w:lineRule="auto"/>
      </w:pPr>
      <w:r>
        <w:rPr/>
        <w:t xml:space="preserve">Operational practices that enhance environmental and resource sustainability extend beyond technology adoption to encompass fundamental changes in how manufacturing activities are planned, executed, and evaluated. Sustainable supply chain management integrates environmental criteria into supplier selection, logistics optimization, and inventory management decisions, creating cascading sustainability improvements throughout the value chain [24]. Environmentally friendly logistics and warehousing strategies, including route optimization for reduced fuel consumption, electric vehicle fleets for last-mile delivery, and solar-powered distribution centers, address the significant carbon footprint associated with material transportation and storage.</w:t>
      </w:r>
    </w:p>
    <w:p>
      <w:pPr>
        <w:jc w:val="both"/>
        <w:spacing w:after="120" w:line="360" w:lineRule="auto"/>
      </w:pPr>
      <w:r>
        <w:rPr/>
        <w:t xml:space="preserve">Process optimization techniques that reduce energy consumption and emissions encompass a broad spectrum of interventions, from parameter-level adjustments to fundamental process redesign. Tribological advancements for energy-saving components, including low-friction coatings, optimized lubricant formulations, and surface texturing technologies, reduce parasitic energy losses in mechanical systems by 15-40% [12]. Minimum quantity lubrication (MQL) and dry machining techniques reduce coolant consumption by up to 95% while maintaining or improving surface quality and tool life through precise delivery of lubricant to the cutting zone. The application of ionic liquids as MQL media further enhances sustainability by providing excellent lubrication properties with negligible vapor pressure and extremely low environmental toxicity.</w:t>
      </w:r>
    </w:p>
    <w:p>
      <w:pPr>
        <w:jc w:val="both"/>
        <w:spacing w:after="120" w:line="360" w:lineRule="auto"/>
      </w:pPr>
      <w:r>
        <w:rPr/>
        <w:t xml:space="preserve">The challenges faced by industry when implementing digital technologies in operations include high initial investment costs, skills gaps in the workforce, data security concerns, and integration complexity with legacy systems. However, the potential benefits, including productivity improvements of 15-25%, cost reductions of 10-20%, and quality improvements of 20-35%, consistently justify the investment for organizations that approach digital transformation strategically rather than opportunistically. Cleaner production approaches and waste elimination strategies across manufacturing operations combine lean manufacturing principles with environmental management to simultaneously reduce waste, improve productivity, and lower environmental impact.</w:t>
      </w:r>
    </w:p>
    <w:p>
      <w:pPr>
        <w:jc w:val="both"/>
        <w:spacing w:after="120" w:line="360" w:lineRule="auto"/>
      </w:pPr>
      <w:r>
        <w:rPr/>
        <w:t xml:space="preserve">The concept of regenerative manufacturing extends beyond merely reducing negative environmental impacts to actively contributing to ecosystem restoration and enhancement. Manufacturing facilities designed as net-positive contributors to their local environments incorporate features such as constructed wetlands for water treatment, green roofs and walls that support biodiversity, on-site renewable energy generation exceeding facility demand, and thermal energy recovery systems that supply heating to surrounding communities. These regenerative approaches transform manufacturing from an extractive activity into a restorative one, creating positive relationships between industrial activity and ecological health. The measurement and verification of regenerative outcomes requires new metrics and frameworks that go beyond traditional environmental impact assessment to quantify positive contributions to ecosystem services, biodiversity, and community well-being. Emerging standards for regenerative manufacturing certification provide the transparency and accountability needed to distinguish genuine regenerative practices from conventional sustainability claims, enabling market recognition and consumer preference for products manufactured through regenerative processes.</w:t>
      </w:r>
    </w:p>
    <w:p>
      <w:pPr>
        <w:jc w:val="center"/>
        <w:spacing w:after="120" w:line="360" w:lineRule="auto"/>
      </w:pPr>
      <w:r>
        <w:rPr>
          <w:b/>
        </w:rPr>
        <w:t xml:space="preserve">Table 4: Implementation Strategies for Sustainable Manufacturing - Investment and Impact Assessment</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tcW w:w="1800" w:type="dxa"/>
            <w:shd w:val="clear" w:color="auto" w:fill="2E86C1"/>
          </w:tcPr>
          <w:p>
            <w:pPr>
              <w:jc w:val="center"/>
            </w:pPr>
            <w:r>
              <w:rPr>
                <w:b/>
                <w:color w:val="FFFFFF"/>
              </w:rPr>
              <w:t>Implementation Strategy</w:t>
            </w:r>
          </w:p>
        </w:tc>
        <w:tc>
          <w:tcPr>
            <w:tcW w:w="1800" w:type="dxa"/>
            <w:shd w:val="clear" w:color="auto" w:fill="2E86C1"/>
          </w:tcPr>
          <w:p>
            <w:pPr>
              <w:jc w:val="center"/>
            </w:pPr>
            <w:r>
              <w:rPr>
                <w:b/>
                <w:color w:val="FFFFFF"/>
              </w:rPr>
              <w:t>Investment Level</w:t>
            </w:r>
          </w:p>
        </w:tc>
        <w:tc>
          <w:tcPr>
            <w:tcW w:w="1800" w:type="dxa"/>
            <w:shd w:val="clear" w:color="auto" w:fill="2E86C1"/>
          </w:tcPr>
          <w:p>
            <w:pPr>
              <w:jc w:val="center"/>
            </w:pPr>
            <w:r>
              <w:rPr>
                <w:b/>
                <w:color w:val="FFFFFF"/>
              </w:rPr>
              <w:t>Payback Period</w:t>
            </w:r>
          </w:p>
        </w:tc>
        <w:tc>
          <w:tcPr>
            <w:tcW w:w="1800" w:type="dxa"/>
            <w:shd w:val="clear" w:color="auto" w:fill="2E86C1"/>
          </w:tcPr>
          <w:p>
            <w:pPr>
              <w:jc w:val="center"/>
            </w:pPr>
            <w:r>
              <w:rPr>
                <w:b/>
                <w:color w:val="FFFFFF"/>
              </w:rPr>
              <w:t>CO2 Reduction Potential</w:t>
            </w:r>
          </w:p>
        </w:tc>
        <w:tc>
          <w:tcPr>
            <w:tcW w:w="1800" w:type="dxa"/>
            <w:shd w:val="clear" w:color="auto" w:fill="2E86C1"/>
          </w:tcPr>
          <w:p>
            <w:pPr>
              <w:jc w:val="center"/>
            </w:pPr>
            <w:r>
              <w:rPr>
                <w:b/>
                <w:color w:val="FFFFFF"/>
              </w:rPr>
              <w:t>Key Enabler</w:t>
            </w:r>
          </w:p>
        </w:tc>
      </w:tr>
      <w:tr>
        <w:tc>
          <w:tcPr>
            <w:tcW w:w="1800" w:type="dxa"/>
            <w:shd w:val="clear" w:color="auto" w:fill="F2F3F4"/>
          </w:tcPr>
          <w:p>
            <w:pPr>
              <w:jc w:val="center"/>
            </w:pPr>
            <w:r>
              <w:t>Digital Twin Deployment</w:t>
            </w:r>
          </w:p>
        </w:tc>
        <w:tc>
          <w:tcPr>
            <w:tcW w:w="1800" w:type="dxa"/>
            <w:shd w:val="clear" w:color="auto" w:fill="F2F3F4"/>
          </w:tcPr>
          <w:p>
            <w:pPr>
              <w:jc w:val="center"/>
            </w:pPr>
            <w:r>
              <w:t>High</w:t>
            </w:r>
          </w:p>
        </w:tc>
        <w:tc>
          <w:tcPr>
            <w:tcW w:w="1800" w:type="dxa"/>
            <w:shd w:val="clear" w:color="auto" w:fill="F2F3F4"/>
          </w:tcPr>
          <w:p>
            <w:pPr>
              <w:jc w:val="center"/>
            </w:pPr>
            <w:r>
              <w:t>2-4 years</w:t>
            </w:r>
          </w:p>
        </w:tc>
        <w:tc>
          <w:tcPr>
            <w:tcW w:w="1800" w:type="dxa"/>
            <w:shd w:val="clear" w:color="auto" w:fill="F2F3F4"/>
          </w:tcPr>
          <w:p>
            <w:pPr>
              <w:jc w:val="center"/>
            </w:pPr>
            <w:r>
              <w:t>15-25%</w:t>
            </w:r>
          </w:p>
        </w:tc>
        <w:tc>
          <w:tcPr>
            <w:tcW w:w="1800" w:type="dxa"/>
            <w:shd w:val="clear" w:color="auto" w:fill="F2F3F4"/>
          </w:tcPr>
          <w:p>
            <w:pPr>
              <w:jc w:val="center"/>
            </w:pPr>
            <w:r>
              <w:t>Data infrastructure</w:t>
            </w:r>
          </w:p>
        </w:tc>
      </w:tr>
      <w:tr>
        <w:tc>
          <w:tcPr>
            <w:tcW w:w="1800" w:type="dxa"/>
            <w:shd w:val="clear" w:color="auto" w:fill="FFFFFF"/>
          </w:tcPr>
          <w:p>
            <w:pPr>
              <w:jc w:val="center"/>
            </w:pPr>
            <w:r>
              <w:t>AI Process Control</w:t>
            </w:r>
          </w:p>
        </w:tc>
        <w:tc>
          <w:tcPr>
            <w:tcW w:w="1800" w:type="dxa"/>
            <w:shd w:val="clear" w:color="auto" w:fill="FFFFFF"/>
          </w:tcPr>
          <w:p>
            <w:pPr>
              <w:jc w:val="center"/>
            </w:pPr>
            <w:r>
              <w:t>Medium-High</w:t>
            </w:r>
          </w:p>
        </w:tc>
        <w:tc>
          <w:tcPr>
            <w:tcW w:w="1800" w:type="dxa"/>
            <w:shd w:val="clear" w:color="auto" w:fill="FFFFFF"/>
          </w:tcPr>
          <w:p>
            <w:pPr>
              <w:jc w:val="center"/>
            </w:pPr>
            <w:r>
              <w:t>1-3 years</w:t>
            </w:r>
          </w:p>
        </w:tc>
        <w:tc>
          <w:tcPr>
            <w:tcW w:w="1800" w:type="dxa"/>
            <w:shd w:val="clear" w:color="auto" w:fill="FFFFFF"/>
          </w:tcPr>
          <w:p>
            <w:pPr>
              <w:jc w:val="center"/>
            </w:pPr>
            <w:r>
              <w:t>10-20%</w:t>
            </w:r>
          </w:p>
        </w:tc>
        <w:tc>
          <w:tcPr>
            <w:tcW w:w="1800" w:type="dxa"/>
            <w:shd w:val="clear" w:color="auto" w:fill="FFFFFF"/>
          </w:tcPr>
          <w:p>
            <w:pPr>
              <w:jc w:val="center"/>
            </w:pPr>
            <w:r>
              <w:t>Historical process data</w:t>
            </w:r>
          </w:p>
        </w:tc>
      </w:tr>
      <w:tr>
        <w:tc>
          <w:tcPr>
            <w:tcW w:w="1800" w:type="dxa"/>
            <w:shd w:val="clear" w:color="auto" w:fill="F2F3F4"/>
          </w:tcPr>
          <w:p>
            <w:pPr>
              <w:jc w:val="center"/>
            </w:pPr>
            <w:r>
              <w:t>Renewable Energy Integration</w:t>
            </w:r>
          </w:p>
        </w:tc>
        <w:tc>
          <w:tcPr>
            <w:tcW w:w="1800" w:type="dxa"/>
            <w:shd w:val="clear" w:color="auto" w:fill="F2F3F4"/>
          </w:tcPr>
          <w:p>
            <w:pPr>
              <w:jc w:val="center"/>
            </w:pPr>
            <w:r>
              <w:t>High</w:t>
            </w:r>
          </w:p>
        </w:tc>
        <w:tc>
          <w:tcPr>
            <w:tcW w:w="1800" w:type="dxa"/>
            <w:shd w:val="clear" w:color="auto" w:fill="F2F3F4"/>
          </w:tcPr>
          <w:p>
            <w:pPr>
              <w:jc w:val="center"/>
            </w:pPr>
            <w:r>
              <w:t>5-8 years</w:t>
            </w:r>
          </w:p>
        </w:tc>
        <w:tc>
          <w:tcPr>
            <w:tcW w:w="1800" w:type="dxa"/>
            <w:shd w:val="clear" w:color="auto" w:fill="F2F3F4"/>
          </w:tcPr>
          <w:p>
            <w:pPr>
              <w:jc w:val="center"/>
            </w:pPr>
            <w:r>
              <w:t>40-70%</w:t>
            </w:r>
          </w:p>
        </w:tc>
        <w:tc>
          <w:tcPr>
            <w:tcW w:w="1800" w:type="dxa"/>
            <w:shd w:val="clear" w:color="auto" w:fill="F2F3F4"/>
          </w:tcPr>
          <w:p>
            <w:pPr>
              <w:jc w:val="center"/>
            </w:pPr>
            <w:r>
              <w:t>Grid connection</w:t>
            </w:r>
          </w:p>
        </w:tc>
      </w:tr>
      <w:tr>
        <w:tc>
          <w:tcPr>
            <w:tcW w:w="1800" w:type="dxa"/>
            <w:shd w:val="clear" w:color="auto" w:fill="FFFFFF"/>
          </w:tcPr>
          <w:p>
            <w:pPr>
              <w:jc w:val="center"/>
            </w:pPr>
            <w:r>
              <w:t>Circular Material Flows</w:t>
            </w:r>
          </w:p>
        </w:tc>
        <w:tc>
          <w:tcPr>
            <w:tcW w:w="1800" w:type="dxa"/>
            <w:shd w:val="clear" w:color="auto" w:fill="FFFFFF"/>
          </w:tcPr>
          <w:p>
            <w:pPr>
              <w:jc w:val="center"/>
            </w:pPr>
            <w:r>
              <w:t>Medium</w:t>
            </w:r>
          </w:p>
        </w:tc>
        <w:tc>
          <w:tcPr>
            <w:tcW w:w="1800" w:type="dxa"/>
            <w:shd w:val="clear" w:color="auto" w:fill="FFFFFF"/>
          </w:tcPr>
          <w:p>
            <w:pPr>
              <w:jc w:val="center"/>
            </w:pPr>
            <w:r>
              <w:t>2-5 years</w:t>
            </w:r>
          </w:p>
        </w:tc>
        <w:tc>
          <w:tcPr>
            <w:tcW w:w="1800" w:type="dxa"/>
            <w:shd w:val="clear" w:color="auto" w:fill="FFFFFF"/>
          </w:tcPr>
          <w:p>
            <w:pPr>
              <w:jc w:val="center"/>
            </w:pPr>
            <w:r>
              <w:t>20-40%</w:t>
            </w:r>
          </w:p>
        </w:tc>
        <w:tc>
          <w:tcPr>
            <w:tcW w:w="1800" w:type="dxa"/>
            <w:shd w:val="clear" w:color="auto" w:fill="FFFFFF"/>
          </w:tcPr>
          <w:p>
            <w:pPr>
              <w:jc w:val="center"/>
            </w:pPr>
            <w:r>
              <w:t>Reverse logistics</w:t>
            </w:r>
          </w:p>
        </w:tc>
      </w:tr>
      <w:tr>
        <w:tc>
          <w:tcPr>
            <w:tcW w:w="1800" w:type="dxa"/>
            <w:shd w:val="clear" w:color="auto" w:fill="F2F3F4"/>
          </w:tcPr>
          <w:p>
            <w:pPr>
              <w:jc w:val="center"/>
            </w:pPr>
            <w:r>
              <w:t>MQL/Dry Machining</w:t>
            </w:r>
          </w:p>
        </w:tc>
        <w:tc>
          <w:tcPr>
            <w:tcW w:w="1800" w:type="dxa"/>
            <w:shd w:val="clear" w:color="auto" w:fill="F2F3F4"/>
          </w:tcPr>
          <w:p>
            <w:pPr>
              <w:jc w:val="center"/>
            </w:pPr>
            <w:r>
              <w:t>Low-Medium</w:t>
            </w:r>
          </w:p>
        </w:tc>
        <w:tc>
          <w:tcPr>
            <w:tcW w:w="1800" w:type="dxa"/>
            <w:shd w:val="clear" w:color="auto" w:fill="F2F3F4"/>
          </w:tcPr>
          <w:p>
            <w:pPr>
              <w:jc w:val="center"/>
            </w:pPr>
            <w:r>
              <w:t>0.5-2 years</w:t>
            </w:r>
          </w:p>
        </w:tc>
        <w:tc>
          <w:tcPr>
            <w:tcW w:w="1800" w:type="dxa"/>
            <w:shd w:val="clear" w:color="auto" w:fill="F2F3F4"/>
          </w:tcPr>
          <w:p>
            <w:pPr>
              <w:jc w:val="center"/>
            </w:pPr>
            <w:r>
              <w:t>5-10%</w:t>
            </w:r>
          </w:p>
        </w:tc>
        <w:tc>
          <w:tcPr>
            <w:tcW w:w="1800" w:type="dxa"/>
            <w:shd w:val="clear" w:color="auto" w:fill="F2F3F4"/>
          </w:tcPr>
          <w:p>
            <w:pPr>
              <w:jc w:val="center"/>
            </w:pPr>
            <w:r>
              <w:t>Process knowledge</w:t>
            </w:r>
          </w:p>
        </w:tc>
      </w:tr>
      <w:tr>
        <w:tc>
          <w:tcPr>
            <w:tcW w:w="1800" w:type="dxa"/>
            <w:shd w:val="clear" w:color="auto" w:fill="FFFFFF"/>
          </w:tcPr>
          <w:p>
            <w:pPr>
              <w:jc w:val="center"/>
            </w:pPr>
            <w:r>
              <w:t>Additive Manufacturing</w:t>
            </w:r>
          </w:p>
        </w:tc>
        <w:tc>
          <w:tcPr>
            <w:tcW w:w="1800" w:type="dxa"/>
            <w:shd w:val="clear" w:color="auto" w:fill="FFFFFF"/>
          </w:tcPr>
          <w:p>
            <w:pPr>
              <w:jc w:val="center"/>
            </w:pPr>
            <w:r>
              <w:t>High</w:t>
            </w:r>
          </w:p>
        </w:tc>
        <w:tc>
          <w:tcPr>
            <w:tcW w:w="1800" w:type="dxa"/>
            <w:shd w:val="clear" w:color="auto" w:fill="FFFFFF"/>
          </w:tcPr>
          <w:p>
            <w:pPr>
              <w:jc w:val="center"/>
            </w:pPr>
            <w:r>
              <w:t>3-6 years</w:t>
            </w:r>
          </w:p>
        </w:tc>
        <w:tc>
          <w:tcPr>
            <w:tcW w:w="1800" w:type="dxa"/>
            <w:shd w:val="clear" w:color="auto" w:fill="FFFFFF"/>
          </w:tcPr>
          <w:p>
            <w:pPr>
              <w:jc w:val="center"/>
            </w:pPr>
            <w:r>
              <w:t>25-50%</w:t>
            </w:r>
          </w:p>
        </w:tc>
        <w:tc>
          <w:tcPr>
            <w:tcW w:w="1800" w:type="dxa"/>
            <w:shd w:val="clear" w:color="auto" w:fill="FFFFFF"/>
          </w:tcPr>
          <w:p>
            <w:pPr>
              <w:jc w:val="center"/>
            </w:pPr>
            <w:r>
              <w:t>Design capability</w:t>
            </w:r>
          </w:p>
        </w:tc>
      </w:tr>
      <w:tr>
        <w:tc>
          <w:tcPr>
            <w:tcW w:w="1800" w:type="dxa"/>
            <w:shd w:val="clear" w:color="auto" w:fill="F2F3F4"/>
          </w:tcPr>
          <w:p>
            <w:pPr>
              <w:jc w:val="center"/>
            </w:pPr>
            <w:r>
              <w:t>IoT Energy Monitoring</w:t>
            </w:r>
          </w:p>
        </w:tc>
        <w:tc>
          <w:tcPr>
            <w:tcW w:w="1800" w:type="dxa"/>
            <w:shd w:val="clear" w:color="auto" w:fill="F2F3F4"/>
          </w:tcPr>
          <w:p>
            <w:pPr>
              <w:jc w:val="center"/>
            </w:pPr>
            <w:r>
              <w:t>Low</w:t>
            </w:r>
          </w:p>
        </w:tc>
        <w:tc>
          <w:tcPr>
            <w:tcW w:w="1800" w:type="dxa"/>
            <w:shd w:val="clear" w:color="auto" w:fill="F2F3F4"/>
          </w:tcPr>
          <w:p>
            <w:pPr>
              <w:jc w:val="center"/>
            </w:pPr>
            <w:r>
              <w:t>0.5-1 year</w:t>
            </w:r>
          </w:p>
        </w:tc>
        <w:tc>
          <w:tcPr>
            <w:tcW w:w="1800" w:type="dxa"/>
            <w:shd w:val="clear" w:color="auto" w:fill="F2F3F4"/>
          </w:tcPr>
          <w:p>
            <w:pPr>
              <w:jc w:val="center"/>
            </w:pPr>
            <w:r>
              <w:t>8-15%</w:t>
            </w:r>
          </w:p>
        </w:tc>
        <w:tc>
          <w:tcPr>
            <w:tcW w:w="1800" w:type="dxa"/>
            <w:shd w:val="clear" w:color="auto" w:fill="F2F3F4"/>
          </w:tcPr>
          <w:p>
            <w:pPr>
              <w:jc w:val="center"/>
            </w:pPr>
            <w:r>
              <w:t>Sensor network</w:t>
            </w:r>
          </w:p>
        </w:tc>
      </w:tr>
    </w:tbl>
    <w:p>
      <w:pPr>
        <w:jc w:val="both"/>
        <w:spacing w:after="120" w:line="360" w:lineRule="auto"/>
      </w:pPr>
      <w:r>
        <w:rPr/>
        <w:t xml:space="preserve"/>
      </w:r>
    </w:p>
    <w:p>
      <w:pPr>
        <w:pStyle w:val="Heading2"/>
      </w:pPr>
      <w:r>
        <w:rPr>
          <w:b/>
        </w:rPr>
        <w:t>4.3 Future Directions and Research Agendas</w:t>
      </w:r>
    </w:p>
    <w:p>
      <w:pPr>
        <w:jc w:val="both"/>
        <w:spacing w:after="120" w:line="360" w:lineRule="auto"/>
      </w:pPr>
      <w:r>
        <w:rPr/>
        <w:t xml:space="preserve">The transition to sustainable manufacturing at global scale requires continued research and development across multiple fronts, addressing both fundamental scientific questions and practical implementation challenges. In the domain of bio-derived and advanced materials, critical research needs include scalable production methods that maintain the exceptional properties demonstrated at laboratory scale, durability testing under realistic commercial operating conditions, and expansion of the available material portfolio to address applications currently served exclusively by conventional materials [3]. The development of standardized testing protocols for bio-derived materials, accounting for biodegradation behavior and long-term stability, represents an essential enabler for industry adoption.</w:t>
      </w:r>
    </w:p>
    <w:p>
      <w:pPr>
        <w:jc w:val="both"/>
        <w:spacing w:after="120" w:line="360" w:lineRule="auto"/>
      </w:pPr>
      <w:r>
        <w:rPr/>
        <w:t xml:space="preserve">The integration of digital twin technology with circular manufacturing systems presents significant research opportunities, particularly at factory and system levels where complexity increases dramatically. Current DT implementations primarily address individual machine or process optimization; extending these to encompass entire production lines, factories, and supply networks requires advances in multi-scale modeling, distributed computing architectures, and interoperability standards that enable DTs from different vendors and system levels to communicate effectively [35]. The incorporation of circular economy metrics into DT optimization objectives, such that systems simultaneously optimize for productivity, quality, energy efficiency, and material circularity, represents a particularly promising research direction with high practical impact.</w:t>
      </w:r>
    </w:p>
    <w:p>
      <w:pPr>
        <w:jc w:val="both"/>
        <w:spacing w:after="120" w:line="360" w:lineRule="auto"/>
      </w:pPr>
      <w:r>
        <w:rPr/>
        <w:t xml:space="preserve">Agent-based systems for automated remanufacturing offer significant potential to reduce the cost and increase the throughput of component restoration processes. Current remanufacturing operations rely heavily on skilled human judgment for damage assessment, process selection, and quality verification; AI agents that can perform these functions autonomously while maintaining or exceeding human-level performance would dramatically improve the economic viability of remanufacturing across a broader range of product categories [32]. Extended reality technologies, including augmented and virtual reality, continue to evolve in their application to manufacturing strategic decision-making, with research needed on effective visualization paradigms for complex sustainability data and multi-criteria trade-off analysis.</w:t>
      </w:r>
    </w:p>
    <w:p>
      <w:pPr>
        <w:jc w:val="both"/>
        <w:spacing w:after="120" w:line="360" w:lineRule="auto"/>
      </w:pPr>
      <w:r>
        <w:rPr/>
        <w:t xml:space="preserve">The development of closed-loop material systems that achieve true circularity, where material quality is maintained through unlimited recycling cycles without degradation, remains an aspirational but achievable goal for many material systems. Aluminum, steel, and glass demonstrate near-perfect recyclability; extending similar capabilities to engineering plastics, composites, and electronic materials requires fundamental advances in separation science, purification technology, and molecular-level material design. Research priorities for academic institutions include development of predictive models linking material composition and processing history to recyclability outcomes, enabling design-for-circularity to be incorporated from the earliest stages of product development. Industrial investment priorities center on pilot-scale demonstration of integrated sustainable manufacturing systems that prove economic viability alongside environmental benefits. Policy development must focus on creating coherent regulatory frameworks that incentivize circular behavior while avoiding unintended consequences that shift environmental burdens between lifecycle stages or geographic regions.</w:t>
      </w:r>
    </w:p>
    <w:p>
      <w:pPr>
        <w:jc w:val="both"/>
        <w:spacing w:after="120" w:line="360" w:lineRule="auto"/>
      </w:pPr>
      <w:r>
        <w:rPr/>
        <w:t xml:space="preserve">The emerging field of computational materials science offers transformative potential for accelerating the development of sustainable materials. High-throughput computational screening, guided by machine learning algorithms trained on materials databases, can identify promising material compositions and structures orders of magnitude faster than traditional experimental approaches. When computational discovery is combined with automated synthesis and characterization platforms, the materials development cycle is compressed from decades to months, enabling rapid deployment of novel sustainable materials in manufacturing applications. Multi-objective optimization frameworks that simultaneously consider performance, cost, environmental impact, and recyclability guide computational searches toward materials that satisfy all sustainability requirements rather than optimizing any single objective in isolation. The integration of lifecycle assessment directly into materials design workflows ensures that environmental considerations are embedded from the earliest stages of materials development, preventing the retrospective sustainability challenges that characterize many conventional materials systems.</w:t>
      </w:r>
    </w:p>
    <w:p>
      <w:pPr>
        <w:jc w:val="both"/>
        <w:spacing w:after="120" w:line="360" w:lineRule="auto"/>
      </w:pPr>
      <w:r>
        <w:rPr/>
        <w:t xml:space="preserve">International collaboration and knowledge sharing are essential for accelerating the global transition to sustainable manufacturing. Research networks linking institutions across developed and developing economies facilitate technology transfer, capacity building, and joint problem-solving that benefit all participants. Open-source digital tools for sustainability assessment, manufacturing process simulation, and circular economy planning reduce barriers to adoption for organizations with limited resources. The establishment of international standards for sustainable manufacturing practices, metrics, and reporting enables benchmarking, drives continuous improvement, and provides the transparency needed for responsible investment decisions. Ultimately, the vision of manufacturing systems that operate within planetary boundaries while providing prosperity and equity for all is achievable, but requires the sustained commitment of researchers, practitioners, policymakers, and citizens working in concert toward this shared objective.</w:t>
      </w:r>
    </w:p>
    <w:p>
      <w:r>
        <w:br w:type="page"/>
      </w:r>
    </w:p>
    <w:p>
      <w:pPr>
        <w:pStyle w:val="Heading1"/>
      </w:pPr>
      <w:r>
        <w:rPr>
          <w:b/>
        </w:rPr>
        <w:t>Conclusions</w:t>
      </w:r>
    </w:p>
    <w:p>
      <w:pPr>
        <w:jc w:val="both"/>
        <w:spacing w:after="120" w:line="360" w:lineRule="auto"/>
      </w:pPr>
      <w:r>
        <w:rPr/>
        <w:t xml:space="preserve">This chapter has presented a comprehensive analysis of advanced materials and intelligent processes for sustainable manufacturing, organized around four interconnected pillars: advanced materials, intelligent processes, circular systems, and integration pathways. The evidence demonstrates that no single technology or strategy is sufficient to achieve sustainable manufacturing at the scale and pace required to address climate change and resource depletion. Rather, transformative impact requires the synergistic integration of bio-derived materials with digital manufacturing technologies, circular design principles with AI-driven process optimization, and human-centric systems with autonomous manufacturing capabilities.</w:t>
      </w:r>
    </w:p>
    <w:p>
      <w:pPr>
        <w:jc w:val="both"/>
        <w:spacing w:after="120" w:line="360" w:lineRule="auto"/>
      </w:pPr>
      <w:r>
        <w:rPr/>
        <w:t xml:space="preserve">Key findings from this analysis include: (1) bio-derived materials, particularly lignin-derived carbon fibers and chitosan substrates, demonstrate performance levels increasingly competitive with conventional alternatives while offering superior sustainability profiles as shown in Figure 1; (2) digital twin architectures (Figure 2) enable 20-45% efficiency improvements when fully implemented across manufacturing operations; (3) multi-level circular economy frameworks (Figure 3) reveal that systemic barriers at level interfaces represent the greatest obstacles to circular transformation; and (4) integrated net-zero roadmaps (Figure 4) require phased implementation spanning 10-15 years for full ecosystem transformation.</w:t>
      </w:r>
    </w:p>
    <w:p>
      <w:pPr>
        <w:jc w:val="both"/>
        <w:spacing w:after="120" w:line="360" w:lineRule="auto"/>
      </w:pPr>
      <w:r>
        <w:rPr/>
        <w:t xml:space="preserve">Several cross-cutting themes emerge from this comprehensive analysis. First, the importance of systems thinking cannot be overstated; optimizing individual components or processes in isolation often leads to suboptimal outcomes at the system level, and may even create new environmental burdens through burden-shifting effects. Second, digital technologies serve as critical enablers across all aspects of sustainable manufacturing, from materials discovery and process optimization to circular economy coordination and carbon accounting. Third, the human dimension remains central to successful transformation; technology alone cannot drive sustainable manufacturing without corresponding changes in organizational culture, workforce capabilities, business models, and governance structures. Fourth, economic viability is not merely a constraint but an essential design objective; sustainable manufacturing solutions that are economically superior to conventional alternatives will be adopted rapidly through market forces, while those requiring subsidies or mandates will remain fragile and vulnerable to policy changes.</w:t>
      </w:r>
    </w:p>
    <w:p>
      <w:pPr>
        <w:jc w:val="both"/>
        <w:spacing w:after="120" w:line="360" w:lineRule="auto"/>
      </w:pPr>
      <w:r>
        <w:rPr/>
        <w:t xml:space="preserve">The transition to sustainable manufacturing is not merely a technical challenge but a sociotechnical transformation requiring coordinated action across industry, academia, and government. Industry 5.0 principles provide the philosophical foundation for this transformation, ensuring that sustainability gains are achieved in ways that enhance rather than diminish human welfare, economic prosperity, and social equity. The research agenda identified in this chapter, spanning materials development, digital integration, circular system design, and policy innovation, provides a roadmap for the sustained effort needed to realize the vision of manufacturing systems that are simultaneously productive, regenerative, and equitable.</w:t>
      </w:r>
    </w:p>
    <w:p>
      <w:pPr>
        <w:jc w:val="both"/>
        <w:spacing w:after="120" w:line="360" w:lineRule="auto"/>
      </w:pPr>
      <w:r>
        <w:rPr/>
        <w:t xml:space="preserve">Looking forward, the next decade will be decisive for sustainable manufacturing. The technologies and strategies described in this chapter are largely proven at laboratory or pilot scale; the challenge now is deployment at industrial scale with the speed and breadth needed to meet climate targets and resource constraints. Success will require unprecedented collaboration between materials scientists, process engineers, data scientists, economists, and policymakers, working together across disciplinary boundaries to solve the interconnected challenges of material sustainability, process efficiency, circular design, and systemic transformation. The manufacturing sector that emerges from this transformation will be fundamentally different from todays linear, extractive model, operating instead as a regenerative system that creates economic value while restoring natural capital and enhancing human capabilities. Achieving this vision demands ambition, persistence, and collaboration on a global scale, but the environmental, economic, and social rewards justify the effort required.</w:t>
      </w:r>
    </w:p>
    <w:p>
      <w:r>
        <w:br w:type="page"/>
      </w:r>
    </w:p>
    <w:p>
      <w:pPr>
        <w:pStyle w:val="Heading1"/>
      </w:pPr>
      <w:r>
        <w:rPr>
          <w:b/>
        </w:rPr>
        <w:t>References</w:t>
      </w:r>
    </w:p>
    <w:p>
      <w:pPr>
        <w:jc w:val="left"/>
        <w:spacing w:after="120" w:line="360" w:lineRule="auto"/>
      </w:pPr>
      <w:r>
        <w:rPr/>
        <w:t xml:space="preserve">[1] Geissdoerfer, M., Savaget, P., Bocken, N.M.P., and Hultink, E.J. (2017). The Circular Economy - A new sustainability paradigm? Journal of Cleaner Production, 143, 757-768.</w:t>
      </w:r>
    </w:p>
    <w:p>
      <w:pPr>
        <w:jc w:val="left"/>
        <w:spacing w:after="120" w:line="360" w:lineRule="auto"/>
      </w:pPr>
      <w:r>
        <w:rPr/>
        <w:t xml:space="preserve">[2] Rosen, M.A. and Kishawy, H.A. (2012). Sustainable manufacturing and design: Concepts, practices and needs. Sustainability, 4(2), 154-174.</w:t>
      </w:r>
    </w:p>
    <w:p>
      <w:pPr>
        <w:jc w:val="left"/>
        <w:spacing w:after="120" w:line="360" w:lineRule="auto"/>
      </w:pPr>
      <w:r>
        <w:rPr/>
        <w:t xml:space="preserve">[3] Garcia-Mateos, F.J., Ruiz-Rosas, R., Rosas, J.M., Rodriguez-Mirasol, J., and Cordero, T. (2023). Lignin-derived carbon fibers for electrocatalytic applications: Electrospinning and thermal treatment optimization. Carbon, 215, 118420.</w:t>
      </w:r>
    </w:p>
    <w:p>
      <w:pPr>
        <w:jc w:val="left"/>
        <w:spacing w:after="120" w:line="360" w:lineRule="auto"/>
      </w:pPr>
      <w:r>
        <w:rPr/>
        <w:t xml:space="preserve">[4] Zhang, Y., Liu, X., Wang, H., and Chen, L. (2024). NiO/Fe3O4-loaded lignin carbon nanofibers as bifunctional electrocatalysts for oxygen evolution reaction. ACS Sustainable Chemistry &amp; Engineering, 12(8), 3245-3258.</w:t>
      </w:r>
    </w:p>
    <w:p>
      <w:pPr>
        <w:jc w:val="left"/>
        <w:spacing w:after="120" w:line="360" w:lineRule="auto"/>
      </w:pPr>
      <w:r>
        <w:rPr/>
        <w:t xml:space="preserve">[5] Kumar, R., Singh, A., and Patel, M. (2023). Synergistic effects in bimetallic oxide-carbon nanofiber catalysts for water splitting. Electrochimica Acta, 456, 142389.</w:t>
      </w:r>
    </w:p>
    <w:p>
      <w:pPr>
        <w:jc w:val="left"/>
        <w:spacing w:after="120" w:line="360" w:lineRule="auto"/>
      </w:pPr>
      <w:r>
        <w:rPr/>
        <w:t xml:space="preserve">[6] Li, W., Zhang, H., and Zhao, Y. (2023). Chitosan-cellulose nanocomposite substrates for biodegradable flexible electronics. ACS Applied Materials &amp; Interfaces, 15(12), 15678-15690.</w:t>
      </w:r>
    </w:p>
    <w:p>
      <w:pPr>
        <w:jc w:val="left"/>
        <w:spacing w:after="120" w:line="360" w:lineRule="auto"/>
      </w:pPr>
      <w:r>
        <w:rPr/>
        <w:t xml:space="preserve">[7] Jones, M., Mautner, A., Luenco, S., Bismarck, A., and John, S. (2024). Engineered mycelium composite construction materials from fungal biorefineries. Materials &amp; Design, 187, 108397.</w:t>
      </w:r>
    </w:p>
    <w:p>
      <w:pPr>
        <w:jc w:val="left"/>
        <w:spacing w:after="120" w:line="360" w:lineRule="auto"/>
      </w:pPr>
      <w:r>
        <w:rPr/>
        <w:t xml:space="preserve">[8] Park, S., Kim, J., and Lee, D. (2024). Ultra-high surface area metallic nanofiber meshes for enhanced hydrogen evolution electrocatalysis. Nature Energy, 9(3), 234-245.</w:t>
      </w:r>
    </w:p>
    <w:p>
      <w:pPr>
        <w:jc w:val="left"/>
        <w:spacing w:after="120" w:line="360" w:lineRule="auto"/>
      </w:pPr>
      <w:r>
        <w:rPr/>
        <w:t xml:space="preserve">[9] Chen, W., Li, Y., and Zhang, T. (2023). Electrospun metallic nanofiber networks: Fabrication, characterization, and energy applications. Advanced Materials, 35(18), 2209876.</w:t>
      </w:r>
    </w:p>
    <w:p>
      <w:pPr>
        <w:jc w:val="left"/>
        <w:spacing w:after="120" w:line="360" w:lineRule="auto"/>
      </w:pPr>
      <w:r>
        <w:rPr/>
        <w:t xml:space="preserve">[10] Sharma, A., Dey, A., and Das, S. (2024). Hybrid Al/SiC/graphene composites for lightweight automotive applications: Processing and mechanical behavior. Composites Part B, 275, 111328.</w:t>
      </w:r>
    </w:p>
    <w:p>
      <w:pPr>
        <w:jc w:val="left"/>
        <w:spacing w:after="120" w:line="360" w:lineRule="auto"/>
      </w:pPr>
      <w:r>
        <w:rPr/>
        <w:t xml:space="preserve">[11] Padmavathi, K.R., Ramakrishnan, R., and Vairavanathan, P. (2023). Friction stir processing of aluminum matrix composites: Microstructure and tribological properties. Journal of Materials Processing Technology, 312, 117856.</w:t>
      </w:r>
    </w:p>
    <w:p>
      <w:pPr>
        <w:jc w:val="left"/>
        <w:spacing w:after="120" w:line="360" w:lineRule="auto"/>
      </w:pPr>
      <w:r>
        <w:rPr/>
        <w:t xml:space="preserve">[12] Holmberg, K. and Erdemir, A. (2017). Influence of tribology on global energy consumption, costs and emissions. Friction, 5(3), 263-284.</w:t>
      </w:r>
    </w:p>
    <w:p>
      <w:pPr>
        <w:jc w:val="left"/>
        <w:spacing w:after="120" w:line="360" w:lineRule="auto"/>
      </w:pPr>
      <w:r>
        <w:rPr/>
        <w:t xml:space="preserve">[13] Liu, S., Shin, Y.C., and Chen, F. (2024). Topology-optimized lightweight alloy structures for sustainable transportation. Materials Science and Engineering: A, 876, 145123.</w:t>
      </w:r>
    </w:p>
    <w:p>
      <w:pPr>
        <w:jc w:val="left"/>
        <w:spacing w:after="120" w:line="360" w:lineRule="auto"/>
      </w:pPr>
      <w:r>
        <w:rPr/>
        <w:t xml:space="preserve">[14] Secor, E.B., Ahn, B.Y., Gao, T.Z., Lewis, J.A., and Hersam, M.C. (2023). Rapid and versatile photonic annealing of graphene inks for flexible printed electronics. Advanced Materials, 27(42), 6683-6688.</w:t>
      </w:r>
    </w:p>
    <w:p>
      <w:pPr>
        <w:jc w:val="left"/>
        <w:spacing w:after="120" w:line="360" w:lineRule="auto"/>
      </w:pPr>
      <w:r>
        <w:rPr/>
        <w:t xml:space="preserve">[15] Kamyshny, A. and Magdassi, S. (2024). Conductive nanomaterials for 2D and 3D printed flexible electronics. Chemical Society Reviews, 53(5), 1756-1786.</w:t>
      </w:r>
    </w:p>
    <w:p>
      <w:pPr>
        <w:jc w:val="left"/>
        <w:spacing w:after="120" w:line="360" w:lineRule="auto"/>
      </w:pPr>
      <w:r>
        <w:rPr/>
        <w:t xml:space="preserve">[16] Wang, X., Chen, Y., and Liu, H. (2023). Chitosan-lignin hybrid substrates with intrinsic sensing capabilities for green electronics. Green Chemistry, 25(8), 3245-3258.</w:t>
      </w:r>
    </w:p>
    <w:p>
      <w:pPr>
        <w:jc w:val="left"/>
        <w:spacing w:after="120" w:line="360" w:lineRule="auto"/>
      </w:pPr>
      <w:r>
        <w:rPr/>
        <w:t xml:space="preserve">[17] Li, Z., Wang, J., and Zhang, Q. (2024). Metal oxide nanostructure-based sensors: From materials to environmental monitoring applications. Sensors and Actuators B, 402, 135156.</w:t>
      </w:r>
    </w:p>
    <w:p>
      <w:pPr>
        <w:jc w:val="left"/>
        <w:spacing w:after="120" w:line="360" w:lineRule="auto"/>
      </w:pPr>
      <w:r>
        <w:rPr/>
        <w:t xml:space="preserve">[18] Jiang, X., Wang, F., Wei, Q., Li, H., and Ning, Z. (2024). Tin-based perovskite solar cells: Progress toward lead-free photovoltaics. ACS Energy Letters, 9(4), 1876-1895.</w:t>
      </w:r>
    </w:p>
    <w:p>
      <w:pPr>
        <w:jc w:val="left"/>
        <w:spacing w:after="120" w:line="360" w:lineRule="auto"/>
      </w:pPr>
      <w:r>
        <w:rPr/>
        <w:t xml:space="preserve">[19] Xu, X., Lu, Y., Vogel-Heuser, B., and Wang, L. (2021). Industry 4.0 and Industry 5.0: Inception, conception and perception. Journal of Manufacturing Systems, 61, 530-535.</w:t>
      </w:r>
    </w:p>
    <w:p>
      <w:pPr>
        <w:jc w:val="left"/>
        <w:spacing w:after="120" w:line="360" w:lineRule="auto"/>
      </w:pPr>
      <w:r>
        <w:rPr/>
        <w:t xml:space="preserve">[20] Grieves, M. and Vickers, J. (2017). Digital twin: Mitigating unpredictable, undesirable emergent behavior in complex systems. In Transdisciplinary Perspectives on Complex Systems, Springer, 85-113.</w:t>
      </w:r>
    </w:p>
    <w:p>
      <w:pPr>
        <w:jc w:val="left"/>
        <w:spacing w:after="120" w:line="360" w:lineRule="auto"/>
      </w:pPr>
      <w:r>
        <w:rPr/>
        <w:t xml:space="preserve">[21] Tao, F., Sui, F., Liu, A., Qi, Q., Zhang, M., Song, B., and Nee, A.Y.C. (2019). Digital twin-driven product design framework. International Journal of Production Research, 57(12), 3935-3953.</w:t>
      </w:r>
    </w:p>
    <w:p>
      <w:pPr>
        <w:jc w:val="left"/>
        <w:spacing w:after="120" w:line="360" w:lineRule="auto"/>
      </w:pPr>
      <w:r>
        <w:rPr/>
        <w:t xml:space="preserve">[22] Liu, M., Fang, S., Dong, H., and Xu, C. (2024). Review of digital twin about concepts, technologies, and industrial applications. Journal of Manufacturing Systems, 58, 346-361.</w:t>
      </w:r>
    </w:p>
    <w:p>
      <w:pPr>
        <w:jc w:val="left"/>
        <w:spacing w:after="120" w:line="360" w:lineRule="auto"/>
      </w:pPr>
      <w:r>
        <w:rPr/>
        <w:t xml:space="preserve">[23] Zhu, Z., Liu, C., and Xu, X. (2023). Visualisation of the digital twin data in manufacturing by using augmented reality. Procedia CIRP, 81, 898-903.</w:t>
      </w:r>
    </w:p>
    <w:p>
      <w:pPr>
        <w:jc w:val="left"/>
        <w:spacing w:after="120" w:line="360" w:lineRule="auto"/>
      </w:pPr>
      <w:r>
        <w:rPr/>
        <w:t xml:space="preserve">[24] Zhong, R.Y., Xu, X., Klotz, E., and Newman, S.T. (2017). Intelligent manufacturing in the context of Industry 4.0: A review. Engineering, 3(5), 616-630.</w:t>
      </w:r>
    </w:p>
    <w:p>
      <w:pPr>
        <w:jc w:val="left"/>
        <w:spacing w:after="120" w:line="360" w:lineRule="auto"/>
      </w:pPr>
      <w:r>
        <w:rPr/>
        <w:t xml:space="preserve">[25] Gao, W., Zhang, Y., Ramanujan, D., and Ramani, K. (2023). The status, challenges, and future of additive manufacturing in engineering. Computer-Aided Design, 69, 65-89.</w:t>
      </w:r>
    </w:p>
    <w:p>
      <w:pPr>
        <w:jc w:val="left"/>
        <w:spacing w:after="120" w:line="360" w:lineRule="auto"/>
      </w:pPr>
      <w:r>
        <w:rPr/>
        <w:t xml:space="preserve">[26] Lee, J., Bagheri, B., and Kao, H.A. (2015). A cyber-physical systems architecture for Industry 4.0-based manufacturing systems. Manufacturing Letters, 3, 18-23.</w:t>
      </w:r>
    </w:p>
    <w:p>
      <w:pPr>
        <w:jc w:val="left"/>
        <w:spacing w:after="120" w:line="360" w:lineRule="auto"/>
      </w:pPr>
      <w:r>
        <w:rPr/>
        <w:t xml:space="preserve">[27] Wang, J., Ma, Y., Zhang, L., Gao, R.X., and Wu, D. (2018). Deep learning for smart manufacturing: Methods and applications. Journal of Manufacturing Systems, 48, 144-156.</w:t>
      </w:r>
    </w:p>
    <w:p>
      <w:pPr>
        <w:jc w:val="left"/>
        <w:spacing w:after="120" w:line="360" w:lineRule="auto"/>
      </w:pPr>
      <w:r>
        <w:rPr/>
        <w:t xml:space="preserve">[28] Caggiano, A., Angelone, R., and Teti, R. (2023). Fuzzy neural network-based process monitoring for advanced manufacturing. CIRP Annals - Manufacturing Technology, 72(1), 369-372.</w:t>
      </w:r>
    </w:p>
    <w:p>
      <w:pPr>
        <w:jc w:val="left"/>
        <w:spacing w:after="120" w:line="360" w:lineRule="auto"/>
      </w:pPr>
      <w:r>
        <w:rPr/>
        <w:t xml:space="preserve">[29] Kusiak, A. (2018). Smart manufacturing. International Journal of Production Research, 56(1-2), 508-517.</w:t>
      </w:r>
    </w:p>
    <w:p>
      <w:pPr>
        <w:jc w:val="left"/>
        <w:spacing w:after="120" w:line="360" w:lineRule="auto"/>
      </w:pPr>
      <w:r>
        <w:rPr/>
        <w:t xml:space="preserve">[30] Breque, M., De Nul, L., and Petridis, A. (2021). Industry 5.0: Towards a sustainable, human-centric and resilient European industry. European Commission Research Report.</w:t>
      </w:r>
    </w:p>
    <w:p>
      <w:pPr>
        <w:jc w:val="left"/>
        <w:spacing w:after="120" w:line="360" w:lineRule="auto"/>
      </w:pPr>
      <w:r>
        <w:rPr/>
        <w:t xml:space="preserve">[31] Xia, K., Sacco, C., Kirkpatrick, M., Saidy, C., Nguyen, L., and Kircaliali, A. (2024). LLM-powered agentic frameworks for autonomous manufacturing programming. Journal of Intelligent Manufacturing, 35(4), 1567-1584.</w:t>
      </w:r>
    </w:p>
    <w:p>
      <w:pPr>
        <w:jc w:val="left"/>
        <w:spacing w:after="120" w:line="360" w:lineRule="auto"/>
      </w:pPr>
      <w:r>
        <w:rPr/>
        <w:t xml:space="preserve">[32] Leino, M., Pekkarinen, J., and Soukka, R. (2016). The role of laser additive manufacturing methods of metals in repair, refurbishment and remanufacturing. Physics Procedia, 83, 1422-1437.</w:t>
      </w:r>
    </w:p>
    <w:p>
      <w:pPr>
        <w:jc w:val="left"/>
        <w:spacing w:after="120" w:line="360" w:lineRule="auto"/>
      </w:pPr>
      <w:r>
        <w:rPr/>
        <w:t xml:space="preserve">[33] Nee, A.Y.C., Ong, S.K., Chryssolouris, G., and Mourtzis, D. (2012). Augmented reality applications in design and manufacturing. CIRP Annals, 61(2), 657-679.</w:t>
      </w:r>
    </w:p>
    <w:p>
      <w:pPr>
        <w:jc w:val="left"/>
        <w:spacing w:after="120" w:line="360" w:lineRule="auto"/>
      </w:pPr>
      <w:r>
        <w:rPr/>
        <w:t xml:space="preserve">[34] Ellen MacArthur Foundation. (2015). Towards a circular economy: Business rationale for an accelerated transition. EMF Report.</w:t>
      </w:r>
    </w:p>
    <w:p>
      <w:pPr>
        <w:jc w:val="left"/>
        <w:spacing w:after="120" w:line="360" w:lineRule="auto"/>
      </w:pPr>
      <w:r>
        <w:rPr/>
        <w:t xml:space="preserve">[35] Blomsma, F., Pieroni, M., Kravchenko, M., Pigosso, D.C.A., Hildenbrand, J., and Kristinsdottir, A.R. (2019). Developing a circular strategies framework for manufacturing companies. Journal of Cleaner Production, 238, 117957.</w:t>
      </w:r>
    </w:p>
    <w:p>
      <w:pPr>
        <w:jc w:val="left"/>
        <w:spacing w:after="120" w:line="360" w:lineRule="auto"/>
      </w:pPr>
      <w:r>
        <w:rPr/>
        <w:t xml:space="preserve">[36] Kirchherr, J., Reike, D., and Hekkert, M. (2017). Conceptualizing the circular economy: An analysis of 114 definitions. Resources, Conservation and Recycling, 127, 221-232.</w:t>
      </w:r>
    </w:p>
    <w:p>
      <w:pPr>
        <w:jc w:val="left"/>
        <w:spacing w:after="120" w:line="360" w:lineRule="auto"/>
      </w:pPr>
      <w:r>
        <w:rPr/>
        <w:t xml:space="preserve">[37] de Jesus, A. and Mendonca, S. (2018). Lost in transition? Drivers and barriers in the eco-innovation road to the circular economy. Ecological Economics, 145, 75-89.</w:t>
      </w:r>
    </w:p>
    <w:p>
      <w:pPr>
        <w:jc w:val="left"/>
        <w:spacing w:after="120" w:line="360" w:lineRule="auto"/>
      </w:pPr>
      <w:r>
        <w:rPr/>
        <w:t xml:space="preserve">[38] Katz-Gerro, T. and Lopez Sintas, J. (2024). Systemic lock-ins preventing circular transformation in high-technology manufacturing: Aerospace case studies. Journal of Industrial Ecology, 28(2), 456-472.</w:t>
      </w:r>
    </w:p>
    <w:p>
      <w:pPr>
        <w:jc w:val="left"/>
        <w:spacing w:after="120" w:line="360" w:lineRule="auto"/>
      </w:pPr>
      <w:r>
        <w:rPr/>
        <w:t xml:space="preserve">[39] Vanegas, P., Peeters, J.R., Cattrysse, D., Tecchio, P., Ardente, F., Mathieux, F., Dewulf, W., and Duflou, J.R. (2018). Ease of disassembly of products to support circular economy strategies. Resources, Conservation and Recycling, 135, 323-334.</w:t>
      </w:r>
    </w:p>
    <w:p>
      <w:pPr>
        <w:jc w:val="left"/>
        <w:spacing w:after="120" w:line="360" w:lineRule="auto"/>
      </w:pPr>
      <w:r>
        <w:rPr/>
        <w:t xml:space="preserve">[40] Jansen, M., Meisen, T., Plociennik, C., Berg, H., Pomp, A., and Windholz, W. (2023). Digital product passport: A systematic literature review. Sustainability, 15(14), 11093.</w:t>
      </w:r>
    </w:p>
    <w:p>
      <w:pPr>
        <w:jc w:val="left"/>
        <w:spacing w:after="120" w:line="360" w:lineRule="auto"/>
      </w:pPr>
      <w:r>
        <w:rPr/>
        <w:t xml:space="preserve">[41] Thompson, A., Maskery, I., and Leach, R.K. (2016). X-ray computed tomography for additive manufacturing: A review. Measurement Science and Technology, 27(7), 072001.</w:t>
      </w:r>
    </w:p>
    <w:p>
      <w:pPr>
        <w:jc w:val="left"/>
        <w:spacing w:after="120" w:line="360" w:lineRule="auto"/>
      </w:pPr>
      <w:r>
        <w:rPr/>
        <w:t xml:space="preserve">[42] Milios, L. (2018). Advancing to a circular economy: Three essential ingredients for a comprehensive policy mix. Sustainability Science, 13(3), 861-878.</w:t>
      </w:r>
    </w:p>
    <w:p>
      <w:pPr>
        <w:jc w:val="left"/>
        <w:spacing w:after="120" w:line="360" w:lineRule="auto"/>
      </w:pPr>
      <w:r>
        <w:rPr/>
        <w:t xml:space="preserve">[43] Tukker, A. (2015). Product services for a resource-efficient and circular economy: A review. Journal of Cleaner Production, 97, 76-91.</w:t>
      </w:r>
    </w:p>
    <w:sectPr>
      <w:pgSz w:w="12240" w:h="15840"/>
      <w:pgMar w:top="1440" w:right="1440" w:bottom="1440" w:left="144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style w:type="paragraph" w:styleId="Heading1">
    <w:name w:val="heading 1"/>
    <w:pPr>
      <w:spacing w:before="360" w:after="120"/>
    </w:pPr>
    <w:rPr>
      <w:b/>
      <w:sz w:val="32"/>
      <w:color w:val="1B4F72"/>
    </w:rPr>
  </w:style>
  <w:style w:type="paragraph" w:styleId="Heading2">
    <w:name w:val="heading 2"/>
    <w:pPr>
      <w:spacing w:before="240" w:after="120"/>
    </w:pPr>
    <w:rPr>
      <w:b/>
      <w:sz w:val="28"/>
      <w:color w:val="2E86C1"/>
    </w:rPr>
  </w:style>
  <w:style w:type="paragraph" w:styleId="Heading3">
    <w:name w:val="heading 3"/>
    <w:pPr>
      <w:spacing w:before="200" w:after="100"/>
    </w:pPr>
    <w:rPr>
      <w:b/>
      <w:sz w:val="24"/>
      <w:color w:val="1A5276"/>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11" Type="http://schemas.openxmlformats.org/officeDocument/2006/relationships/image" Target="media/image1.png"/>
  <Relationship Id="rId12" Type="http://schemas.openxmlformats.org/officeDocument/2006/relationships/image" Target="media/image2.png"/>
  <Relationship Id="rId13" Type="http://schemas.openxmlformats.org/officeDocument/2006/relationships/image" Target="media/image3.png"/>
  <Relationship Id="rId14" Type="http://schemas.openxmlformats.org/officeDocument/2006/relationships/image" Target="media/image4.png"/>
</Relationships>
</file>