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jc w:val="center"/>
      </w:pPr>
      <w:r>
        <w:rPr>
          <w:sz w:val="24"/>
          <w:szCs w:val="24"/>
          <w:rFonts w:ascii="Times New Roman" w:hAnsi="Times New Roman"/>
        </w:rPr>
        <w:t xml:space="preserve">3. Governing Equations and Modelling</w:t>
      </w:r>
    </w:p>
    <w:p>
      <w:pPr>
        <w:jc w:val="both"/>
      </w:pPr>
      <w:r>
        <w:rPr>
          <w:sz w:val="24"/>
          <w:szCs w:val="24"/>
          <w:rFonts w:ascii="Times New Roman" w:hAnsi="Times New Roman"/>
        </w:rPr>
        <w:t xml:space="preserve">The thermal-hydraulic behaviour of the water-based Al₂O₃-TiO₂-CuO ternary hybrid nanofluid (THNF) flowing through the rectangular flat-tube heat exchanger was evaluated using the conservation of mass and energy, together with standard dimensionless heat-transfer and flow-resistance parameters. The experimental configuration consisted of an aluminium flat-tube channel of length L = 800 mm, width W = 40 mm, and height H = 3 mm, giving a hydraulic diameter of approximately 5.58 mm. A uniform heat flux of q″ = 5000 W m⁻² was imposed on the test section.</w:t>
      </w:r>
    </w:p>
    <w:p>
      <w:pPr>
        <w:pStyle w:val="Heading2"/>
        <w:jc w:val="left"/>
      </w:pPr>
      <w:r>
        <w:rPr>
          <w:b/>
          <w:sz w:val="28"/>
          <w:szCs w:val="28"/>
          <w:rFonts w:ascii="Times New Roman" w:hAnsi="Times New Roman"/>
        </w:rPr>
        <w:t xml:space="preserve">3.1 Thermophysical and Flow Model</w:t>
      </w:r>
    </w:p>
    <w:p>
      <w:pPr>
        <w:jc w:val="both"/>
      </w:pPr>
      <w:r>
        <w:rPr>
          <w:sz w:val="24"/>
          <w:szCs w:val="24"/>
          <w:rFonts w:ascii="Times New Roman" w:hAnsi="Times New Roman"/>
        </w:rPr>
        <w:t xml:space="preserve">The total nanoparticle volume fraction of the ternary hybrid nanofluid is defined as the ratio of the combined nanoparticle volume to the total suspension volume:</w:t>
      </w:r>
    </w:p>
    <w:p>
      <w:pPr>
        <w:tabs>
          <w:tab w:val="right" w:pos="9360"/>
        </w:tabs>
        <w:spacing w:before="60" w:after="60"/>
        <w:jc w:val="left"/>
      </w:pPr>
      <w:r>
        <w:rPr>
          <w:i/>
          <w:sz w:val="24"/>
          <w:szCs w:val="24"/>
          <w:rFonts w:ascii="Times New Roman" w:hAnsi="Times New Roman"/>
        </w:rPr>
        <w:t xml:space="preserve">φ = (V_Al₂O₃ + V_TiO₂ + V_CuO) / (V_Al₂O₃ + V_TiO₂ + V_CuO + V_bf)</w:t>
      </w:r>
      <w:r>
        <w:tab/>
      </w:r>
      <w:r>
        <w:rPr>
          <w:sz w:val="24"/>
          <w:szCs w:val="24"/>
          <w:rFonts w:ascii="Times New Roman" w:hAnsi="Times New Roman"/>
        </w:rPr>
        <w:t xml:space="preserve">(1)</w:t>
      </w:r>
    </w:p>
    <w:p>
      <w:pPr>
        <w:jc w:val="both"/>
      </w:pPr>
      <w:r>
        <w:rPr>
          <w:sz w:val="24"/>
          <w:szCs w:val="24"/>
          <w:rFonts w:ascii="Times New Roman" w:hAnsi="Times New Roman"/>
        </w:rPr>
        <w:t xml:space="preserve">where V_Al₂O₃, V_TiO₂, and V_CuO are the volumes of the three nanoparticles and V_bf is the volume of the base fluid. The present investigation considers total nanoparticle concentrations between 0.05 and 0.20 vol.%.</w:t>
      </w:r>
    </w:p>
    <w:p>
      <w:pPr>
        <w:jc w:val="both"/>
      </w:pPr>
      <w:r>
        <w:rPr>
          <w:sz w:val="24"/>
          <w:szCs w:val="24"/>
          <w:rFonts w:ascii="Times New Roman" w:hAnsi="Times New Roman"/>
        </w:rPr>
        <w:t xml:space="preserve">The flow cross-sectional area of the rectangular flat tube is given by:</w:t>
      </w:r>
    </w:p>
    <w:p>
      <w:pPr>
        <w:tabs>
          <w:tab w:val="right" w:pos="9360"/>
        </w:tabs>
        <w:spacing w:before="60" w:after="60"/>
        <w:jc w:val="left"/>
      </w:pPr>
      <w:r>
        <w:rPr>
          <w:i/>
          <w:sz w:val="24"/>
          <w:szCs w:val="24"/>
          <w:rFonts w:ascii="Times New Roman" w:hAnsi="Times New Roman"/>
        </w:rPr>
        <w:t xml:space="preserve">A_c = W H</w:t>
      </w:r>
      <w:r>
        <w:tab/>
      </w:r>
      <w:r>
        <w:rPr>
          <w:sz w:val="24"/>
          <w:szCs w:val="24"/>
          <w:rFonts w:ascii="Times New Roman" w:hAnsi="Times New Roman"/>
        </w:rPr>
        <w:t xml:space="preserve">(2)</w:t>
      </w:r>
    </w:p>
    <w:p>
      <w:pPr>
        <w:jc w:val="both"/>
      </w:pPr>
      <w:r>
        <w:rPr>
          <w:sz w:val="24"/>
          <w:szCs w:val="24"/>
          <w:rFonts w:ascii="Times New Roman" w:hAnsi="Times New Roman"/>
        </w:rPr>
        <w:t xml:space="preserve">and the corresponding wetted perimeter is:</w:t>
      </w:r>
    </w:p>
    <w:p>
      <w:pPr>
        <w:tabs>
          <w:tab w:val="right" w:pos="9360"/>
        </w:tabs>
        <w:spacing w:before="60" w:after="60"/>
        <w:jc w:val="left"/>
      </w:pPr>
      <w:r>
        <w:rPr>
          <w:i/>
          <w:sz w:val="24"/>
          <w:szCs w:val="24"/>
          <w:rFonts w:ascii="Times New Roman" w:hAnsi="Times New Roman"/>
        </w:rPr>
        <w:t xml:space="preserve">P_w = 2(W + H)</w:t>
      </w:r>
      <w:r>
        <w:tab/>
      </w:r>
      <w:r>
        <w:rPr>
          <w:sz w:val="24"/>
          <w:szCs w:val="24"/>
          <w:rFonts w:ascii="Times New Roman" w:hAnsi="Times New Roman"/>
        </w:rPr>
        <w:t xml:space="preserve">(3)</w:t>
      </w:r>
    </w:p>
    <w:p>
      <w:pPr>
        <w:jc w:val="both"/>
      </w:pPr>
      <w:r>
        <w:rPr>
          <w:sz w:val="24"/>
          <w:szCs w:val="24"/>
          <w:rFonts w:ascii="Times New Roman" w:hAnsi="Times New Roman"/>
        </w:rPr>
        <w:t xml:space="preserve">The hydraulic diameter follows directly as:</w:t>
      </w:r>
    </w:p>
    <w:p>
      <w:pPr>
        <w:tabs>
          <w:tab w:val="right" w:pos="9360"/>
        </w:tabs>
        <w:spacing w:before="60" w:after="60"/>
        <w:jc w:val="left"/>
      </w:pPr>
      <w:r>
        <w:rPr>
          <w:i/>
          <w:sz w:val="24"/>
          <w:szCs w:val="24"/>
          <w:rFonts w:ascii="Times New Roman" w:hAnsi="Times New Roman"/>
        </w:rPr>
        <w:t xml:space="preserve">D_h = 4 A_c / P_w</w:t>
      </w:r>
      <w:r>
        <w:tab/>
      </w:r>
      <w:r>
        <w:rPr>
          <w:sz w:val="24"/>
          <w:szCs w:val="24"/>
          <w:rFonts w:ascii="Times New Roman" w:hAnsi="Times New Roman"/>
        </w:rPr>
        <w:t xml:space="preserve">(4)</w:t>
      </w:r>
    </w:p>
    <w:p>
      <w:pPr>
        <w:jc w:val="both"/>
      </w:pPr>
      <w:r>
        <w:rPr>
          <w:sz w:val="24"/>
          <w:szCs w:val="24"/>
          <w:rFonts w:ascii="Times New Roman" w:hAnsi="Times New Roman"/>
        </w:rPr>
        <w:t xml:space="preserve">which, for a rectangular cross-section, reduces to:</w:t>
      </w:r>
    </w:p>
    <w:p>
      <w:pPr>
        <w:tabs>
          <w:tab w:val="right" w:pos="9360"/>
        </w:tabs>
        <w:spacing w:before="60" w:after="60"/>
        <w:jc w:val="left"/>
      </w:pPr>
      <w:r>
        <w:rPr>
          <w:i/>
          <w:sz w:val="24"/>
          <w:szCs w:val="24"/>
          <w:rFonts w:ascii="Times New Roman" w:hAnsi="Times New Roman"/>
        </w:rPr>
        <w:t xml:space="preserve">D_h = 2 W H / (W + H)</w:t>
      </w:r>
      <w:r>
        <w:tab/>
      </w:r>
      <w:r>
        <w:rPr>
          <w:sz w:val="24"/>
          <w:szCs w:val="24"/>
          <w:rFonts w:ascii="Times New Roman" w:hAnsi="Times New Roman"/>
        </w:rPr>
        <w:t xml:space="preserve">(5)</w:t>
      </w:r>
    </w:p>
    <w:p>
      <w:pPr>
        <w:jc w:val="both"/>
      </w:pPr>
      <w:r>
        <w:rPr>
          <w:sz w:val="24"/>
          <w:szCs w:val="24"/>
          <w:rFonts w:ascii="Times New Roman" w:hAnsi="Times New Roman"/>
        </w:rPr>
        <w:t xml:space="preserve">For the present geometry this yields D_h ≈ 5.58 mm and an aspect ratio of W/H ≈ 13.3.</w:t>
      </w:r>
    </w:p>
    <w:p>
      <w:pPr>
        <w:jc w:val="both"/>
      </w:pPr>
      <w:r>
        <w:rPr>
          <w:sz w:val="24"/>
          <w:szCs w:val="24"/>
          <w:rFonts w:ascii="Times New Roman" w:hAnsi="Times New Roman"/>
        </w:rPr>
        <w:t xml:space="preserve">The mean velocity of the working fluid is obtained from the measured mass flow rate as:</w:t>
      </w:r>
    </w:p>
    <w:p>
      <w:pPr>
        <w:tabs>
          <w:tab w:val="right" w:pos="9360"/>
        </w:tabs>
        <w:spacing w:before="60" w:after="60"/>
        <w:jc w:val="left"/>
      </w:pPr>
      <w:r>
        <w:rPr>
          <w:i/>
          <w:sz w:val="24"/>
          <w:szCs w:val="24"/>
          <w:rFonts w:ascii="Times New Roman" w:hAnsi="Times New Roman"/>
        </w:rPr>
        <w:t xml:space="preserve">u_m = ṁ / (ρ A_c)</w:t>
      </w:r>
      <w:r>
        <w:tab/>
      </w:r>
      <w:r>
        <w:rPr>
          <w:sz w:val="24"/>
          <w:szCs w:val="24"/>
          <w:rFonts w:ascii="Times New Roman" w:hAnsi="Times New Roman"/>
        </w:rPr>
        <w:t xml:space="preserve">(6)</w:t>
      </w:r>
    </w:p>
    <w:p>
      <w:pPr>
        <w:jc w:val="both"/>
      </w:pPr>
      <w:r>
        <w:rPr>
          <w:sz w:val="24"/>
          <w:szCs w:val="24"/>
          <w:rFonts w:ascii="Times New Roman" w:hAnsi="Times New Roman"/>
        </w:rPr>
        <w:t xml:space="preserve">where ṁ is the mass flow rate and ρ is the density of the THNF.</w:t>
      </w:r>
    </w:p>
    <w:p>
      <w:pPr>
        <w:jc w:val="both"/>
      </w:pPr>
      <w:r>
        <w:rPr>
          <w:sz w:val="24"/>
          <w:szCs w:val="24"/>
          <w:rFonts w:ascii="Times New Roman" w:hAnsi="Times New Roman"/>
        </w:rPr>
        <w:t xml:space="preserve">The Reynolds number, which characterises the flow regime, is defined as:</w:t>
      </w:r>
    </w:p>
    <w:p>
      <w:pPr>
        <w:tabs>
          <w:tab w:val="right" w:pos="9360"/>
        </w:tabs>
        <w:spacing w:before="60" w:after="60"/>
        <w:jc w:val="left"/>
      </w:pPr>
      <w:r>
        <w:rPr>
          <w:i/>
          <w:sz w:val="24"/>
          <w:szCs w:val="24"/>
          <w:rFonts w:ascii="Times New Roman" w:hAnsi="Times New Roman"/>
        </w:rPr>
        <w:t xml:space="preserve">Re = ρ u_m D_h / μ</w:t>
      </w:r>
      <w:r>
        <w:tab/>
      </w:r>
      <w:r>
        <w:rPr>
          <w:sz w:val="24"/>
          <w:szCs w:val="24"/>
          <w:rFonts w:ascii="Times New Roman" w:hAnsi="Times New Roman"/>
        </w:rPr>
        <w:t xml:space="preserve">(7)</w:t>
      </w:r>
    </w:p>
    <w:p>
      <w:pPr>
        <w:jc w:val="both"/>
      </w:pPr>
      <w:r>
        <w:rPr>
          <w:sz w:val="24"/>
          <w:szCs w:val="24"/>
          <w:rFonts w:ascii="Times New Roman" w:hAnsi="Times New Roman"/>
        </w:rPr>
        <w:t xml:space="preserve">where μ is the dynamic viscosity of the THNF. All experiments were conducted under turbulent-flow conditions in the range Re = 4000-16000.</w:t>
      </w:r>
    </w:p>
    <w:p>
      <w:pPr>
        <w:jc w:val="both"/>
      </w:pPr>
      <w:r>
        <w:rPr>
          <w:sz w:val="24"/>
          <w:szCs w:val="24"/>
          <w:rFonts w:ascii="Times New Roman" w:hAnsi="Times New Roman"/>
        </w:rPr>
        <w:t xml:space="preserve">The bulk mean temperature of the fluid is approximated by the arithmetic mean of the inlet and outlet temperatures:</w:t>
      </w:r>
    </w:p>
    <w:p>
      <w:pPr>
        <w:tabs>
          <w:tab w:val="right" w:pos="9360"/>
        </w:tabs>
        <w:spacing w:before="60" w:after="60"/>
        <w:jc w:val="left"/>
      </w:pPr>
      <w:r>
        <w:rPr>
          <w:i/>
          <w:sz w:val="24"/>
          <w:szCs w:val="24"/>
          <w:rFonts w:ascii="Times New Roman" w:hAnsi="Times New Roman"/>
        </w:rPr>
        <w:t xml:space="preserve">T_b = (T_in + T_out) / 2</w:t>
      </w:r>
      <w:r>
        <w:tab/>
      </w:r>
      <w:r>
        <w:rPr>
          <w:sz w:val="24"/>
          <w:szCs w:val="24"/>
          <w:rFonts w:ascii="Times New Roman" w:hAnsi="Times New Roman"/>
        </w:rPr>
        <w:t xml:space="preserve">(8)</w:t>
      </w:r>
    </w:p>
    <w:p>
      <w:pPr>
        <w:jc w:val="both"/>
      </w:pPr>
      <w:r>
        <w:rPr>
          <w:sz w:val="24"/>
          <w:szCs w:val="24"/>
          <w:rFonts w:ascii="Times New Roman" w:hAnsi="Times New Roman"/>
        </w:rPr>
        <w:t xml:space="preserve">where T_in and T_out are the measured inlet and outlet temperatures, respectively. The temperature-dependent thermophysical properties were evaluated over the experimental range of 30-60 °C.</w:t>
      </w:r>
    </w:p>
    <w:p>
      <w:pPr>
        <w:pStyle w:val="Heading2"/>
        <w:jc w:val="left"/>
      </w:pPr>
      <w:r>
        <w:rPr>
          <w:b/>
          <w:sz w:val="28"/>
          <w:szCs w:val="28"/>
          <w:rFonts w:ascii="Times New Roman" w:hAnsi="Times New Roman"/>
        </w:rPr>
        <w:t xml:space="preserve">3.2 Energy Balance and Heat-Transfer Model</w:t>
      </w:r>
    </w:p>
    <w:p>
      <w:pPr>
        <w:jc w:val="both"/>
      </w:pPr>
      <w:r>
        <w:rPr>
          <w:sz w:val="24"/>
          <w:szCs w:val="24"/>
          <w:rFonts w:ascii="Times New Roman" w:hAnsi="Times New Roman"/>
        </w:rPr>
        <w:t xml:space="preserve">Under steady-state conditions, the heat transferred to the THNF is determined from the measured mass flow rate and temperature rise:</w:t>
      </w:r>
    </w:p>
    <w:p>
      <w:pPr>
        <w:tabs>
          <w:tab w:val="right" w:pos="9360"/>
        </w:tabs>
        <w:spacing w:before="60" w:after="60"/>
        <w:jc w:val="left"/>
      </w:pPr>
      <w:r>
        <w:rPr>
          <w:i/>
          <w:sz w:val="24"/>
          <w:szCs w:val="24"/>
          <w:rFonts w:ascii="Times New Roman" w:hAnsi="Times New Roman"/>
        </w:rPr>
        <w:t xml:space="preserve">Q̇ = ṁ C_p (T_out - T_in)</w:t>
      </w:r>
      <w:r>
        <w:tab/>
      </w:r>
      <w:r>
        <w:rPr>
          <w:sz w:val="24"/>
          <w:szCs w:val="24"/>
          <w:rFonts w:ascii="Times New Roman" w:hAnsi="Times New Roman"/>
        </w:rPr>
        <w:t xml:space="preserve">(9)</w:t>
      </w:r>
    </w:p>
    <w:p>
      <w:pPr>
        <w:jc w:val="both"/>
      </w:pPr>
      <w:r>
        <w:rPr>
          <w:sz w:val="24"/>
          <w:szCs w:val="24"/>
          <w:rFonts w:ascii="Times New Roman" w:hAnsi="Times New Roman"/>
        </w:rPr>
        <w:t xml:space="preserve">where C_p is the specific heat capacity of the THNF.</w:t>
      </w:r>
    </w:p>
    <w:p>
      <w:pPr>
        <w:jc w:val="both"/>
      </w:pPr>
      <w:r>
        <w:rPr>
          <w:sz w:val="24"/>
          <w:szCs w:val="24"/>
          <w:rFonts w:ascii="Times New Roman" w:hAnsi="Times New Roman"/>
        </w:rPr>
        <w:t xml:space="preserve">For the constant heat-flux boundary condition, the applied heat flux relates to the heat-transfer rate through:</w:t>
      </w:r>
    </w:p>
    <w:p>
      <w:pPr>
        <w:tabs>
          <w:tab w:val="right" w:pos="9360"/>
        </w:tabs>
        <w:spacing w:before="60" w:after="60"/>
        <w:jc w:val="left"/>
      </w:pPr>
      <w:r>
        <w:rPr>
          <w:i/>
          <w:sz w:val="24"/>
          <w:szCs w:val="24"/>
          <w:rFonts w:ascii="Times New Roman" w:hAnsi="Times New Roman"/>
        </w:rPr>
        <w:t xml:space="preserve">q″ = Q̇ / A_s</w:t>
      </w:r>
      <w:r>
        <w:tab/>
      </w:r>
      <w:r>
        <w:rPr>
          <w:sz w:val="24"/>
          <w:szCs w:val="24"/>
          <w:rFonts w:ascii="Times New Roman" w:hAnsi="Times New Roman"/>
        </w:rPr>
        <w:t xml:space="preserve">(10)</w:t>
      </w:r>
    </w:p>
    <w:p>
      <w:pPr>
        <w:jc w:val="both"/>
      </w:pPr>
      <w:r>
        <w:rPr>
          <w:sz w:val="24"/>
          <w:szCs w:val="24"/>
          <w:rFonts w:ascii="Times New Roman" w:hAnsi="Times New Roman"/>
        </w:rPr>
        <w:t xml:space="preserve">where A_s is the effective heat-transfer surface area, and the experimental heat flux was maintained at 5000 W m⁻². For the rectangular flat-tube test section, this area is expressed as:</w:t>
      </w:r>
    </w:p>
    <w:p>
      <w:pPr>
        <w:tabs>
          <w:tab w:val="right" w:pos="9360"/>
        </w:tabs>
        <w:spacing w:before="60" w:after="60"/>
        <w:jc w:val="left"/>
      </w:pPr>
      <w:r>
        <w:rPr>
          <w:i/>
          <w:sz w:val="24"/>
          <w:szCs w:val="24"/>
          <w:rFonts w:ascii="Times New Roman" w:hAnsi="Times New Roman"/>
        </w:rPr>
        <w:t xml:space="preserve">A_s = 2(W + H) L</w:t>
      </w:r>
      <w:r>
        <w:tab/>
      </w:r>
      <w:r>
        <w:rPr>
          <w:sz w:val="24"/>
          <w:szCs w:val="24"/>
          <w:rFonts w:ascii="Times New Roman" w:hAnsi="Times New Roman"/>
        </w:rPr>
        <w:t xml:space="preserve">(11)</w:t>
      </w:r>
    </w:p>
    <w:p>
      <w:pPr>
        <w:jc w:val="both"/>
      </w:pPr>
      <w:r>
        <w:rPr>
          <w:sz w:val="24"/>
          <w:szCs w:val="24"/>
          <w:rFonts w:ascii="Times New Roman" w:hAnsi="Times New Roman"/>
        </w:rPr>
        <w:t xml:space="preserve">The average convective heat-transfer coefficient is then calculated from:</w:t>
      </w:r>
    </w:p>
    <w:p>
      <w:pPr>
        <w:tabs>
          <w:tab w:val="right" w:pos="9360"/>
        </w:tabs>
        <w:spacing w:before="60" w:after="60"/>
        <w:jc w:val="left"/>
      </w:pPr>
      <w:r>
        <w:rPr>
          <w:i/>
          <w:sz w:val="24"/>
          <w:szCs w:val="24"/>
          <w:rFonts w:ascii="Times New Roman" w:hAnsi="Times New Roman"/>
        </w:rPr>
        <w:t xml:space="preserve">h = Q̇ / [A_s (T_w - T_b)]</w:t>
      </w:r>
      <w:r>
        <w:tab/>
      </w:r>
      <w:r>
        <w:rPr>
          <w:sz w:val="24"/>
          <w:szCs w:val="24"/>
          <w:rFonts w:ascii="Times New Roman" w:hAnsi="Times New Roman"/>
        </w:rPr>
        <w:t xml:space="preserve">(12)</w:t>
      </w:r>
    </w:p>
    <w:p>
      <w:pPr>
        <w:jc w:val="both"/>
      </w:pPr>
      <w:r>
        <w:rPr>
          <w:sz w:val="24"/>
          <w:szCs w:val="24"/>
          <w:rFonts w:ascii="Times New Roman" w:hAnsi="Times New Roman"/>
        </w:rPr>
        <w:t xml:space="preserve">where T_w is the mean wall temperature and T_b is the bulk fluid temperature. The corresponding Nusselt number is:</w:t>
      </w:r>
    </w:p>
    <w:p>
      <w:pPr>
        <w:tabs>
          <w:tab w:val="right" w:pos="9360"/>
        </w:tabs>
        <w:spacing w:before="60" w:after="60"/>
        <w:jc w:val="left"/>
      </w:pPr>
      <w:r>
        <w:rPr>
          <w:i/>
          <w:sz w:val="24"/>
          <w:szCs w:val="24"/>
          <w:rFonts w:ascii="Times New Roman" w:hAnsi="Times New Roman"/>
        </w:rPr>
        <w:t xml:space="preserve">Nu = h D_h / k</w:t>
      </w:r>
      <w:r>
        <w:tab/>
      </w:r>
      <w:r>
        <w:rPr>
          <w:sz w:val="24"/>
          <w:szCs w:val="24"/>
          <w:rFonts w:ascii="Times New Roman" w:hAnsi="Times New Roman"/>
        </w:rPr>
        <w:t xml:space="preserve">(13)</w:t>
      </w:r>
    </w:p>
    <w:p>
      <w:pPr>
        <w:jc w:val="both"/>
      </w:pPr>
      <w:r>
        <w:rPr>
          <w:sz w:val="24"/>
          <w:szCs w:val="24"/>
          <w:rFonts w:ascii="Times New Roman" w:hAnsi="Times New Roman"/>
        </w:rPr>
        <w:t xml:space="preserve">where k is the thermal conductivity of the THNF.</w:t>
      </w:r>
    </w:p>
    <w:p>
      <w:pPr>
        <w:jc w:val="both"/>
      </w:pPr>
      <w:r>
        <w:rPr>
          <w:sz w:val="24"/>
          <w:szCs w:val="24"/>
          <w:rFonts w:ascii="Times New Roman" w:hAnsi="Times New Roman"/>
        </w:rPr>
        <w:t xml:space="preserve">The percentage enhancement in heat-transfer coefficient relative to the base fluid is evaluated as:</w:t>
      </w:r>
    </w:p>
    <w:p>
      <w:pPr>
        <w:tabs>
          <w:tab w:val="right" w:pos="9360"/>
        </w:tabs>
        <w:spacing w:before="60" w:after="60"/>
        <w:jc w:val="left"/>
      </w:pPr>
      <w:r>
        <w:rPr>
          <w:i/>
          <w:sz w:val="24"/>
          <w:szCs w:val="24"/>
          <w:rFonts w:ascii="Times New Roman" w:hAnsi="Times New Roman"/>
        </w:rPr>
        <w:t xml:space="preserve">%Enh_h = [(h_THNF - h_bf) / h_bf] × 100</w:t>
      </w:r>
      <w:r>
        <w:tab/>
      </w:r>
      <w:r>
        <w:rPr>
          <w:sz w:val="24"/>
          <w:szCs w:val="24"/>
          <w:rFonts w:ascii="Times New Roman" w:hAnsi="Times New Roman"/>
        </w:rPr>
        <w:t xml:space="preserve">(14)</w:t>
      </w:r>
    </w:p>
    <w:p>
      <w:pPr>
        <w:jc w:val="both"/>
      </w:pPr>
      <w:r>
        <w:rPr>
          <w:sz w:val="24"/>
          <w:szCs w:val="24"/>
          <w:rFonts w:ascii="Times New Roman" w:hAnsi="Times New Roman"/>
        </w:rPr>
        <w:t xml:space="preserve">and, similarly, the Nusselt-number enhancement is:</w:t>
      </w:r>
    </w:p>
    <w:p>
      <w:pPr>
        <w:tabs>
          <w:tab w:val="right" w:pos="9360"/>
        </w:tabs>
        <w:spacing w:before="60" w:after="60"/>
        <w:jc w:val="left"/>
      </w:pPr>
      <w:r>
        <w:rPr>
          <w:i/>
          <w:sz w:val="24"/>
          <w:szCs w:val="24"/>
          <w:rFonts w:ascii="Times New Roman" w:hAnsi="Times New Roman"/>
        </w:rPr>
        <w:t xml:space="preserve">%Enh_Nu = [(Nu_THNF - Nu_bf) / Nu_bf] × 100</w:t>
      </w:r>
      <w:r>
        <w:tab/>
      </w:r>
      <w:r>
        <w:rPr>
          <w:sz w:val="24"/>
          <w:szCs w:val="24"/>
          <w:rFonts w:ascii="Times New Roman" w:hAnsi="Times New Roman"/>
        </w:rPr>
        <w:t xml:space="preserve">(15)</w:t>
      </w:r>
    </w:p>
    <w:p>
      <w:pPr>
        <w:jc w:val="both"/>
      </w:pPr>
      <w:r>
        <w:rPr>
          <w:sz w:val="24"/>
          <w:szCs w:val="24"/>
          <w:rFonts w:ascii="Times New Roman" w:hAnsi="Times New Roman"/>
        </w:rPr>
        <w:t xml:space="preserve">The experimental results show that the highest THNF concentration and Reynolds number produced improvements of approximately 13.6 % in Nusselt number and 25.5 % in heat-transfer coefficient relative to deionised water.</w:t>
      </w:r>
    </w:p>
    <w:p>
      <w:pPr>
        <w:pStyle w:val="Heading2"/>
        <w:jc w:val="left"/>
      </w:pPr>
      <w:r>
        <w:rPr>
          <w:b/>
          <w:sz w:val="28"/>
          <w:szCs w:val="28"/>
          <w:rFonts w:ascii="Times New Roman" w:hAnsi="Times New Roman"/>
        </w:rPr>
        <w:t xml:space="preserve">3.3 Pressure Drop and Friction Factor Model</w:t>
      </w:r>
    </w:p>
    <w:p>
      <w:pPr>
        <w:jc w:val="both"/>
      </w:pPr>
      <w:r>
        <w:rPr>
          <w:sz w:val="24"/>
          <w:szCs w:val="24"/>
          <w:rFonts w:ascii="Times New Roman" w:hAnsi="Times New Roman"/>
        </w:rPr>
        <w:t xml:space="preserve">The hydraulic resistance of the flat-tube channel was quantified from the pressure drop measured across the test section. The Darcy friction factor is calculated as:</w:t>
      </w:r>
    </w:p>
    <w:p>
      <w:pPr>
        <w:tabs>
          <w:tab w:val="right" w:pos="9360"/>
        </w:tabs>
        <w:spacing w:before="60" w:after="60"/>
        <w:jc w:val="left"/>
      </w:pPr>
      <w:r>
        <w:rPr>
          <w:i/>
          <w:sz w:val="24"/>
          <w:szCs w:val="24"/>
          <w:rFonts w:ascii="Times New Roman" w:hAnsi="Times New Roman"/>
        </w:rPr>
        <w:t xml:space="preserve">f = 2 ΔP D_h / (ρ u_m² L)</w:t>
      </w:r>
      <w:r>
        <w:tab/>
      </w:r>
      <w:r>
        <w:rPr>
          <w:sz w:val="24"/>
          <w:szCs w:val="24"/>
          <w:rFonts w:ascii="Times New Roman" w:hAnsi="Times New Roman"/>
        </w:rPr>
        <w:t xml:space="preserve">(16)</w:t>
      </w:r>
    </w:p>
    <w:p>
      <w:pPr>
        <w:jc w:val="both"/>
      </w:pPr>
      <w:r>
        <w:rPr>
          <w:sz w:val="24"/>
          <w:szCs w:val="24"/>
          <w:rFonts w:ascii="Times New Roman" w:hAnsi="Times New Roman"/>
        </w:rPr>
        <w:t xml:space="preserve">where ΔP is the pressure drop between the inlet and outlet pressure taps and L is the test-section length; the differential pressure was recorded using the facility's pressure transducer.</w:t>
      </w:r>
    </w:p>
    <w:p>
      <w:pPr>
        <w:jc w:val="both"/>
      </w:pPr>
      <w:r>
        <w:rPr>
          <w:sz w:val="24"/>
          <w:szCs w:val="24"/>
          <w:rFonts w:ascii="Times New Roman" w:hAnsi="Times New Roman"/>
        </w:rPr>
        <w:t xml:space="preserve">The percentage increase in friction factor caused by nanoparticle addition is determined from:</w:t>
      </w:r>
    </w:p>
    <w:p>
      <w:pPr>
        <w:tabs>
          <w:tab w:val="right" w:pos="9360"/>
        </w:tabs>
        <w:spacing w:before="60" w:after="60"/>
        <w:jc w:val="left"/>
      </w:pPr>
      <w:r>
        <w:rPr>
          <w:i/>
          <w:sz w:val="24"/>
          <w:szCs w:val="24"/>
          <w:rFonts w:ascii="Times New Roman" w:hAnsi="Times New Roman"/>
        </w:rPr>
        <w:t xml:space="preserve">%Penalty_f = [(f_THNF - f_bf) / f_bf] × 100</w:t>
      </w:r>
      <w:r>
        <w:tab/>
      </w:r>
      <w:r>
        <w:rPr>
          <w:sz w:val="24"/>
          <w:szCs w:val="24"/>
          <w:rFonts w:ascii="Times New Roman" w:hAnsi="Times New Roman"/>
        </w:rPr>
        <w:t xml:space="preserve">(17)</w:t>
      </w:r>
    </w:p>
    <w:p>
      <w:pPr>
        <w:jc w:val="both"/>
      </w:pPr>
      <w:r>
        <w:rPr>
          <w:sz w:val="24"/>
          <w:szCs w:val="24"/>
          <w:rFonts w:ascii="Times New Roman" w:hAnsi="Times New Roman"/>
        </w:rPr>
        <w:t xml:space="preserve">The results indicate that increasing nanoparticle concentration raises the friction factor, with a maximum penalty of approximately 20-21 % at φ = 0.20 %.</w:t>
      </w:r>
    </w:p>
    <w:p>
      <w:pPr>
        <w:jc w:val="both"/>
      </w:pPr>
      <w:r>
        <w:rPr>
          <w:sz w:val="24"/>
          <w:szCs w:val="24"/>
          <w:rFonts w:ascii="Times New Roman" w:hAnsi="Times New Roman"/>
        </w:rPr>
        <w:t xml:space="preserve">The pumping power required to overcome the pressure loss is expressed as:</w:t>
      </w:r>
    </w:p>
    <w:p>
      <w:pPr>
        <w:tabs>
          <w:tab w:val="right" w:pos="9360"/>
        </w:tabs>
        <w:spacing w:before="60" w:after="60"/>
        <w:jc w:val="left"/>
      </w:pPr>
      <w:r>
        <w:rPr>
          <w:i/>
          <w:sz w:val="24"/>
          <w:szCs w:val="24"/>
          <w:rFonts w:ascii="Times New Roman" w:hAnsi="Times New Roman"/>
        </w:rPr>
        <w:t xml:space="preserve">P_p = ṁ ΔP / ρ</w:t>
      </w:r>
      <w:r>
        <w:tab/>
      </w:r>
      <w:r>
        <w:rPr>
          <w:sz w:val="24"/>
          <w:szCs w:val="24"/>
          <w:rFonts w:ascii="Times New Roman" w:hAnsi="Times New Roman"/>
        </w:rPr>
        <w:t xml:space="preserve">(18)</w:t>
      </w:r>
    </w:p>
    <w:p>
      <w:pPr>
        <w:jc w:val="both"/>
      </w:pPr>
      <w:r>
        <w:rPr>
          <w:sz w:val="24"/>
          <w:szCs w:val="24"/>
          <w:rFonts w:ascii="Times New Roman" w:hAnsi="Times New Roman"/>
        </w:rPr>
        <w:t xml:space="preserve">The thermal benefit of the THNF must therefore be assessed simultaneously with its associated hydraulic penalty.</w:t>
      </w:r>
    </w:p>
    <w:p>
      <w:pPr>
        <w:pStyle w:val="Heading2"/>
        <w:jc w:val="left"/>
      </w:pPr>
      <w:r>
        <w:rPr>
          <w:b/>
          <w:sz w:val="28"/>
          <w:szCs w:val="28"/>
          <w:rFonts w:ascii="Times New Roman" w:hAnsi="Times New Roman"/>
        </w:rPr>
        <w:t xml:space="preserve">3.4 Thermal-Hydraulic Performance</w:t>
      </w:r>
    </w:p>
    <w:p>
      <w:pPr>
        <w:jc w:val="both"/>
      </w:pPr>
      <w:r>
        <w:rPr>
          <w:sz w:val="24"/>
          <w:szCs w:val="24"/>
          <w:rFonts w:ascii="Times New Roman" w:hAnsi="Times New Roman"/>
        </w:rPr>
        <w:t xml:space="preserve">To evaluate the combined influence of heat-transfer enhancement and frictional losses, the thermal-hydraulic performance factor is defined as:</w:t>
      </w:r>
    </w:p>
    <w:p>
      <w:pPr>
        <w:tabs>
          <w:tab w:val="right" w:pos="9360"/>
        </w:tabs>
        <w:spacing w:before="60" w:after="60"/>
        <w:jc w:val="left"/>
      </w:pPr>
      <w:r>
        <w:rPr>
          <w:i/>
          <w:sz w:val="24"/>
          <w:szCs w:val="24"/>
          <w:rFonts w:ascii="Times New Roman" w:hAnsi="Times New Roman"/>
        </w:rPr>
        <w:t xml:space="preserve">η = (Nu_THNF / Nu_bf) / (f_THNF / f_bf)^(1/3)</w:t>
      </w:r>
      <w:r>
        <w:tab/>
      </w:r>
      <w:r>
        <w:rPr>
          <w:sz w:val="24"/>
          <w:szCs w:val="24"/>
          <w:rFonts w:ascii="Times New Roman" w:hAnsi="Times New Roman"/>
        </w:rPr>
        <w:t xml:space="preserve">(19)</w:t>
      </w:r>
    </w:p>
    <w:p>
      <w:pPr>
        <w:jc w:val="both"/>
      </w:pPr>
      <w:r>
        <w:rPr>
          <w:sz w:val="24"/>
          <w:szCs w:val="24"/>
          <w:rFonts w:ascii="Times New Roman" w:hAnsi="Times New Roman"/>
        </w:rPr>
        <w:t xml:space="preserve">where the subscripts THNF and bf denote the ternary hybrid nanofluid and the base fluid, respectively. A value of η &gt; 1 indicates that the improvement in heat transfer outweighs the additional hydraulic resistance. The present study reports a performance factor greater than unity throughout the investigated operating range, reaching a maximum of approximately 1.25.</w:t>
      </w:r>
    </w:p>
    <w:p>
      <w:pPr>
        <w:pStyle w:val="Heading2"/>
        <w:jc w:val="left"/>
      </w:pPr>
      <w:r>
        <w:rPr>
          <w:b/>
          <w:sz w:val="28"/>
          <w:szCs w:val="28"/>
          <w:rFonts w:ascii="Times New Roman" w:hAnsi="Times New Roman"/>
        </w:rPr>
        <w:t xml:space="preserve">3.5 Entropy Generation Model</w:t>
      </w:r>
    </w:p>
    <w:p>
      <w:pPr>
        <w:jc w:val="both"/>
      </w:pPr>
      <w:r>
        <w:rPr>
          <w:sz w:val="24"/>
          <w:szCs w:val="24"/>
          <w:rFonts w:ascii="Times New Roman" w:hAnsi="Times New Roman"/>
        </w:rPr>
        <w:t xml:space="preserve">A second-law analysis was employed to quantify the thermodynamic irreversibility arising from heat transfer and fluid friction. The total entropy generation rate is expressed as the sum of thermal and frictional contributions:</w:t>
      </w:r>
    </w:p>
    <w:p>
      <w:pPr>
        <w:tabs>
          <w:tab w:val="right" w:pos="9360"/>
        </w:tabs>
        <w:spacing w:before="60" w:after="60"/>
        <w:jc w:val="left"/>
      </w:pPr>
      <w:r>
        <w:rPr>
          <w:i/>
          <w:sz w:val="24"/>
          <w:szCs w:val="24"/>
          <w:rFonts w:ascii="Times New Roman" w:hAnsi="Times New Roman"/>
        </w:rPr>
        <w:t xml:space="preserve">S_gen = S_gen,T + S_gen,F</w:t>
      </w:r>
      <w:r>
        <w:tab/>
      </w:r>
      <w:r>
        <w:rPr>
          <w:sz w:val="24"/>
          <w:szCs w:val="24"/>
          <w:rFonts w:ascii="Times New Roman" w:hAnsi="Times New Roman"/>
        </w:rPr>
        <w:t xml:space="preserve">(20)</w:t>
      </w:r>
    </w:p>
    <w:p>
      <w:pPr>
        <w:jc w:val="both"/>
      </w:pPr>
      <w:r>
        <w:rPr>
          <w:sz w:val="24"/>
          <w:szCs w:val="24"/>
          <w:rFonts w:ascii="Times New Roman" w:hAnsi="Times New Roman"/>
        </w:rPr>
        <w:t xml:space="preserve">where S_gen,T and S_gen,F denote the thermal and frictional entropy-generation rates, respectively.</w:t>
      </w:r>
    </w:p>
    <w:p>
      <w:pPr>
        <w:jc w:val="both"/>
      </w:pPr>
      <w:r>
        <w:rPr>
          <w:sz w:val="24"/>
          <w:szCs w:val="24"/>
          <w:rFonts w:ascii="Times New Roman" w:hAnsi="Times New Roman"/>
        </w:rPr>
        <w:t xml:space="preserve">The thermal entropy-generation rate associated with finite-temperature heat transfer is calculated as:</w:t>
      </w:r>
    </w:p>
    <w:p>
      <w:pPr>
        <w:tabs>
          <w:tab w:val="right" w:pos="9360"/>
        </w:tabs>
        <w:spacing w:before="60" w:after="60"/>
        <w:jc w:val="left"/>
      </w:pPr>
      <w:r>
        <w:rPr>
          <w:i/>
          <w:sz w:val="24"/>
          <w:szCs w:val="24"/>
          <w:rFonts w:ascii="Times New Roman" w:hAnsi="Times New Roman"/>
        </w:rPr>
        <w:t xml:space="preserve">S_gen,T = Q̇² / (h A_s T_b²)</w:t>
      </w:r>
      <w:r>
        <w:tab/>
      </w:r>
      <w:r>
        <w:rPr>
          <w:sz w:val="24"/>
          <w:szCs w:val="24"/>
          <w:rFonts w:ascii="Times New Roman" w:hAnsi="Times New Roman"/>
        </w:rPr>
        <w:t xml:space="preserve">(21)</w:t>
      </w:r>
    </w:p>
    <w:p>
      <w:pPr>
        <w:jc w:val="both"/>
      </w:pPr>
      <w:r>
        <w:rPr>
          <w:sz w:val="24"/>
          <w:szCs w:val="24"/>
          <w:rFonts w:ascii="Times New Roman" w:hAnsi="Times New Roman"/>
        </w:rPr>
        <w:t xml:space="preserve">while the frictional entropy-generation rate resulting from pressure losses is given by:</w:t>
      </w:r>
    </w:p>
    <w:p>
      <w:pPr>
        <w:tabs>
          <w:tab w:val="right" w:pos="9360"/>
        </w:tabs>
        <w:spacing w:before="60" w:after="60"/>
        <w:jc w:val="left"/>
      </w:pPr>
      <w:r>
        <w:rPr>
          <w:i/>
          <w:sz w:val="24"/>
          <w:szCs w:val="24"/>
          <w:rFonts w:ascii="Times New Roman" w:hAnsi="Times New Roman"/>
        </w:rPr>
        <w:t xml:space="preserve">S_gen,F = ṁ ΔP / (ρ T_b)</w:t>
      </w:r>
      <w:r>
        <w:tab/>
      </w:r>
      <w:r>
        <w:rPr>
          <w:sz w:val="24"/>
          <w:szCs w:val="24"/>
          <w:rFonts w:ascii="Times New Roman" w:hAnsi="Times New Roman"/>
        </w:rPr>
        <w:t xml:space="preserve">(22)</w:t>
      </w:r>
    </w:p>
    <w:p>
      <w:pPr>
        <w:jc w:val="both"/>
      </w:pPr>
      <w:r>
        <w:rPr>
          <w:sz w:val="24"/>
          <w:szCs w:val="24"/>
          <w:rFonts w:ascii="Times New Roman" w:hAnsi="Times New Roman"/>
        </w:rPr>
        <w:t xml:space="preserve">Combining these contributions gives the total entropy-generation rate:</w:t>
      </w:r>
    </w:p>
    <w:p>
      <w:pPr>
        <w:tabs>
          <w:tab w:val="right" w:pos="9360"/>
        </w:tabs>
        <w:spacing w:before="60" w:after="60"/>
        <w:jc w:val="left"/>
      </w:pPr>
      <w:r>
        <w:rPr>
          <w:i/>
          <w:sz w:val="24"/>
          <w:szCs w:val="24"/>
          <w:rFonts w:ascii="Times New Roman" w:hAnsi="Times New Roman"/>
        </w:rPr>
        <w:t xml:space="preserve">S_gen = Q̇² / (h A_s T_b²) + ṁ ΔP / (ρ T_b)</w:t>
      </w:r>
      <w:r>
        <w:tab/>
      </w:r>
      <w:r>
        <w:rPr>
          <w:sz w:val="24"/>
          <w:szCs w:val="24"/>
          <w:rFonts w:ascii="Times New Roman" w:hAnsi="Times New Roman"/>
        </w:rPr>
        <w:t xml:space="preserve">(23)</w:t>
      </w:r>
    </w:p>
    <w:p>
      <w:pPr>
        <w:jc w:val="both"/>
      </w:pPr>
      <w:r>
        <w:rPr>
          <w:sz w:val="24"/>
          <w:szCs w:val="24"/>
          <w:rFonts w:ascii="Times New Roman" w:hAnsi="Times New Roman"/>
        </w:rPr>
        <w:t xml:space="preserve">This formulation allows the competing effects of improved heat transfer and increased viscous resistance to be quantified within a common second-law framework - a consideration that is particularly relevant to the present THNF, in which increasing nanoparticle concentration improves thermal performance while simultaneously increasing frictional losses.</w:t>
      </w:r>
    </w:p>
    <w:p>
      <w:pPr>
        <w:jc w:val="both"/>
      </w:pPr>
      <w:r>
        <w:rPr>
          <w:sz w:val="24"/>
          <w:szCs w:val="24"/>
          <w:rFonts w:ascii="Times New Roman" w:hAnsi="Times New Roman"/>
        </w:rPr>
        <w:t xml:space="preserve">The Bejan number is subsequently defined as the ratio of thermal entropy generation to total entropy generation:</w:t>
      </w:r>
    </w:p>
    <w:p>
      <w:pPr>
        <w:tabs>
          <w:tab w:val="right" w:pos="9360"/>
        </w:tabs>
        <w:spacing w:before="60" w:after="60"/>
        <w:jc w:val="left"/>
      </w:pPr>
      <w:r>
        <w:rPr>
          <w:i/>
          <w:sz w:val="24"/>
          <w:szCs w:val="24"/>
          <w:rFonts w:ascii="Times New Roman" w:hAnsi="Times New Roman"/>
        </w:rPr>
        <w:t xml:space="preserve">Be = S_gen,T / (S_gen,T + S_gen,F)</w:t>
      </w:r>
      <w:r>
        <w:tab/>
      </w:r>
      <w:r>
        <w:rPr>
          <w:sz w:val="24"/>
          <w:szCs w:val="24"/>
          <w:rFonts w:ascii="Times New Roman" w:hAnsi="Times New Roman"/>
        </w:rPr>
        <w:t xml:space="preserve">(24)</w:t>
      </w:r>
    </w:p>
    <w:p>
      <w:pPr>
        <w:jc w:val="both"/>
      </w:pPr>
      <w:r>
        <w:rPr>
          <w:sz w:val="24"/>
          <w:szCs w:val="24"/>
          <w:rFonts w:ascii="Times New Roman" w:hAnsi="Times New Roman"/>
        </w:rPr>
        <w:t xml:space="preserve">A high Bejan number indicates dominance of thermal irreversibility, whereas a low value indicates that frictional irreversibility prevails. The experimental results reveal a transition from thermal- to friction-dominated irreversibility as the Reynolds number increases.</w:t>
      </w:r>
    </w:p>
    <w:p>
      <w:pPr>
        <w:pStyle w:val="Heading2"/>
        <w:jc w:val="left"/>
      </w:pPr>
      <w:r>
        <w:rPr>
          <w:b/>
          <w:sz w:val="28"/>
          <w:szCs w:val="28"/>
          <w:rFonts w:ascii="Times New Roman" w:hAnsi="Times New Roman"/>
        </w:rPr>
        <w:t xml:space="preserve">3.6 Thermophysical Property Enhancement</w:t>
      </w:r>
    </w:p>
    <w:p>
      <w:pPr>
        <w:jc w:val="both"/>
      </w:pPr>
      <w:r>
        <w:rPr>
          <w:sz w:val="24"/>
          <w:szCs w:val="24"/>
          <w:rFonts w:ascii="Times New Roman" w:hAnsi="Times New Roman"/>
        </w:rPr>
        <w:t xml:space="preserve">The thermal-conductivity enhancement relative to the base fluid is calculated using:</w:t>
      </w:r>
    </w:p>
    <w:p>
      <w:pPr>
        <w:tabs>
          <w:tab w:val="right" w:pos="9360"/>
        </w:tabs>
        <w:spacing w:before="60" w:after="60"/>
        <w:jc w:val="left"/>
      </w:pPr>
      <w:r>
        <w:rPr>
          <w:i/>
          <w:sz w:val="24"/>
          <w:szCs w:val="24"/>
          <w:rFonts w:ascii="Times New Roman" w:hAnsi="Times New Roman"/>
        </w:rPr>
        <w:t xml:space="preserve">%Enh_k = [(k_THNF - k_bf) / k_bf] × 100</w:t>
      </w:r>
      <w:r>
        <w:tab/>
      </w:r>
      <w:r>
        <w:rPr>
          <w:sz w:val="24"/>
          <w:szCs w:val="24"/>
          <w:rFonts w:ascii="Times New Roman" w:hAnsi="Times New Roman"/>
        </w:rPr>
        <w:t xml:space="preserve">(25)</w:t>
      </w:r>
    </w:p>
    <w:p>
      <w:pPr>
        <w:jc w:val="both"/>
      </w:pPr>
      <w:r>
        <w:rPr>
          <w:sz w:val="24"/>
          <w:szCs w:val="24"/>
          <w:rFonts w:ascii="Times New Roman" w:hAnsi="Times New Roman"/>
        </w:rPr>
        <w:t xml:space="preserve">and the relative viscosity increase is expressed as:</w:t>
      </w:r>
    </w:p>
    <w:p>
      <w:pPr>
        <w:tabs>
          <w:tab w:val="right" w:pos="9360"/>
        </w:tabs>
        <w:spacing w:before="60" w:after="60"/>
        <w:jc w:val="left"/>
      </w:pPr>
      <w:r>
        <w:rPr>
          <w:i/>
          <w:sz w:val="24"/>
          <w:szCs w:val="24"/>
          <w:rFonts w:ascii="Times New Roman" w:hAnsi="Times New Roman"/>
        </w:rPr>
        <w:t xml:space="preserve">%Inc_μ = [(μ_THNF - μ_bf) / μ_bf] × 100</w:t>
      </w:r>
      <w:r>
        <w:tab/>
      </w:r>
      <w:r>
        <w:rPr>
          <w:sz w:val="24"/>
          <w:szCs w:val="24"/>
          <w:rFonts w:ascii="Times New Roman" w:hAnsi="Times New Roman"/>
        </w:rPr>
        <w:t xml:space="preserve">(26)</w:t>
      </w:r>
    </w:p>
    <w:p>
      <w:pPr>
        <w:jc w:val="both"/>
      </w:pPr>
      <w:r>
        <w:rPr>
          <w:sz w:val="24"/>
          <w:szCs w:val="24"/>
          <w:rFonts w:ascii="Times New Roman" w:hAnsi="Times New Roman"/>
        </w:rPr>
        <w:t xml:space="preserve">These parameters are particularly important because thermal conductivity directly influences the convective heat-transfer coefficient, whereas viscosity governs the Reynolds number, pressure drop, friction factor, and frictional entropy generation. The THNF thermal conductivity increases with both temperature and nanoparticle concentration, while the viscosity penalty diminishes at elevated temperatures.</w:t>
      </w:r>
    </w:p>
    <w:p>
      <w:pPr>
        <w:pStyle w:val="Heading2"/>
        <w:jc w:val="left"/>
      </w:pPr>
      <w:r>
        <w:rPr>
          <w:b/>
          <w:sz w:val="28"/>
          <w:szCs w:val="28"/>
          <w:rFonts w:ascii="Times New Roman" w:hAnsi="Times New Roman"/>
        </w:rPr>
        <w:t xml:space="preserve">3.7 Artificial Neural Network Modelling</w:t>
      </w:r>
    </w:p>
    <w:p>
      <w:pPr>
        <w:jc w:val="both"/>
      </w:pPr>
      <w:r>
        <w:rPr>
          <w:sz w:val="24"/>
          <w:szCs w:val="24"/>
          <w:rFonts w:ascii="Times New Roman" w:hAnsi="Times New Roman"/>
        </w:rPr>
        <w:t xml:space="preserve">In addition to the experimental data-reduction model, a feedforward artificial neural network (ANN) was developed to predict the principal thermal-hydraulic parameters. The network architecture comprises four input neurons, two hidden layers containing 10 and 8 neurons, respectively, and three output neurons (a 4-10-8-3 configuration). The four inputs are Reynolds number, nanoparticle volume fraction, inlet temperature, and mass flow rate, while the outputs are Nusselt number, friction factor, and heat-transfer coefficient.</w:t>
      </w:r>
    </w:p>
    <w:p>
      <w:pPr>
        <w:jc w:val="both"/>
      </w:pPr>
      <w:r>
        <w:rPr>
          <w:sz w:val="24"/>
          <w:szCs w:val="24"/>
          <w:rFonts w:ascii="Times New Roman" w:hAnsi="Times New Roman"/>
        </w:rPr>
        <w:t xml:space="preserve">The input vector is defined as:</w:t>
      </w:r>
    </w:p>
    <w:p>
      <w:pPr>
        <w:tabs>
          <w:tab w:val="right" w:pos="9360"/>
        </w:tabs>
        <w:spacing w:before="60" w:after="60"/>
        <w:jc w:val="left"/>
      </w:pPr>
      <w:r>
        <w:rPr>
          <w:i/>
          <w:sz w:val="24"/>
          <w:szCs w:val="24"/>
          <w:rFonts w:ascii="Times New Roman" w:hAnsi="Times New Roman"/>
        </w:rPr>
        <w:t xml:space="preserve">X = [Re  φ  T_in  ṁ]ᵀ</w:t>
      </w:r>
      <w:r>
        <w:tab/>
      </w:r>
      <w:r>
        <w:rPr>
          <w:sz w:val="24"/>
          <w:szCs w:val="24"/>
          <w:rFonts w:ascii="Times New Roman" w:hAnsi="Times New Roman"/>
        </w:rPr>
        <w:t xml:space="preserve">(27)</w:t>
      </w:r>
    </w:p>
    <w:p>
      <w:pPr>
        <w:jc w:val="both"/>
      </w:pPr>
      <w:r>
        <w:rPr>
          <w:sz w:val="24"/>
          <w:szCs w:val="24"/>
          <w:rFonts w:ascii="Times New Roman" w:hAnsi="Times New Roman"/>
        </w:rPr>
        <w:t xml:space="preserve">and the output vector as:</w:t>
      </w:r>
    </w:p>
    <w:p>
      <w:pPr>
        <w:tabs>
          <w:tab w:val="right" w:pos="9360"/>
        </w:tabs>
        <w:spacing w:before="60" w:after="60"/>
        <w:jc w:val="left"/>
      </w:pPr>
      <w:r>
        <w:rPr>
          <w:i/>
          <w:sz w:val="24"/>
          <w:szCs w:val="24"/>
          <w:rFonts w:ascii="Times New Roman" w:hAnsi="Times New Roman"/>
        </w:rPr>
        <w:t xml:space="preserve">Y = [Nu  f  h]ᵀ</w:t>
      </w:r>
      <w:r>
        <w:tab/>
      </w:r>
      <w:r>
        <w:rPr>
          <w:sz w:val="24"/>
          <w:szCs w:val="24"/>
          <w:rFonts w:ascii="Times New Roman" w:hAnsi="Times New Roman"/>
        </w:rPr>
        <w:t xml:space="preserve">(28)</w:t>
      </w:r>
    </w:p>
    <w:p>
      <w:pPr>
        <w:jc w:val="both"/>
      </w:pPr>
      <w:r>
        <w:rPr>
          <w:sz w:val="24"/>
          <w:szCs w:val="24"/>
          <w:rFonts w:ascii="Times New Roman" w:hAnsi="Times New Roman"/>
        </w:rPr>
        <w:t xml:space="preserve">Prior to training, the input and output variables are normalised to improve numerical stability. A general min-max normalisation is expressed as:</w:t>
      </w:r>
    </w:p>
    <w:p>
      <w:pPr>
        <w:tabs>
          <w:tab w:val="right" w:pos="9360"/>
        </w:tabs>
        <w:spacing w:before="60" w:after="60"/>
        <w:jc w:val="left"/>
      </w:pPr>
      <w:r>
        <w:rPr>
          <w:i/>
          <w:sz w:val="24"/>
          <w:szCs w:val="24"/>
          <w:rFonts w:ascii="Times New Roman" w:hAnsi="Times New Roman"/>
        </w:rPr>
        <w:t xml:space="preserve">X_N = (X - X_min) / (X_max - X_min)</w:t>
      </w:r>
      <w:r>
        <w:tab/>
      </w:r>
      <w:r>
        <w:rPr>
          <w:sz w:val="24"/>
          <w:szCs w:val="24"/>
          <w:rFonts w:ascii="Times New Roman" w:hAnsi="Times New Roman"/>
        </w:rPr>
        <w:t xml:space="preserve">(29)</w:t>
      </w:r>
    </w:p>
    <w:p>
      <w:pPr>
        <w:jc w:val="both"/>
      </w:pPr>
      <w:r>
        <w:rPr>
          <w:sz w:val="24"/>
          <w:szCs w:val="24"/>
          <w:rFonts w:ascii="Times New Roman" w:hAnsi="Times New Roman"/>
        </w:rPr>
        <w:t xml:space="preserve">For neuron j in a hidden layer, the weighted input is:</w:t>
      </w:r>
    </w:p>
    <w:p>
      <w:pPr>
        <w:tabs>
          <w:tab w:val="right" w:pos="9360"/>
        </w:tabs>
        <w:spacing w:before="60" w:after="60"/>
        <w:jc w:val="left"/>
      </w:pPr>
      <w:r>
        <w:rPr>
          <w:i/>
          <w:sz w:val="24"/>
          <w:szCs w:val="24"/>
          <w:rFonts w:ascii="Times New Roman" w:hAnsi="Times New Roman"/>
        </w:rPr>
        <w:t xml:space="preserve">z_j = Σᵢ₌₁ⁿ w_ij x_i + b_j</w:t>
      </w:r>
      <w:r>
        <w:tab/>
      </w:r>
      <w:r>
        <w:rPr>
          <w:sz w:val="24"/>
          <w:szCs w:val="24"/>
          <w:rFonts w:ascii="Times New Roman" w:hAnsi="Times New Roman"/>
        </w:rPr>
        <w:t xml:space="preserve">(30)</w:t>
      </w:r>
    </w:p>
    <w:p>
      <w:pPr>
        <w:jc w:val="both"/>
      </w:pPr>
      <w:r>
        <w:rPr>
          <w:sz w:val="24"/>
          <w:szCs w:val="24"/>
          <w:rFonts w:ascii="Times New Roman" w:hAnsi="Times New Roman"/>
        </w:rPr>
        <w:t xml:space="preserve">where w_ij is the connection weight and b_j is the neuron bias. The nonlinear activation is represented by the hyperbolic tangent function:</w:t>
      </w:r>
    </w:p>
    <w:p>
      <w:pPr>
        <w:tabs>
          <w:tab w:val="right" w:pos="9360"/>
        </w:tabs>
        <w:spacing w:before="60" w:after="60"/>
        <w:jc w:val="left"/>
      </w:pPr>
      <w:r>
        <w:rPr>
          <w:i/>
          <w:sz w:val="24"/>
          <w:szCs w:val="24"/>
          <w:rFonts w:ascii="Times New Roman" w:hAnsi="Times New Roman"/>
        </w:rPr>
        <w:t xml:space="preserve">a_j = tanh(z_j)</w:t>
      </w:r>
      <w:r>
        <w:tab/>
      </w:r>
      <w:r>
        <w:rPr>
          <w:sz w:val="24"/>
          <w:szCs w:val="24"/>
          <w:rFonts w:ascii="Times New Roman" w:hAnsi="Times New Roman"/>
        </w:rPr>
        <w:t xml:space="preserve">(31)</w:t>
      </w:r>
    </w:p>
    <w:p>
      <w:pPr>
        <w:jc w:val="both"/>
      </w:pPr>
      <w:r>
        <w:rPr>
          <w:sz w:val="24"/>
          <w:szCs w:val="24"/>
          <w:rFonts w:ascii="Times New Roman" w:hAnsi="Times New Roman"/>
        </w:rPr>
        <w:t xml:space="preserve">which may equivalently be written as:</w:t>
      </w:r>
    </w:p>
    <w:p>
      <w:pPr>
        <w:tabs>
          <w:tab w:val="right" w:pos="9360"/>
        </w:tabs>
        <w:spacing w:before="60" w:after="60"/>
        <w:jc w:val="left"/>
      </w:pPr>
      <w:r>
        <w:rPr>
          <w:i/>
          <w:sz w:val="24"/>
          <w:szCs w:val="24"/>
          <w:rFonts w:ascii="Times New Roman" w:hAnsi="Times New Roman"/>
        </w:rPr>
        <w:t xml:space="preserve">a_j = 2 / [1 + exp(-2 z_j)] - 1</w:t>
      </w:r>
      <w:r>
        <w:tab/>
      </w:r>
      <w:r>
        <w:rPr>
          <w:sz w:val="24"/>
          <w:szCs w:val="24"/>
          <w:rFonts w:ascii="Times New Roman" w:hAnsi="Times New Roman"/>
        </w:rPr>
        <w:t xml:space="preserve">(32)</w:t>
      </w:r>
    </w:p>
    <w:p>
      <w:pPr>
        <w:jc w:val="both"/>
      </w:pPr>
      <w:r>
        <w:rPr>
          <w:sz w:val="24"/>
          <w:szCs w:val="24"/>
          <w:rFonts w:ascii="Times New Roman" w:hAnsi="Times New Roman"/>
        </w:rPr>
        <w:t xml:space="preserve">The output layer then provides the predicted thermal-hydraulic parameters according to:</w:t>
      </w:r>
    </w:p>
    <w:p>
      <w:pPr>
        <w:tabs>
          <w:tab w:val="right" w:pos="9360"/>
        </w:tabs>
        <w:spacing w:before="60" w:after="60"/>
        <w:jc w:val="left"/>
      </w:pPr>
      <w:r>
        <w:rPr>
          <w:i/>
          <w:sz w:val="24"/>
          <w:szCs w:val="24"/>
          <w:rFonts w:ascii="Times New Roman" w:hAnsi="Times New Roman"/>
        </w:rPr>
        <w:t xml:space="preserve">Ŷ_k = Σⱼ₌₁ⁿ w_jk a_j + b_k</w:t>
      </w:r>
      <w:r>
        <w:tab/>
      </w:r>
      <w:r>
        <w:rPr>
          <w:sz w:val="24"/>
          <w:szCs w:val="24"/>
          <w:rFonts w:ascii="Times New Roman" w:hAnsi="Times New Roman"/>
        </w:rPr>
        <w:t xml:space="preserve">(33)</w:t>
      </w:r>
    </w:p>
    <w:p>
      <w:pPr>
        <w:jc w:val="both"/>
      </w:pPr>
      <w:r>
        <w:rPr>
          <w:sz w:val="24"/>
          <w:szCs w:val="24"/>
          <w:rFonts w:ascii="Times New Roman" w:hAnsi="Times New Roman"/>
        </w:rPr>
        <w:t xml:space="preserve">where Ŷ_k represents the ANN prediction of Nu, f, or h. The overall ANN mapping can therefore be represented compactly as:</w:t>
      </w:r>
    </w:p>
    <w:p>
      <w:pPr>
        <w:tabs>
          <w:tab w:val="right" w:pos="9360"/>
        </w:tabs>
        <w:spacing w:before="60" w:after="60"/>
        <w:jc w:val="left"/>
      </w:pPr>
      <w:r>
        <w:rPr>
          <w:i/>
          <w:sz w:val="24"/>
          <w:szCs w:val="24"/>
          <w:rFonts w:ascii="Times New Roman" w:hAnsi="Times New Roman"/>
        </w:rPr>
        <w:t xml:space="preserve">Ŷ = W₃ f₂ [ W₂ f₁ ( W₁ X + b₁ ) + b₂ ] + b₃</w:t>
      </w:r>
      <w:r>
        <w:tab/>
      </w:r>
      <w:r>
        <w:rPr>
          <w:sz w:val="24"/>
          <w:szCs w:val="24"/>
          <w:rFonts w:ascii="Times New Roman" w:hAnsi="Times New Roman"/>
        </w:rPr>
        <w:t xml:space="preserve">(34)</w:t>
      </w:r>
    </w:p>
    <w:p>
      <w:pPr>
        <w:jc w:val="both"/>
      </w:pPr>
      <w:r>
        <w:rPr>
          <w:sz w:val="24"/>
          <w:szCs w:val="24"/>
          <w:rFonts w:ascii="Times New Roman" w:hAnsi="Times New Roman"/>
        </w:rPr>
        <w:t xml:space="preserve">where W₁, W₂, and W₃ are the weight matrices and b₁, b₂, and b₃ are the corresponding bias vectors. The network was trained using the Levenberg-Marquardt backpropagation algorithm.</w:t>
      </w:r>
    </w:p>
    <w:p>
      <w:pPr>
        <w:pStyle w:val="Heading2"/>
        <w:jc w:val="left"/>
      </w:pPr>
      <w:r>
        <w:rPr>
          <w:b/>
          <w:sz w:val="28"/>
          <w:szCs w:val="28"/>
          <w:rFonts w:ascii="Times New Roman" w:hAnsi="Times New Roman"/>
        </w:rPr>
        <w:t xml:space="preserve">3.8 ANN Performance Evaluation</w:t>
      </w:r>
    </w:p>
    <w:p>
      <w:pPr>
        <w:jc w:val="both"/>
      </w:pPr>
      <w:r>
        <w:rPr>
          <w:sz w:val="24"/>
          <w:szCs w:val="24"/>
          <w:rFonts w:ascii="Times New Roman" w:hAnsi="Times New Roman"/>
        </w:rPr>
        <w:t xml:space="preserve">The prediction error was assessed using several statistical metrics. The mean squared error is defined as:</w:t>
      </w:r>
    </w:p>
    <w:p>
      <w:pPr>
        <w:tabs>
          <w:tab w:val="right" w:pos="9360"/>
        </w:tabs>
        <w:spacing w:before="60" w:after="60"/>
        <w:jc w:val="left"/>
      </w:pPr>
      <w:r>
        <w:rPr>
          <w:i/>
          <w:sz w:val="24"/>
          <w:szCs w:val="24"/>
          <w:rFonts w:ascii="Times New Roman" w:hAnsi="Times New Roman"/>
        </w:rPr>
        <w:t xml:space="preserve">MSE = (1/N) Σᵢ₌₁ᴺ (y_i - ŷ_i)²</w:t>
      </w:r>
      <w:r>
        <w:tab/>
      </w:r>
      <w:r>
        <w:rPr>
          <w:sz w:val="24"/>
          <w:szCs w:val="24"/>
          <w:rFonts w:ascii="Times New Roman" w:hAnsi="Times New Roman"/>
        </w:rPr>
        <w:t xml:space="preserve">(35)</w:t>
      </w:r>
    </w:p>
    <w:p>
      <w:pPr>
        <w:jc w:val="both"/>
      </w:pPr>
      <w:r>
        <w:rPr>
          <w:sz w:val="24"/>
          <w:szCs w:val="24"/>
          <w:rFonts w:ascii="Times New Roman" w:hAnsi="Times New Roman"/>
        </w:rPr>
        <w:t xml:space="preserve">the root mean square error as:</w:t>
      </w:r>
    </w:p>
    <w:p>
      <w:pPr>
        <w:tabs>
          <w:tab w:val="right" w:pos="9360"/>
        </w:tabs>
        <w:spacing w:before="60" w:after="60"/>
        <w:jc w:val="left"/>
      </w:pPr>
      <w:r>
        <w:rPr>
          <w:i/>
          <w:sz w:val="24"/>
          <w:szCs w:val="24"/>
          <w:rFonts w:ascii="Times New Roman" w:hAnsi="Times New Roman"/>
        </w:rPr>
        <w:t xml:space="preserve">RMSE = √[ (1/N) Σᵢ₌₁ᴺ (y_i - ŷ_i)² ]</w:t>
      </w:r>
      <w:r>
        <w:tab/>
      </w:r>
      <w:r>
        <w:rPr>
          <w:sz w:val="24"/>
          <w:szCs w:val="24"/>
          <w:rFonts w:ascii="Times New Roman" w:hAnsi="Times New Roman"/>
        </w:rPr>
        <w:t xml:space="preserve">(36)</w:t>
      </w:r>
    </w:p>
    <w:p>
      <w:pPr>
        <w:jc w:val="both"/>
      </w:pPr>
      <w:r>
        <w:rPr>
          <w:sz w:val="24"/>
          <w:szCs w:val="24"/>
          <w:rFonts w:ascii="Times New Roman" w:hAnsi="Times New Roman"/>
        </w:rPr>
        <w:t xml:space="preserve">and the coefficient of determination as:</w:t>
      </w:r>
    </w:p>
    <w:p>
      <w:pPr>
        <w:tabs>
          <w:tab w:val="right" w:pos="9360"/>
        </w:tabs>
        <w:spacing w:before="60" w:after="60"/>
        <w:jc w:val="left"/>
      </w:pPr>
      <w:r>
        <w:rPr>
          <w:i/>
          <w:sz w:val="24"/>
          <w:szCs w:val="24"/>
          <w:rFonts w:ascii="Times New Roman" w:hAnsi="Times New Roman"/>
        </w:rPr>
        <w:t xml:space="preserve">R² = 1 - [ Σᵢ₌₁ᴺ (y_i - ŷ_i)² ] / [ Σᵢ₌₁ᴺ (y_i - ȳ)² ]</w:t>
      </w:r>
      <w:r>
        <w:tab/>
      </w:r>
      <w:r>
        <w:rPr>
          <w:sz w:val="24"/>
          <w:szCs w:val="24"/>
          <w:rFonts w:ascii="Times New Roman" w:hAnsi="Times New Roman"/>
        </w:rPr>
        <w:t xml:space="preserve">(37)</w:t>
      </w:r>
    </w:p>
    <w:p>
      <w:pPr>
        <w:jc w:val="both"/>
      </w:pPr>
      <w:r>
        <w:rPr>
          <w:sz w:val="24"/>
          <w:szCs w:val="24"/>
          <w:rFonts w:ascii="Times New Roman" w:hAnsi="Times New Roman"/>
        </w:rPr>
        <w:t xml:space="preserve">where y_i, ŷ_i, and ȳ denote the experimental value, the ANN-predicted value, and the mean experimental value, respectively. The mean absolute percentage error is determined from:</w:t>
      </w:r>
    </w:p>
    <w:p>
      <w:pPr>
        <w:tabs>
          <w:tab w:val="right" w:pos="9360"/>
        </w:tabs>
        <w:spacing w:before="60" w:after="60"/>
        <w:jc w:val="left"/>
      </w:pPr>
      <w:r>
        <w:rPr>
          <w:i/>
          <w:sz w:val="24"/>
          <w:szCs w:val="24"/>
          <w:rFonts w:ascii="Times New Roman" w:hAnsi="Times New Roman"/>
        </w:rPr>
        <w:t xml:space="preserve">MAPE = (100/N) Σᵢ₌₁ᴺ | (y_i - ŷ_i) / y_i |</w:t>
      </w:r>
      <w:r>
        <w:tab/>
      </w:r>
      <w:r>
        <w:rPr>
          <w:sz w:val="24"/>
          <w:szCs w:val="24"/>
          <w:rFonts w:ascii="Times New Roman" w:hAnsi="Times New Roman"/>
        </w:rPr>
        <w:t xml:space="preserve">(38)</w:t>
      </w:r>
    </w:p>
    <w:p>
      <w:pPr>
        <w:jc w:val="both"/>
      </w:pPr>
      <w:r>
        <w:rPr>
          <w:sz w:val="24"/>
          <w:szCs w:val="24"/>
          <w:rFonts w:ascii="Times New Roman" w:hAnsi="Times New Roman"/>
        </w:rPr>
        <w:t xml:space="preserve">The developed ANN demonstrated high predictive accuracy, with R² values exceeding approximately 0.987 and MAPE values below 1.2 % for the principal predicted parameters.</w:t>
      </w:r>
    </w:p>
    <w:p>
      <w:pPr>
        <w:pStyle w:val="Heading2"/>
        <w:jc w:val="left"/>
      </w:pPr>
      <w:r>
        <w:rPr>
          <w:b/>
          <w:sz w:val="28"/>
          <w:szCs w:val="28"/>
          <w:rFonts w:ascii="Times New Roman" w:hAnsi="Times New Roman"/>
        </w:rPr>
        <w:t xml:space="preserve">3.9 Modelling and Optimisation Framework</w:t>
      </w:r>
    </w:p>
    <w:p>
      <w:pPr>
        <w:jc w:val="both"/>
      </w:pPr>
      <w:r>
        <w:rPr>
          <w:sz w:val="24"/>
          <w:szCs w:val="24"/>
          <w:rFonts w:ascii="Times New Roman" w:hAnsi="Times New Roman"/>
        </w:rPr>
        <w:t xml:space="preserve">The complete modelling framework therefore integrates experimental thermophysical characterisation, energy-balance calculations, dimensionless heat-transfer analysis, pressure-drop analysis, entropy-generation minimisation, and ANN-based prediction. The governing relationships in Eqs. (1)-(26) generate the experimentally derived thermal-hydraulic and thermodynamic response variables, while Eqs. (27)-(38) define the ANN-based surrogate model. Conceptually, the framework can be represented as the mapping:</w:t>
      </w:r>
    </w:p>
    <w:p>
      <w:pPr>
        <w:tabs>
          <w:tab w:val="right" w:pos="9360"/>
        </w:tabs>
        <w:spacing w:before="60" w:after="60"/>
        <w:jc w:val="left"/>
      </w:pPr>
      <w:r>
        <w:rPr>
          <w:i/>
          <w:sz w:val="24"/>
          <w:szCs w:val="24"/>
          <w:rFonts w:ascii="Times New Roman" w:hAnsi="Times New Roman"/>
        </w:rPr>
        <w:t xml:space="preserve">{Re, φ, T_in, ṁ} → {Nu, f, h} → {η, S_gen, Be}</w:t>
      </w:r>
      <w:r>
        <w:tab/>
      </w:r>
      <w:r>
        <w:rPr>
          <w:sz w:val="24"/>
          <w:szCs w:val="24"/>
          <w:rFonts w:ascii="Times New Roman" w:hAnsi="Times New Roman"/>
        </w:rPr>
        <w:t xml:space="preserve">(39)</w:t>
      </w:r>
    </w:p>
    <w:p>
      <w:pPr>
        <w:jc w:val="both"/>
      </w:pPr>
      <w:r>
        <w:rPr>
          <w:sz w:val="24"/>
          <w:szCs w:val="24"/>
          <w:rFonts w:ascii="Times New Roman" w:hAnsi="Times New Roman"/>
        </w:rPr>
        <w:t xml:space="preserve">This integrated approach enables the competing effects of nanoparticle concentration and flow rate to be evaluated simultaneously. In particular, the analysis identifies Reynolds number as the most influential ANN input, followed by nanoparticle volume fraction, inlet temperature, and mass flow rate.</w:t>
      </w:r>
    </w:p>
    <w:p>
      <w:pPr>
        <w:jc w:val="both"/>
      </w:pPr>
      <w:r>
        <w:rPr>
          <w:sz w:val="24"/>
          <w:szCs w:val="24"/>
          <w:rFonts w:ascii="Times New Roman" w:hAnsi="Times New Roman"/>
        </w:rPr>
        <w:t xml:space="preserve"/>
      </w:r>
    </w:p>
    <w:p>
      <w:pPr>
        <w:jc w:val="both"/>
      </w:pPr>
      <w:r>
        <w:rPr>
          <w:i/>
          <w:sz w:val="24"/>
          <w:szCs w:val="24"/>
          <w:rFonts w:ascii="Times New Roman" w:hAnsi="Times New Roman"/>
        </w:rPr>
        <w:t xml:space="preserve">Note for journal submission: Eqs. (21)-(24) should be verified against the exact entropy-generation formulation and temperature reference used in your experimental calculations before final submission, since entropy-generation expressions can differ depending on whether local or mean temperatures and hydraulic-volume definitions are adopted. The uploaded manuscript supports the thermal/frictional decomposition and Bejan analysis but does not provide the full original derivation of these equations.</w:t>
      </w:r>
    </w:p>
    <w:sectPr>
      <w:pgSz w:w="12240" w:h="15840"/>
      <w:pgMar w:top="1440" w:right="1440" w:bottom="1440" w:left="1440" w:header="720" w:footer="720" w:gutter="0"/>
    </w:sectPr>
  </w:body>
</w:document>
</file>

<file path=word/styles.xml><?xml version="1.0" encoding="utf-8"?>
<w:styles xmlns:w="http://schemas.openxmlformats.org/wordprocessingml/2006/main">
  <w:style w:type="paragraph" w:styleId="Normal" w:default="1">
    <w:name w:val="Normal"/>
    <w:pPr>
      <w:spacing w:after="120" w:line="360" w:lineRule="auto"/>
    </w:pPr>
    <w:rPr>
      <w:sz w:val="24"/>
      <w:szCs w:val="24"/>
      <w:rFonts w:ascii="Times New Roman" w:hAnsi="Times New Roman"/>
    </w:rPr>
  </w:style>
  <w:style w:type="paragraph" w:styleId="Title">
    <w:name w:val="Title"/>
    <w:pPr>
      <w:jc w:val="center"/>
      <w:spacing w:before="240" w:after="240"/>
    </w:pPr>
    <w:rPr>
      <w:b/>
      <w:sz w:val="36"/>
      <w:szCs w:val="36"/>
      <w:rFonts w:ascii="Times New Roman" w:hAnsi="Times New Roman"/>
    </w:rPr>
  </w:style>
  <w:style w:type="paragraph" w:styleId="Heading1">
    <w:name w:val="heading 1"/>
    <w:pPr>
      <w:spacing w:before="360" w:after="120"/>
    </w:pPr>
    <w:rPr>
      <w:b/>
      <w:sz w:val="32"/>
      <w:szCs w:val="32"/>
      <w:rFonts w:ascii="Times New Roman" w:hAnsi="Times New Roman"/>
    </w:rPr>
  </w:style>
  <w:style w:type="paragraph" w:styleId="Heading2">
    <w:name w:val="heading 2"/>
    <w:pPr>
      <w:spacing w:before="240" w:after="120"/>
    </w:pPr>
    <w:rPr>
      <w:b/>
      <w:sz w:val="28"/>
      <w:szCs w:val="28"/>
      <w:rFonts w:ascii="Times New Roman" w:hAnsi="Times New Roman"/>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