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ECONOMIC CONSEQUENCES OF CLIMATE INACTION</w:t>
      </w:r>
    </w:p>
    <w:p>
      <w:pPr>
        <w:pStyle w:val="Normal"/>
      </w:pPr>
      <w:r>
        <w:rPr>
          <w:b/>
        </w:rPr>
        <w:t xml:space="preserve">Authors:</w:t>
      </w:r>
      <w:r>
        <w:t xml:space="preserve"> Amman Jakhar¹,* and Sachin Kalsi¹</w:t>
      </w:r>
    </w:p>
    <w:p>
      <w:pPr>
        <w:pStyle w:val="Normal"/>
      </w:pPr>
      <w:r>
        <w:t xml:space="preserve">¹ Department of Mechanical Engineering, Chandigarh University, Mohali, Punjab–140301, India</w:t>
      </w:r>
    </w:p>
    <w:p>
      <w:pPr>
        <w:pStyle w:val="Normal"/>
      </w:pPr>
      <w:r>
        <w:t xml:space="preserve">*Corresponding author: ammanjakhar5000734@gmail.com</w:t>
      </w:r>
    </w:p>
    <w:p>
      <w:pPr>
        <w:pStyle w:val="Heading1"/>
      </w:pPr>
      <w:r>
        <w:t xml:space="preserve">Abstract</w:t>
      </w:r>
    </w:p>
    <w:p>
      <w:pPr>
        <w:pStyle w:val="Normal"/>
      </w:pPr>
      <w:r>
        <w:t xml:space="preserve">This chapter examines the economic consequences of climate inaction, integrating macroeconomic, public-health, and social-equity perspectives into a single analytical frame. It argues that the apparent savings secured by deferring mitigation and adaptation are illusory, because they transfer far larger and compounding costs onto future output, public budgets, and the most vulnerable members of society. The discussion opens by conceptualising climate inaction and distinguishing it from mitigation, adaptation, and merely delayed action, before surveying the mechanisms through which a warming climate erodes gross domestic product, destabilises investment, and damages infrastructure, supply chains, agriculture, and industrial production. Particular attention is given to the uneven geography of these losses and to the acute exposure of low- and middle-income countries that have contributed least to the problem. The chapter then turns to the health economy, tracing the rising expenditure associated with heat-related illness, cardiovascular and respiratory disease, and vector-borne infection, and quantifying the productivity losses that occupational heat exposure imposes across agriculture, construction, manufacturing, transport, and care work. It foregrounds the distributional dimension of these burdens, showing how poverty, substandard housing, limited access to cooling, and precarious employment concentrate both the health harms and the financial shocks of a destabilised climate among marginalised populations. Finally, the chapter sets out the economic case for climate action, comparing the long-run costs of inaction with the co-benefits of emissions reduction, preventive healthcare, and resilient infrastructure, and it proposes an integrated framework for climate-ready economies supported by carbon pricing, climate-informed health budgeting, and measurable resilience indicators. Throughout, the analysis insists that economic valuation, far from being a neutral accounting exercise, is itself a terrain of ethical and political choice that shapes who bears the costs of a changing climate.</w:t>
      </w:r>
    </w:p>
    <w:p>
      <w:pPr>
        <w:pStyle w:val="Normal"/>
      </w:pPr>
      <w:r>
        <w:rPr>
          <w:b/>
        </w:rPr>
        <w:t xml:space="preserve">Keywords:</w:t>
      </w:r>
      <w:r>
        <w:t xml:space="preserve"> Climate inaction; Economic damages; Health expenditure; Heat stress; Labour productivity; Climate policy</w:t>
      </w:r>
    </w:p>
    <w:p>
      <w:pPr>
        <w:pStyle w:val="Heading1"/>
      </w:pPr>
      <w:r>
        <w:t xml:space="preserve">1. Economic Framework and Global Costs of Climate Inaction</w:t>
      </w:r>
    </w:p>
    <w:p>
      <w:pPr>
        <w:pStyle w:val="Heading2"/>
      </w:pPr>
      <w:r>
        <w:t xml:space="preserve">1.1 Conceptualising Climate Inaction and Its Economic Implications</w:t>
      </w:r>
    </w:p>
    <w:p>
      <w:pPr>
        <w:pStyle w:val="Normal"/>
      </w:pPr>
      <w:r>
        <w:t xml:space="preserve">Climate inaction is best understood not as the simple absence of policy but as a spectrum of choices that collectively leave the drivers of warming and its consequences unaddressed. At one end lies the complete failure to reduce greenhouse-gas emissions; at the other lies the subtler decision to postpone investment in adaptation until damages have already materialised. Between these poles sit numerous forms of partial or delayed action whose common feature is that they allow risk to accumulate in the physical and economic system rather than arresting it at source [1]. Analytically, it is essential to separate three distinct responses. Mitigation reduces the flow of emissions and therefore the ultimate magnitude of warming; adaptation reduces the damage that a given level of warming inflicts; and delayed action defers both, trading a small near-term saving for a larger and often irreversible future liability [2]. The economic signature of inaction is precisely this intertemporal transfer, in which present cost avoidance is purchased at the price of magnified future loss.</w:t>
      </w:r>
    </w:p>
    <w:p>
      <w:pPr>
        <w:pStyle w:val="Normal"/>
      </w:pPr>
      <w:r>
        <w:t xml:space="preserve">The losses that flow from a warming climate are heterogeneous but increasingly well documented. Rising mean temperatures depress agricultural yields and labour output; more frequent and intense extreme events—floods, storms, droughts, and heatwaves—destroy capital and interrupt production; and the slow degradation of ecosystems erodes the natural capital on which many economies depend [3]. A central insight of the empirical literature is that these effects are nonlinear: the marginal damage of an additional degree of warming rises as temperatures climb, so that the economic penalty of inaction accelerates rather than accumulating at a constant rate [3]. This nonlinearity is one reason why the economic framing of climate change has shifted from treating damages as a modest, manageable drag on growth toward recognising them as a potentially profound constraint on long-run prosperity [4].</w:t>
      </w:r>
    </w:p>
    <w:p>
      <w:pPr>
        <w:pStyle w:val="Normal"/>
      </w:pPr>
      <w:r>
        <w:t xml:space="preserve">The most seductive argument for inaction is the promise of short-term economic savings. Deferring the retirement of fossil-fuel assets, avoiding the capital outlay of resilient infrastructure, and declining to fund preventive public-health measures all reduce expenditure in the current budget cycle. Yet these savings are systematically overstated because they ignore the compounding character of climate risk and the fact that avoided costs do not disappear but migrate forward in time, frequently growing as they go [2]. Figure 1 presents the causal architecture that connects the decision to delay with its downstream economic, health, and distributional consequences, and it serves as an organising schema for the chapter as a whole. The recognition that short-term savings and long-term costs are not symmetric—that a dollar saved today may correspond to several dollars of loss tomorrow—lies at the heart of the economic case against inaction [5].</w:t>
      </w:r>
    </w:p>
    <w:p>
      <w:pPr>
        <w:pStyle w:val="FigureImage"/>
      </w:pPr>
      <w:r>
        <w:drawing>
          <wp:inline xmlns:wp="http://schemas.openxmlformats.org/drawingml/2006/wordprocessingDrawing" distT="0" distB="0" distL="0" distR="0">
            <wp:extent cx="5486400" cy="3268493"/>
            <wp:effectExtent l="0" t="0" r="0" b="0"/>
            <wp:docPr id="1001" name="Figure_1_Causal_Frame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e_1_Causal_Framework.png"/>
                    <pic:cNvPicPr/>
                  </pic:nvPicPr>
                  <pic:blipFill>
                    <a:blip xmlns:r="http://schemas.openxmlformats.org/officeDocument/2006/relationships" r:embed="rIdImg1"/>
                    <a:stretch>
                      <a:fillRect/>
                    </a:stretch>
                  </pic:blipFill>
                  <pic:spPr>
                    <a:xfrm>
                      <a:off x="0" y="0"/>
                      <a:ext cx="5486400" cy="3268493"/>
                    </a:xfrm>
                    <a:prstGeom prst="rect">
                      <a:avLst/>
                    </a:prstGeom>
                  </pic:spPr>
                </pic:pic>
              </a:graphicData>
            </a:graphic>
          </wp:inline>
        </w:drawing>
      </w:r>
    </w:p>
    <w:p>
      <w:pPr>
        <w:pStyle w:val="FigureCaption"/>
      </w:pPr>
      <w:r>
        <w:t xml:space="preserve">Figure 1. Causal framework linking climate inaction to macroeconomic, health, and distributional consequences</w:t>
      </w:r>
    </w:p>
    <w:p>
      <w:pPr>
        <w:pStyle w:val="Normal"/>
      </w:pPr>
      <w:r>
        <w:t xml:space="preserve">A further implication follows from this framing. Because the costs of inaction fall disproportionately on later periods and on populations with the least capacity to absorb them, the economic evaluation of climate policy cannot be reduced to a narrow comparison of present monetary flows. As Figure 1 indicates, the pathways from inaction to loss run through public health and social inequity as much as through aggregate output, and any assessment that omits these channels will systematically understate the true price of delay [4]. This chapter accordingly treats the macroeconomic, health, and equity dimensions of climate inaction as interdependent components of a single economic problem rather than as separate domains [5].</w:t>
      </w:r>
    </w:p>
    <w:p>
      <w:pPr>
        <w:pStyle w:val="Heading2"/>
      </w:pPr>
      <w:r>
        <w:t xml:space="preserve">1.2 Global Economic Losses and Macroeconomic Instability</w:t>
      </w:r>
    </w:p>
    <w:p>
      <w:pPr>
        <w:pStyle w:val="Normal"/>
      </w:pPr>
      <w:r>
        <w:t xml:space="preserve">At the macroeconomic scale, the accumulating evidence indicates that warming imposes a measurable and growing drag on global and national income. Panel studies exploiting year-to-year variation in temperature have found that hotter-than-average years are associated with reduced growth in output, particularly in countries that are already warm, implying that unmitigated warming will progressively widen the gap between rich temperate economies and poorer tropical ones [6]. These growth effects are economically consequential precisely because they compound: a reduction in the growth rate, as distinct from a one-off reduction in the level of output, permanently lowers the trajectory of income and therefore produces losses that expand over decades [6]. Cross-country macro-econometric analysis reinforces this conclusion, projecting substantial reductions in per-capita output by the end of the century under high-emissions scenarios absent adaptation [7].</w:t>
      </w:r>
    </w:p>
    <w:p>
      <w:pPr>
        <w:pStyle w:val="Normal"/>
      </w:pPr>
      <w:r>
        <w:t xml:space="preserve">The channels through which these aggregate losses materialise are concrete. Extreme events damage physical infrastructure—roads, ports, power grids, and water systems—imposing both direct repair costs and indirect losses as economic activity is interrupted [8]. Supply chains, now tightly integrated across regions, transmit localised climate shocks far beyond their point of origin, so that a flood in one manufacturing hub can idle factories on another continent. Agriculture, the sector most directly coupled to weather, suffers yield losses that propagate into food prices and rural incomes, while heat and water stress increasingly constrain industrial production and thermal electricity generation [8]. Figure 2 contrasts the projected trajectory of cumulative economic losses under continued inaction with the trajectory that would follow from early, sustained investment in mitigation and adaptation, illustrating the widening divergence that the nonlinearity of damages produces over time [9].</w:t>
      </w:r>
    </w:p>
    <w:p>
      <w:pPr>
        <w:pStyle w:val="FigureImage"/>
      </w:pPr>
      <w:r>
        <w:drawing>
          <wp:inline xmlns:wp="http://schemas.openxmlformats.org/drawingml/2006/wordprocessingDrawing" distT="0" distB="0" distL="0" distR="0">
            <wp:extent cx="5486400" cy="3479180"/>
            <wp:effectExtent l="0" t="0" r="0" b="0"/>
            <wp:docPr id="1002" name="Figure_2_Loss_Traject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ure_2_Loss_Trajectories.png"/>
                    <pic:cNvPicPr/>
                  </pic:nvPicPr>
                  <pic:blipFill>
                    <a:blip xmlns:r="http://schemas.openxmlformats.org/officeDocument/2006/relationships" r:embed="rIdImg2"/>
                    <a:stretch>
                      <a:fillRect/>
                    </a:stretch>
                  </pic:blipFill>
                  <pic:spPr>
                    <a:xfrm>
                      <a:off x="0" y="0"/>
                      <a:ext cx="5486400" cy="3479180"/>
                    </a:xfrm>
                    <a:prstGeom prst="rect">
                      <a:avLst/>
                    </a:prstGeom>
                  </pic:spPr>
                </pic:pic>
              </a:graphicData>
            </a:graphic>
          </wp:inline>
        </w:drawing>
      </w:r>
    </w:p>
    <w:p>
      <w:pPr>
        <w:pStyle w:val="FigureCaption"/>
      </w:pPr>
      <w:r>
        <w:t xml:space="preserve">Figure 2. Projected trajectories of cumulative economic loss under climate inaction versus early climate action</w:t>
      </w:r>
    </w:p>
    <w:p>
      <w:pPr>
        <w:pStyle w:val="Normal"/>
      </w:pPr>
      <w:r>
        <w:t xml:space="preserve">The geography of these losses is strikingly uneven. The countries that face the largest proportional reductions in income are overwhelmingly those in the tropics and subtropics—regions that are both physically more exposed to damaging heat and economically less equipped to adapt [10]. Because these same low- and middle-income countries have historically contributed only a small share of cumulative emissions, the distribution of climate damages stands in sharp tension with the distribution of responsibility, a disjunction that has moved questions of loss, damage, and compensation to the centre of international climate negotiations [5]. Recent estimates of the "economic commitment" already locked in by past emissions suggest that significant income reductions are now unavoidable over the coming decades regardless of future mitigation, underscoring that a substantial bill for historical inaction has already come due [10]. As Figure 2 makes clear, however, the scale of additional, avoidable loss still depends heavily on the choices made in the present [11].</w:t>
      </w:r>
    </w:p>
    <w:p>
      <w:pPr>
        <w:pStyle w:val="Heading2"/>
      </w:pPr>
      <w:r>
        <w:t xml:space="preserve">1.3 Economic Modelling, Risk Assessment, and the Cost of Delayed Action</w:t>
      </w:r>
    </w:p>
    <w:p>
      <w:pPr>
        <w:pStyle w:val="Normal"/>
      </w:pPr>
      <w:r>
        <w:t xml:space="preserve">Translating physical climate change into economic terms requires analytical tools capable of valuing diffuse, uncertain, and long-dated consequences. Three families of method dominate the field. Cost–benefit analysis compares the discounted costs of policy with its discounted benefits; integrated assessment models (IAMs) couple simplified representations of the climate and economy to trace the feedbacks between emissions, warming, damages, and welfare; and scenario analysis explores a range of plausible futures without collapsing them into a single expected value [11]. Table 1 summarises the principal characteristics, strengths, and limitations of these approaches, together with the central parameters on which their results depend. Each method embeds assumptions that materially shape its conclusions, and transparency about those assumptions is a precondition for the responsible use of economic estimates in policy [12].</w:t>
      </w:r>
    </w:p>
    <w:p>
      <w:pPr>
        <w:pStyle w:val="TableCaption"/>
      </w:pPr>
      <w:r>
        <w:t xml:space="preserve">[Insert Table 1 here]</w:t>
      </w:r>
    </w:p>
    <w:p>
      <w:pPr>
        <w:pStyle w:val="TableCaption"/>
      </w:pPr>
      <w:r>
        <w:t xml:space="preserve">Table 1. Principal economic valuation methods for climate damages</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tcPr>
            <w:shd w:val="clear" w:color="auto" w:fill="D9E2F3"/>
          </w:tcPr>
          <w:p>
            <w:pPr>
              <w:jc w:val="center"/>
            </w:pPr>
            <w:r>
              <w:rPr>
                <w:b/>
              </w:rPr>
              <w:t xml:space="preserve">Method</w:t>
            </w:r>
          </w:p>
        </w:tc>
        <w:tc>
          <w:tcPr>
            <w:shd w:val="clear" w:color="auto" w:fill="D9E2F3"/>
          </w:tcPr>
          <w:p>
            <w:pPr>
              <w:jc w:val="center"/>
            </w:pPr>
            <w:r>
              <w:rPr>
                <w:b/>
              </w:rPr>
              <w:t xml:space="preserve">What it estimates</w:t>
            </w:r>
          </w:p>
        </w:tc>
        <w:tc>
          <w:tcPr>
            <w:shd w:val="clear" w:color="auto" w:fill="D9E2F3"/>
          </w:tcPr>
          <w:p>
            <w:pPr>
              <w:jc w:val="center"/>
            </w:pPr>
            <w:r>
              <w:rPr>
                <w:b/>
              </w:rPr>
              <w:t xml:space="preserve">Key parameters</w:t>
            </w:r>
          </w:p>
        </w:tc>
        <w:tc>
          <w:tcPr>
            <w:shd w:val="clear" w:color="auto" w:fill="D9E2F3"/>
          </w:tcPr>
          <w:p>
            <w:pPr>
              <w:jc w:val="center"/>
            </w:pPr>
            <w:r>
              <w:rPr>
                <w:b/>
              </w:rPr>
              <w:t xml:space="preserve">Principal strengths</w:t>
            </w:r>
          </w:p>
        </w:tc>
        <w:tc>
          <w:tcPr>
            <w:shd w:val="clear" w:color="auto" w:fill="D9E2F3"/>
          </w:tcPr>
          <w:p>
            <w:pPr>
              <w:jc w:val="center"/>
            </w:pPr>
            <w:r>
              <w:rPr>
                <w:b/>
              </w:rPr>
              <w:t xml:space="preserve">Principal limitations</w:t>
            </w:r>
          </w:p>
        </w:tc>
      </w:tr>
      <w:tr>
        <w:tc>
          <w:p>
            <w:pPr>
              <w:spacing w:after="40"/>
            </w:pPr>
            <w:r>
              <w:t xml:space="preserve">Cost–benefit analysis</w:t>
            </w:r>
          </w:p>
        </w:tc>
        <w:tc>
          <w:p>
            <w:pPr>
              <w:spacing w:after="40"/>
            </w:pPr>
            <w:r>
              <w:t xml:space="preserve">Net present value of a policy option</w:t>
            </w:r>
          </w:p>
        </w:tc>
        <w:tc>
          <w:p>
            <w:pPr>
              <w:spacing w:after="40"/>
            </w:pPr>
            <w:r>
              <w:t xml:space="preserve">Discount rate, damage function, mitigation cost</w:t>
            </w:r>
          </w:p>
        </w:tc>
        <w:tc>
          <w:p>
            <w:pPr>
              <w:spacing w:after="40"/>
            </w:pPr>
            <w:r>
              <w:t xml:space="preserve">Transparent, comparable across options</w:t>
            </w:r>
          </w:p>
        </w:tc>
        <w:tc>
          <w:p>
            <w:pPr>
              <w:spacing w:after="40"/>
            </w:pPr>
            <w:r>
              <w:t xml:space="preserve">Sensitive to discounting; weak on catastrophic tails</w:t>
            </w:r>
          </w:p>
        </w:tc>
      </w:tr>
      <w:tr>
        <w:tc>
          <w:p>
            <w:pPr>
              <w:spacing w:after="40"/>
            </w:pPr>
            <w:r>
              <w:t xml:space="preserve">Integrated assessment models</w:t>
            </w:r>
          </w:p>
        </w:tc>
        <w:tc>
          <w:p>
            <w:pPr>
              <w:spacing w:after="40"/>
            </w:pPr>
            <w:r>
              <w:t xml:space="preserve">Social cost of carbon; optimal emissions path</w:t>
            </w:r>
          </w:p>
        </w:tc>
        <w:tc>
          <w:p>
            <w:pPr>
              <w:spacing w:after="40"/>
            </w:pPr>
            <w:r>
              <w:t xml:space="preserve">Climate sensitivity, damage function, growth, discounting</w:t>
            </w:r>
          </w:p>
        </w:tc>
        <w:tc>
          <w:p>
            <w:pPr>
              <w:spacing w:after="40"/>
            </w:pPr>
            <w:r>
              <w:t xml:space="preserve">Internally consistent climate–economy feedbacks</w:t>
            </w:r>
          </w:p>
        </w:tc>
        <w:tc>
          <w:p>
            <w:pPr>
              <w:spacing w:after="40"/>
            </w:pPr>
            <w:r>
              <w:t xml:space="preserve">Aggregated damages may omit health and equity effects</w:t>
            </w:r>
          </w:p>
        </w:tc>
      </w:tr>
      <w:tr>
        <w:tc>
          <w:p>
            <w:pPr>
              <w:spacing w:after="40"/>
            </w:pPr>
            <w:r>
              <w:t xml:space="preserve">Scenario analysis</w:t>
            </w:r>
          </w:p>
        </w:tc>
        <w:tc>
          <w:p>
            <w:pPr>
              <w:spacing w:after="40"/>
            </w:pPr>
            <w:r>
              <w:t xml:space="preserve">Range of outcomes across plausible futures</w:t>
            </w:r>
          </w:p>
        </w:tc>
        <w:tc>
          <w:p>
            <w:pPr>
              <w:spacing w:after="40"/>
            </w:pPr>
            <w:r>
              <w:t xml:space="preserve">Socioeconomic pathways, emissions trajectories</w:t>
            </w:r>
          </w:p>
        </w:tc>
        <w:tc>
          <w:p>
            <w:pPr>
              <w:spacing w:after="40"/>
            </w:pPr>
            <w:r>
              <w:t xml:space="preserve">Represents deep uncertainty without false precision</w:t>
            </w:r>
          </w:p>
        </w:tc>
        <w:tc>
          <w:p>
            <w:pPr>
              <w:spacing w:after="40"/>
            </w:pPr>
            <w:r>
              <w:t xml:space="preserve">Does not yield a single optimal policy</w:t>
            </w:r>
          </w:p>
        </w:tc>
      </w:tr>
      <w:tr>
        <w:tc>
          <w:p>
            <w:pPr>
              <w:spacing w:after="40"/>
            </w:pPr>
            <w:r>
              <w:t xml:space="preserve">Risk-based / expected-damage approaches</w:t>
            </w:r>
          </w:p>
        </w:tc>
        <w:tc>
          <w:p>
            <w:pPr>
              <w:spacing w:after="40"/>
            </w:pPr>
            <w:r>
              <w:t xml:space="preserve">Probability-weighted loss distributions</w:t>
            </w:r>
          </w:p>
        </w:tc>
        <w:tc>
          <w:p>
            <w:pPr>
              <w:spacing w:after="40"/>
            </w:pPr>
            <w:r>
              <w:t xml:space="preserve">Hazard probabilities, exposure, vulnerability</w:t>
            </w:r>
          </w:p>
        </w:tc>
        <w:tc>
          <w:p>
            <w:pPr>
              <w:spacing w:after="40"/>
            </w:pPr>
            <w:r>
              <w:t xml:space="preserve">Captures low-probability, high-impact events</w:t>
            </w:r>
          </w:p>
        </w:tc>
        <w:tc>
          <w:p>
            <w:pPr>
              <w:spacing w:after="40"/>
            </w:pPr>
            <w:r>
              <w:t xml:space="preserve">Data-intensive; tail probabilities poorly constrained</w:t>
            </w:r>
          </w:p>
        </w:tc>
      </w:tr>
    </w:tbl>
    <w:p>
      <w:pPr>
        <w:pStyle w:val="Normal"/>
      </w:pPr>
      <w:r>
        <w:t xml:space="preserve">The single most influential and most contested parameter in this apparatus is the discount rate, which governs how heavily future damages are weighted against present costs. A higher discount rate shrinks the present value of distant harms and therefore weakens the case for immediate action, while a lower rate does the reverse; the choice is partly an empirical matter of observed market returns and partly an ethical judgement about the standing of future generations [12]. The social cost of carbon—the monetised damage from an additional tonne of emissions—is correspondingly sensitive to this choice, and reasonable variations in discounting can move estimates by an order of magnitude [12]. Deep uncertainty compounds the difficulty, because the possibility of low-probability but catastrophic outcomes can dominate expected-damage calculations and may justify precautionary action beyond what a central-estimate cost–benefit analysis would recommend [13].</w:t>
      </w:r>
    </w:p>
    <w:p>
      <w:pPr>
        <w:pStyle w:val="Normal"/>
      </w:pPr>
      <w:r>
        <w:t xml:space="preserve">These methodological debates are not academic niceties; they determine the apparent balance between the cost of acting and the cost of waiting. Critics have rightly cautioned that IAM damage functions are often calibrated on thin empirical foundations and may omit important mechanisms, so that model outputs should inform rather than dictate policy [14]. Recent scholarship has sought to place discounting on firmer empirical and normative footing by surveying expert judgement and by disentangling its component determinants, narrowing—though not eliminating—the range of defensible values [15]. When these methods are applied consistently, as the comparison in Table 1 underscores, they converge on a robust qualitative conclusion even amid quantitative disagreement: the discounted cost of a well-designed programme of mitigation and adaptation is substantially lower than the discounted cost of the damages that inaction would permit [16]. The economic case against delay, in other words, survives wide variation in the contested parameters that Table 1 identifies.</w:t>
      </w:r>
    </w:p>
    <w:p>
      <w:pPr>
        <w:pStyle w:val="Heading1"/>
      </w:pPr>
      <w:r>
        <w:t xml:space="preserve">2. Climate Inaction, Public Health Expenditure, and Healthcare System Vulnerability</w:t>
      </w:r>
    </w:p>
    <w:p>
      <w:pPr>
        <w:pStyle w:val="Heading2"/>
      </w:pPr>
      <w:r>
        <w:t xml:space="preserve">2.1 Rising Healthcare Costs from Climate-Sensitive Diseases</w:t>
      </w:r>
    </w:p>
    <w:p>
      <w:pPr>
        <w:pStyle w:val="Normal"/>
      </w:pPr>
      <w:r>
        <w:t xml:space="preserve">The economic consequences of climate inaction are nowhere more direct than in the domain of human health, where a warming climate translates into additional disease, additional treatment, and additional expenditure. Successive global assessments have documented rising morbidity and mortality associated with heat, shifting patterns of infectious disease, and the health effects of air pollution and extreme events, with the associated costs borne by households, insurers, and public healthcare systems alike [17]. The relationship between ambient temperature and mortality is well characterised and non-linear, with risk rising steeply at the upper and lower extremes of the temperature distribution; as mean temperatures and heat-wave frequency increase, the burden of heat-attributable death and illness grows correspondingly [18]. Attribution studies now make it possible to assign a substantial share of recent heat-related mortality specifically to human-induced warming, converting an abstract risk into a quantifiable and increasing health liability [19].</w:t>
      </w:r>
    </w:p>
    <w:p>
      <w:pPr>
        <w:pStyle w:val="Normal"/>
      </w:pPr>
      <w:r>
        <w:t xml:space="preserve">The clinical pathways involved are diverse. Extreme heat precipitates heat exhaustion and heat stroke, but it also aggravates cardiovascular and respiratory conditions, triggers acute kidney injury, and interacts with chronic disease to raise hospital admissions and emergency presentations [20]. Warming and altered precipitation simultaneously expand the geographic and seasonal range of vectors that transmit malaria, dengue, and other infections, exposing previously unaffected populations and lengthening transmission seasons [21]. Figure 3 traces the transmission mechanism by which climatic stress is converted into health and economic loss, running from exposure through physiological and clinical impact to the resulting demand on health services and the associated expenditure. Table 2 complements this schema by cataloguing the major climate-sensitive health conditions, their principal cost drivers, and the populations on whom the resulting expenditure falls most heavily [17].</w:t>
      </w:r>
    </w:p>
    <w:p>
      <w:pPr>
        <w:pStyle w:val="FigureImage"/>
      </w:pPr>
      <w:r>
        <w:drawing>
          <wp:inline xmlns:wp="http://schemas.openxmlformats.org/drawingml/2006/wordprocessingDrawing" distT="0" distB="0" distL="0" distR="0">
            <wp:extent cx="5486400" cy="3048000"/>
            <wp:effectExtent l="0" t="0" r="0" b="0"/>
            <wp:docPr id="1003" name="Figure_3_Transmission_Pathwa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e_3_Transmission_Pathway.png"/>
                    <pic:cNvPicPr/>
                  </pic:nvPicPr>
                  <pic:blipFill>
                    <a:blip xmlns:r="http://schemas.openxmlformats.org/officeDocument/2006/relationships" r:embed="rIdImg3"/>
                    <a:stretch>
                      <a:fillRect/>
                    </a:stretch>
                  </pic:blipFill>
                  <pic:spPr>
                    <a:xfrm>
                      <a:off x="0" y="0"/>
                      <a:ext cx="5486400" cy="3048000"/>
                    </a:xfrm>
                    <a:prstGeom prst="rect">
                      <a:avLst/>
                    </a:prstGeom>
                  </pic:spPr>
                </pic:pic>
              </a:graphicData>
            </a:graphic>
          </wp:inline>
        </w:drawing>
      </w:r>
    </w:p>
    <w:p>
      <w:pPr>
        <w:pStyle w:val="FigureCaption"/>
      </w:pPr>
      <w:r>
        <w:t xml:space="preserve">Figure 3. Transmission pathway from climatic exposure to health impacts and healthcare expenditure</w:t>
      </w:r>
    </w:p>
    <w:p>
      <w:pPr>
        <w:pStyle w:val="TableCaption"/>
      </w:pPr>
      <w:r>
        <w:t xml:space="preserve">[Insert Table 2 here]</w:t>
      </w:r>
    </w:p>
    <w:p>
      <w:pPr>
        <w:pStyle w:val="TableCaption"/>
      </w:pPr>
      <w:r>
        <w:t xml:space="preserve">Table 2. Climate-sensitive health conditions and their principal economic cost drivers</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shd w:val="clear" w:color="auto" w:fill="D9E2F3"/>
          </w:tcPr>
          <w:p>
            <w:pPr>
              <w:jc w:val="center"/>
            </w:pPr>
            <w:r>
              <w:rPr>
                <w:b/>
              </w:rPr>
              <w:t xml:space="preserve">Health condition</w:t>
            </w:r>
          </w:p>
        </w:tc>
        <w:tc>
          <w:tcPr>
            <w:shd w:val="clear" w:color="auto" w:fill="D9E2F3"/>
          </w:tcPr>
          <w:p>
            <w:pPr>
              <w:jc w:val="center"/>
            </w:pPr>
            <w:r>
              <w:rPr>
                <w:b/>
              </w:rPr>
              <w:t xml:space="preserve">Climatic driver</w:t>
            </w:r>
          </w:p>
        </w:tc>
        <w:tc>
          <w:tcPr>
            <w:shd w:val="clear" w:color="auto" w:fill="D9E2F3"/>
          </w:tcPr>
          <w:p>
            <w:pPr>
              <w:jc w:val="center"/>
            </w:pPr>
            <w:r>
              <w:rPr>
                <w:b/>
              </w:rPr>
              <w:t xml:space="preserve">Principal cost drivers</w:t>
            </w:r>
          </w:p>
        </w:tc>
        <w:tc>
          <w:tcPr>
            <w:shd w:val="clear" w:color="auto" w:fill="D9E2F3"/>
          </w:tcPr>
          <w:p>
            <w:pPr>
              <w:jc w:val="center"/>
            </w:pPr>
            <w:r>
              <w:rPr>
                <w:b/>
              </w:rPr>
              <w:t xml:space="preserve">Most affected groups</w:t>
            </w:r>
          </w:p>
        </w:tc>
      </w:tr>
      <w:tr>
        <w:tc>
          <w:p>
            <w:pPr>
              <w:spacing w:after="40"/>
            </w:pPr>
            <w:r>
              <w:t xml:space="preserve">Heat-related illness</w:t>
            </w:r>
          </w:p>
        </w:tc>
        <w:tc>
          <w:p>
            <w:pPr>
              <w:spacing w:after="40"/>
            </w:pPr>
            <w:r>
              <w:t xml:space="preserve">Extreme heat, heatwaves</w:t>
            </w:r>
          </w:p>
        </w:tc>
        <w:tc>
          <w:p>
            <w:pPr>
              <w:spacing w:after="40"/>
            </w:pPr>
            <w:r>
              <w:t xml:space="preserve">Emergency care, hospital admissions, lost workdays</w:t>
            </w:r>
          </w:p>
        </w:tc>
        <w:tc>
          <w:p>
            <w:pPr>
              <w:spacing w:after="40"/>
            </w:pPr>
            <w:r>
              <w:t xml:space="preserve">Outdoor workers, older adults, infants</w:t>
            </w:r>
          </w:p>
        </w:tc>
      </w:tr>
      <w:tr>
        <w:tc>
          <w:p>
            <w:pPr>
              <w:spacing w:after="40"/>
            </w:pPr>
            <w:r>
              <w:t xml:space="preserve">Cardiovascular &amp; respiratory disease</w:t>
            </w:r>
          </w:p>
        </w:tc>
        <w:tc>
          <w:p>
            <w:pPr>
              <w:spacing w:after="40"/>
            </w:pPr>
            <w:r>
              <w:t xml:space="preserve">Heat, air pollution, wildfire smoke</w:t>
            </w:r>
          </w:p>
        </w:tc>
        <w:tc>
          <w:p>
            <w:pPr>
              <w:spacing w:after="40"/>
            </w:pPr>
            <w:r>
              <w:t xml:space="preserve">Chronic management, acute admissions, medication</w:t>
            </w:r>
          </w:p>
        </w:tc>
        <w:tc>
          <w:p>
            <w:pPr>
              <w:spacing w:after="40"/>
            </w:pPr>
            <w:r>
              <w:t xml:space="preserve">Older adults, people with chronic illness</w:t>
            </w:r>
          </w:p>
        </w:tc>
      </w:tr>
      <w:tr>
        <w:tc>
          <w:p>
            <w:pPr>
              <w:spacing w:after="40"/>
            </w:pPr>
            <w:r>
              <w:t xml:space="preserve">Vector-borne disease</w:t>
            </w:r>
          </w:p>
        </w:tc>
        <w:tc>
          <w:p>
            <w:pPr>
              <w:spacing w:after="40"/>
            </w:pPr>
            <w:r>
              <w:t xml:space="preserve">Warming, altered rainfall</w:t>
            </w:r>
          </w:p>
        </w:tc>
        <w:tc>
          <w:p>
            <w:pPr>
              <w:spacing w:after="40"/>
            </w:pPr>
            <w:r>
              <w:t xml:space="preserve">Diagnosis, treatment, vector control, surveillance</w:t>
            </w:r>
          </w:p>
        </w:tc>
        <w:tc>
          <w:p>
            <w:pPr>
              <w:spacing w:after="40"/>
            </w:pPr>
            <w:r>
              <w:t xml:space="preserve">Rural and newly exposed populations</w:t>
            </w:r>
          </w:p>
        </w:tc>
      </w:tr>
      <w:tr>
        <w:tc>
          <w:p>
            <w:pPr>
              <w:spacing w:after="40"/>
            </w:pPr>
            <w:r>
              <w:t xml:space="preserve">Acute kidney injury</w:t>
            </w:r>
          </w:p>
        </w:tc>
        <w:tc>
          <w:p>
            <w:pPr>
              <w:spacing w:after="40"/>
            </w:pPr>
            <w:r>
              <w:t xml:space="preserve">Occupational heat strain, dehydration</w:t>
            </w:r>
          </w:p>
        </w:tc>
        <w:tc>
          <w:p>
            <w:pPr>
              <w:spacing w:after="40"/>
            </w:pPr>
            <w:r>
              <w:t xml:space="preserve">Dialysis, hospitalisation, long-term renal care</w:t>
            </w:r>
          </w:p>
        </w:tc>
        <w:tc>
          <w:p>
            <w:pPr>
              <w:spacing w:after="40"/>
            </w:pPr>
            <w:r>
              <w:t xml:space="preserve">Agricultural and construction workers</w:t>
            </w:r>
          </w:p>
        </w:tc>
      </w:tr>
      <w:tr>
        <w:tc>
          <w:p>
            <w:pPr>
              <w:spacing w:after="40"/>
            </w:pPr>
            <w:r>
              <w:t xml:space="preserve">Mental health conditions</w:t>
            </w:r>
          </w:p>
        </w:tc>
        <w:tc>
          <w:p>
            <w:pPr>
              <w:spacing w:after="40"/>
            </w:pPr>
            <w:r>
              <w:t xml:space="preserve">Extreme events, displacement</w:t>
            </w:r>
          </w:p>
        </w:tc>
        <w:tc>
          <w:p>
            <w:pPr>
              <w:spacing w:after="40"/>
            </w:pPr>
            <w:r>
              <w:t xml:space="preserve">Long-term care, lost productivity, social support</w:t>
            </w:r>
          </w:p>
        </w:tc>
        <w:tc>
          <w:p>
            <w:pPr>
              <w:spacing w:after="40"/>
            </w:pPr>
            <w:r>
              <w:t xml:space="preserve">Displaced and disaster-affected communities</w:t>
            </w:r>
          </w:p>
        </w:tc>
      </w:tr>
    </w:tbl>
    <w:p>
      <w:pPr>
        <w:pStyle w:val="Normal"/>
      </w:pPr>
      <w:r>
        <w:t xml:space="preserve">The financial implications of these pathways extend well beyond the direct cost of treatment. For households, climate-sensitive illness brings out-of-pocket medical expenditure, lost earnings during sickness, and, in the worst cases, catastrophic health spending that pushes families into poverty [17]. For insurers and public systems, the aggregate effect is a rising and increasingly volatile claims and expenditure base, as the conditions catalogued in Table 2 generate both chronic cost growth and episodic surges during extreme events. As Figure 3 emphasises, these expenditures are the predictable terminus of a causal chain that begins with unmitigated warming, so that spending framed in health budgets as unavoidable is in substantial part a deferred cost of climate inaction [19].</w:t>
      </w:r>
    </w:p>
    <w:p>
      <w:pPr>
        <w:pStyle w:val="Heading2"/>
      </w:pPr>
      <w:r>
        <w:t xml:space="preserve">2.2 Heat Stress, Workforce Productivity, and Economic Losses</w:t>
      </w:r>
    </w:p>
    <w:p>
      <w:pPr>
        <w:pStyle w:val="Normal"/>
      </w:pPr>
      <w:r>
        <w:t xml:space="preserve">Beyond its effects on disease, heat exerts a powerful and under-appreciated influence on the capacity to work. Human physical and cognitive performance degrades as the body struggles to maintain a safe core temperature under heat and humidity, forcing reductions in work intensity, more frequent rest, and in severe conditions the cessation of labour altogether [22]. Because this physiological ceiling applies most forcefully to physically demanding tasks performed outdoors or in unconditioned environments, the burden falls disproportionately on the sectors and workers least able to absorb it. A systematic synthesis of the evidence confirms that occupational heat strain is associated with substantial reductions in productivity as well as with elevated risks of injury and chronic ill-health among exposed workers [23].</w:t>
      </w:r>
    </w:p>
    <w:p>
      <w:pPr>
        <w:pStyle w:val="Normal"/>
      </w:pPr>
      <w:r>
        <w:t xml:space="preserve">The macroeconomic magnitude of these productivity losses is large and growing. Modelling studies that combine physiological limits with climate projections estimate that heat-induced reductions in worker output already impose economic costs amounting to a meaningful fraction of output in heat-exposed economies, with losses projected to multiply under continued warming [24]. National-scale analyses have translated these effects into concrete figures, attributing significant annual economic losses to heat-related productivity decline even in high-income temperate economies [25]. More recent work integrating labour supply and labour productivity concludes that the combined effect is considerably larger than either channel considered alone, because heat both shortens the hours worked and reduces the output produced per hour [26]. Table 3 disaggregates the impact across the principal exposed sectors.</w:t>
      </w:r>
    </w:p>
    <w:p>
      <w:pPr>
        <w:pStyle w:val="TableCaption"/>
      </w:pPr>
      <w:r>
        <w:t xml:space="preserve">[Insert Table 3 here]</w:t>
      </w:r>
    </w:p>
    <w:p>
      <w:pPr>
        <w:pStyle w:val="TableCaption"/>
      </w:pPr>
      <w:r>
        <w:t xml:space="preserve">Table 3. Sectoral exposure to heat-related productivity loss</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shd w:val="clear" w:color="auto" w:fill="D9E2F3"/>
          </w:tcPr>
          <w:p>
            <w:pPr>
              <w:jc w:val="center"/>
            </w:pPr>
            <w:r>
              <w:rPr>
                <w:b/>
              </w:rPr>
              <w:t xml:space="preserve">Sector</w:t>
            </w:r>
          </w:p>
        </w:tc>
        <w:tc>
          <w:tcPr>
            <w:shd w:val="clear" w:color="auto" w:fill="D9E2F3"/>
          </w:tcPr>
          <w:p>
            <w:pPr>
              <w:jc w:val="center"/>
            </w:pPr>
            <w:r>
              <w:rPr>
                <w:b/>
              </w:rPr>
              <w:t xml:space="preserve">Nature of exposure</w:t>
            </w:r>
          </w:p>
        </w:tc>
        <w:tc>
          <w:tcPr>
            <w:shd w:val="clear" w:color="auto" w:fill="D9E2F3"/>
          </w:tcPr>
          <w:p>
            <w:pPr>
              <w:jc w:val="center"/>
            </w:pPr>
            <w:r>
              <w:rPr>
                <w:b/>
              </w:rPr>
              <w:t xml:space="preserve">Dominant loss mechanism</w:t>
            </w:r>
          </w:p>
        </w:tc>
        <w:tc>
          <w:tcPr>
            <w:shd w:val="clear" w:color="auto" w:fill="D9E2F3"/>
          </w:tcPr>
          <w:p>
            <w:pPr>
              <w:jc w:val="center"/>
            </w:pPr>
            <w:r>
              <w:rPr>
                <w:b/>
              </w:rPr>
              <w:t xml:space="preserve">Relative vulnerability</w:t>
            </w:r>
          </w:p>
        </w:tc>
      </w:tr>
      <w:tr>
        <w:tc>
          <w:p>
            <w:pPr>
              <w:spacing w:after="40"/>
            </w:pPr>
            <w:r>
              <w:t xml:space="preserve">Agriculture</w:t>
            </w:r>
          </w:p>
        </w:tc>
        <w:tc>
          <w:p>
            <w:pPr>
              <w:spacing w:after="40"/>
            </w:pPr>
            <w:r>
              <w:t xml:space="preserve">Outdoor, physically intensive labour</w:t>
            </w:r>
          </w:p>
        </w:tc>
        <w:tc>
          <w:p>
            <w:pPr>
              <w:spacing w:after="40"/>
            </w:pPr>
            <w:r>
              <w:t xml:space="preserve">Reduced work hours, yield-linked income loss</w:t>
            </w:r>
          </w:p>
        </w:tc>
        <w:tc>
          <w:p>
            <w:pPr>
              <w:spacing w:after="40"/>
            </w:pPr>
            <w:r>
              <w:t xml:space="preserve">Very high</w:t>
            </w:r>
          </w:p>
        </w:tc>
      </w:tr>
      <w:tr>
        <w:tc>
          <w:p>
            <w:pPr>
              <w:spacing w:after="40"/>
            </w:pPr>
            <w:r>
              <w:t xml:space="preserve">Construction</w:t>
            </w:r>
          </w:p>
        </w:tc>
        <w:tc>
          <w:p>
            <w:pPr>
              <w:spacing w:after="40"/>
            </w:pPr>
            <w:r>
              <w:t xml:space="preserve">Outdoor work, heavy exertion</w:t>
            </w:r>
          </w:p>
        </w:tc>
        <w:tc>
          <w:p>
            <w:pPr>
              <w:spacing w:after="40"/>
            </w:pPr>
            <w:r>
              <w:t xml:space="preserve">Slowed work, stoppages, injury, absenteeism</w:t>
            </w:r>
          </w:p>
        </w:tc>
        <w:tc>
          <w:p>
            <w:pPr>
              <w:spacing w:after="40"/>
            </w:pPr>
            <w:r>
              <w:t xml:space="preserve">Very high</w:t>
            </w:r>
          </w:p>
        </w:tc>
      </w:tr>
      <w:tr>
        <w:tc>
          <w:p>
            <w:pPr>
              <w:spacing w:after="40"/>
            </w:pPr>
            <w:r>
              <w:t xml:space="preserve">Manufacturing</w:t>
            </w:r>
          </w:p>
        </w:tc>
        <w:tc>
          <w:p>
            <w:pPr>
              <w:spacing w:after="40"/>
            </w:pPr>
            <w:r>
              <w:t xml:space="preserve">Unconditioned indoor heat, process heat</w:t>
            </w:r>
          </w:p>
        </w:tc>
        <w:tc>
          <w:p>
            <w:pPr>
              <w:spacing w:after="40"/>
            </w:pPr>
            <w:r>
              <w:t xml:space="preserve">Reduced throughput, equipment downtime</w:t>
            </w:r>
          </w:p>
        </w:tc>
        <w:tc>
          <w:p>
            <w:pPr>
              <w:spacing w:after="40"/>
            </w:pPr>
            <w:r>
              <w:t xml:space="preserve">High</w:t>
            </w:r>
          </w:p>
        </w:tc>
      </w:tr>
      <w:tr>
        <w:tc>
          <w:p>
            <w:pPr>
              <w:spacing w:after="40"/>
            </w:pPr>
            <w:r>
              <w:t xml:space="preserve">Transport &amp; logistics</w:t>
            </w:r>
          </w:p>
        </w:tc>
        <w:tc>
          <w:p>
            <w:pPr>
              <w:spacing w:after="40"/>
            </w:pPr>
            <w:r>
              <w:t xml:space="preserve">Exposure in cabs, yards, and handling</w:t>
            </w:r>
          </w:p>
        </w:tc>
        <w:tc>
          <w:p>
            <w:pPr>
              <w:spacing w:after="40"/>
            </w:pPr>
            <w:r>
              <w:t xml:space="preserve">Slower operations, safety-driven stoppages</w:t>
            </w:r>
          </w:p>
        </w:tc>
        <w:tc>
          <w:p>
            <w:pPr>
              <w:spacing w:after="40"/>
            </w:pPr>
            <w:r>
              <w:t xml:space="preserve">Moderate to high</w:t>
            </w:r>
          </w:p>
        </w:tc>
      </w:tr>
      <w:tr>
        <w:tc>
          <w:p>
            <w:pPr>
              <w:spacing w:after="40"/>
            </w:pPr>
            <w:r>
              <w:t xml:space="preserve">Healthcare &amp; care work</w:t>
            </w:r>
          </w:p>
        </w:tc>
        <w:tc>
          <w:p>
            <w:pPr>
              <w:spacing w:after="40"/>
            </w:pPr>
            <w:r>
              <w:t xml:space="preserve">Indoor exertion, high cooling demand</w:t>
            </w:r>
          </w:p>
        </w:tc>
        <w:tc>
          <w:p>
            <w:pPr>
              <w:spacing w:after="40"/>
            </w:pPr>
            <w:r>
              <w:t xml:space="preserve">Staff fatigue, rising facility energy cost</w:t>
            </w:r>
          </w:p>
        </w:tc>
        <w:tc>
          <w:p>
            <w:pPr>
              <w:spacing w:after="40"/>
            </w:pPr>
            <w:r>
              <w:t xml:space="preserve">Moderate</w:t>
            </w:r>
          </w:p>
        </w:tc>
      </w:tr>
    </w:tbl>
    <w:p>
      <w:pPr>
        <w:pStyle w:val="Normal"/>
      </w:pPr>
      <w:r>
        <w:t xml:space="preserve">The composition of these losses matters for policy as much as their magnitude. As Table 3 indicates, the most heat-exposed sectors—agriculture and construction—are also those that employ large numbers of low-income and informally employed workers, so that the productivity penalty of heat is simultaneously a driver of economic inequality [26]. The economic consequences extend beyond reduced output in the hours worked to encompass absenteeism, the loss of working hours shifted to cooler parts of the day, premature mortality that removes experienced workers from the labour force, and a general decline in labour efficiency [22]. Each of these represents a distinct pathway from climatic exposure to economic loss, and each is amenable to reduction through the kinds of adaptation and mitigation discussed later in the chapter.</w:t>
      </w:r>
    </w:p>
    <w:p>
      <w:pPr>
        <w:pStyle w:val="Heading2"/>
      </w:pPr>
      <w:r>
        <w:t xml:space="preserve">2.3 Healthcare Infrastructure, Resource Allocation, and Climate Resilience</w:t>
      </w:r>
    </w:p>
    <w:p>
      <w:pPr>
        <w:pStyle w:val="Normal"/>
      </w:pPr>
      <w:r>
        <w:t xml:space="preserve">The same climatic stresses that raise the demand for healthcare also strain the systems that must supply it. Heatwaves and climate-related emergencies produce surges in demand that arrive precisely when facilities are themselves under physical stress—when cooling loads peak, when power and water supplies are most fragile, and when staff are themselves affected by heat [27]. The result is a double burden: hospitals and clinics must simultaneously treat more patients and operate under more difficult conditions, with direct financial consequences in the form of higher energy costs for cooling, investment in backup power and water, and the expense of maintaining surge capacity [28]. In systems already constrained by limited budgets, these pressures can divert resources from routine and preventive care, undermining the pursuit of universal health coverage [28].</w:t>
      </w:r>
    </w:p>
    <w:p>
      <w:pPr>
        <w:pStyle w:val="Normal"/>
      </w:pPr>
      <w:r>
        <w:t xml:space="preserve">These vulnerabilities are not evenly distributed across health systems. Facilities in low- and middle-income countries, and those serving poorer populations within wealthier countries, typically have the least physical resilience and the smallest financial margin to absorb climate shocks, so that the cost of inaction on healthcare infrastructure is concentrated where capacity is already thinnest [29]. The conditions catalogued in Table 2 do not arrive at a constant rate; they cluster during extreme events, producing the episodic surges that test a system's resilience most severely. Planning that ignores this clustering—by sizing capacity to average rather than peak demand—systematically under-provides for the very events that inflict the greatest harm [27].</w:t>
      </w:r>
    </w:p>
    <w:p>
      <w:pPr>
        <w:pStyle w:val="Normal"/>
      </w:pPr>
      <w:r>
        <w:t xml:space="preserve">The economic logic of resilience investment is, against this backdrop, compelling. Climate-resilient healthcare infrastructure, reliable emergency preparedness, early-warning systems linked to heat-health action plans, and an emphasis on preventive care all reduce the downstream costs that would otherwise accumulate during climate emergencies [29]. As Figure 3 makes explicit, interventions that act early in the transmission chain—before exposure becomes illness and illness becomes hospital admission—are generally far cheaper than those that address its final stages. Investment in resilient and preventive healthcare therefore represents not an additional expenditure layered onto an already strained system but a means of containing the expenditure that climate inaction would otherwise force, converting a reactive and volatile cost base into a managed and predictable one [28].</w:t>
      </w:r>
    </w:p>
    <w:p>
      <w:pPr>
        <w:pStyle w:val="Heading1"/>
      </w:pPr>
      <w:r>
        <w:t xml:space="preserve">3. Social Inequities, Community Vulnerability, and the Distribution of Economic Burdens</w:t>
      </w:r>
    </w:p>
    <w:p>
      <w:pPr>
        <w:pStyle w:val="Heading2"/>
      </w:pPr>
      <w:r>
        <w:t xml:space="preserve">3.1 Economic Vulnerability of Low-Income and Marginalised Populations</w:t>
      </w:r>
    </w:p>
    <w:p>
      <w:pPr>
        <w:pStyle w:val="Normal"/>
      </w:pPr>
      <w:r>
        <w:t xml:space="preserve">The costs of climate inaction are not distributed in proportion to responsibility, nor are they distributed evenly across society; they fall most heavily on those least able to bear them. Low-income households, older adults, outdoor workers, and people with limited access to healthcare experience both greater exposure to climatic hazards and greater sensitivity to their effects, while commanding the fewest resources with which to adapt or recover [30]. Analyses that examine climate change through a poverty lens have shown that the poor are more likely to live and work in hazard-prone locations, to depend on climate-sensitive income sources such as agriculture, and to lack the savings, insurance, and social protection that would otherwise buffer a shock [30]. The consequence is that a climatic event of given physical magnitude translates into a far larger proportional loss of welfare for a poor household than for a wealthy one.</w:t>
      </w:r>
    </w:p>
    <w:p>
      <w:pPr>
        <w:pStyle w:val="Normal"/>
      </w:pPr>
      <w:r>
        <w:t xml:space="preserve">The mechanisms linking climate exposure to entrenched disadvantage are mutually reinforcing. Medical expenses arising from climate-sensitive illness deplete household savings; income lost to heat-driven reductions in working hours erodes the capacity to rebuild them; and food insecurity driven by crop failure and price volatility undermines the nutrition and health that underpin future earning capacity [31]. Housing quality is a critical mediating factor, because poorly constructed and poorly ventilated dwellings amplify indoor heat, while the absence of affordable cooling leaves occupants exposed during heatwaves [31]. The disadvantage also compounds across generations: exposure to heat impairs cognitive performance and learning, so that children in poorly cooled homes and schools accumulate less human capital, dampening their future earnings and entrenching inequality over the long run [32]. Social protection—where it exists—can interrupt these spirals, but its coverage is frequently thinnest precisely among the informal and marginalised populations most in need of it, so that the distributional pattern summarised throughout this section reflects gaps in institutions as much as differences in physical exposure [30].</w:t>
      </w:r>
    </w:p>
    <w:p>
      <w:pPr>
        <w:pStyle w:val="Heading2"/>
      </w:pPr>
      <w:r>
        <w:t xml:space="preserve">3.2 Climate Inaction, Health Inequity, and Community-Level Economic Impacts</w:t>
      </w:r>
    </w:p>
    <w:p>
      <w:pPr>
        <w:pStyle w:val="Normal"/>
      </w:pPr>
      <w:r>
        <w:t xml:space="preserve">At the community scale, the interaction of climatic and social factors produces concentrated pockets of acute vulnerability. Urban heat islands raise temperatures most in densely built, low-income neighbourhoods that lack green space and tree cover, and these same neighbourhoods frequently combine inadequate housing with limited access to healthcare, so that the physical hazard and the social deficit compound one another [33]. The result is a stark gradient in heat-related health outcomes across neighbourhoods within a single city, with the economic costs of illness, lost work, and premature death falling most heavily on communities already disadvantaged [33]. Table 3 makes clear that the sectors in which these residents are concentrated—agriculture, construction, informal manufacturing—are also those most exposed to heat-driven productivity loss, so that place-based and work-based disadvantages reinforce each other.</w:t>
      </w:r>
    </w:p>
    <w:p>
      <w:pPr>
        <w:pStyle w:val="Normal"/>
      </w:pPr>
      <w:r>
        <w:t xml:space="preserve">Climate inaction also disrupts community livelihoods through displacement and migration. As repeated disasters and slow-onset degradation render some areas less habitable or less productive, households are pushed into distress migration that severs social networks, interrupts income, and frequently relocates people into unfamiliar and often equally precarious circumstances [34]. The economic costs of such displacement—foregone earnings, the expense of relocation, the erosion of community assets—are substantial and are borne overwhelmingly by those with the least capacity to absorb them [34]. Gendered inequalities cut across all of these dynamics: women are over-represented in informal and unpaid work, often bear primary responsibility for securing water, food, and care under worsening conditions, and face distinct exposures to occupational and domestic heat stress that are frequently invisible in formal economic accounting [35]. The distributional burdens are therefore shaped not only by income but by gender, age, and social position acting together.</w:t>
      </w:r>
    </w:p>
    <w:p>
      <w:pPr>
        <w:pStyle w:val="Heading2"/>
      </w:pPr>
      <w:r>
        <w:t xml:space="preserve">3.3 Economic Assessment of Health Equity and Community Resilience</w:t>
      </w:r>
    </w:p>
    <w:p>
      <w:pPr>
        <w:pStyle w:val="Normal"/>
      </w:pPr>
      <w:r>
        <w:t xml:space="preserve">If the burdens of climate inaction are distributed unequally, then any economic assessment that weighs only aggregate costs and benefits will misrepresent the true welfare consequences of policy. Distributional cost–benefit analysis addresses this by assigning explicit weight to the incidence of costs and benefits across socioeconomic groups, recognising that a given monetary loss represents a far greater welfare loss for a poor household than for a wealthy one [36]. Incorporating such weighting into the valuation of health outcomes—and into the social cost of carbon itself—systematically raises the apparent value of avoiding harms that fall on the worst-off, and therefore strengthens the economic case for equity-oriented climate action [36]. This reframing connects the distributional analysis of this section back to the valuation methods set out in Table 1, extending them to account for who gains and who loses.</w:t>
      </w:r>
    </w:p>
    <w:p>
      <w:pPr>
        <w:pStyle w:val="Normal"/>
      </w:pPr>
      <w:r>
        <w:t xml:space="preserve">The corollary is that investments targeted at vulnerable communities tend to yield high social returns. Community cooling centres, accessible primary healthcare, public awareness campaigns, and locally embedded early-warning systems are comparatively inexpensive interventions that interrupt the transmission from climatic exposure to health and economic loss at its early, cheaper stages [37]. Because they are directed at the populations experiencing the steepest exposure–response gradients, their benefits per unit of expenditure are correspondingly large [37]. Realising these returns, however, requires financing mechanisms suited to communities that markets routinely underserve—public investment, targeted subsidies, and social-protection programmes that reach informal and marginalised workers. The integrated framework presented in Figure 4 situates these equity-oriented instruments within the wider architecture of climate-ready economic policy, emphasising that efficiency and equity, far from being in tension, are complementary objectives in the economics of climate action [36].</w:t>
      </w:r>
    </w:p>
    <w:p>
      <w:pPr>
        <w:pStyle w:val="Heading1"/>
      </w:pPr>
      <w:r>
        <w:t xml:space="preserve">4. Policy Pathways, Economic Benefits of Climate Action, and Future Directions</w:t>
      </w:r>
    </w:p>
    <w:p>
      <w:pPr>
        <w:pStyle w:val="Heading2"/>
      </w:pPr>
      <w:r>
        <w:t xml:space="preserve">4.1 Economic Case for Climate Mitigation and Preventive Healthcare</w:t>
      </w:r>
    </w:p>
    <w:p>
      <w:pPr>
        <w:pStyle w:val="Normal"/>
      </w:pPr>
      <w:r>
        <w:t xml:space="preserve">The accumulated analysis of the preceding sections yields a clear economic verdict: the long-run costs of climate inaction substantially exceed the costs of a well-designed programme of mitigation and adaptation. When the macroeconomic damages traced in Section 1, the health expenditures and productivity losses examined in Section 2, and the distributional harms analysed in Section 3 are brought together, the balance tips decisively toward action—a conclusion that Figure 2 renders visually as the widening gap between the inaction and action trajectories [38]. Critically, much of the benefit of mitigation accrues not in the distant future but in the near term and through channels other than avoided warming, in the form of health co-benefits [38].</w:t>
      </w:r>
    </w:p>
    <w:p>
      <w:pPr>
        <w:pStyle w:val="Normal"/>
      </w:pPr>
      <w:r>
        <w:t xml:space="preserve">These co-benefits are large enough to alter the economics of climate policy on their own terms. The reduction in fossil-fuel combustion that mitigation entails directly improves air quality, averting a substantial burden of cardiovascular and respiratory disease whose treatment costs and productivity losses are avoided alongside the emissions [38]. Modelling of the health implications of meeting the goals of the Paris Agreement finds that the monetised value of these health gains can offset a large share, and in some regions the entirety, of the cost of mitigation, so that emissions reduction can be economically attractive even before the avoided climate damages are counted [39]. Preventive healthcare and heat-health action plans deliver a parallel logic on the adaptation side: by acting early in the transmission chain, they avert the far higher costs of emergency treatment and lost output [40]. Table 4 brings these instruments together, summarising the principal policy levers, their mechanisms, and their associated co-benefits.</w:t>
      </w:r>
    </w:p>
    <w:p>
      <w:pPr>
        <w:pStyle w:val="TableCaption"/>
      </w:pPr>
      <w:r>
        <w:t xml:space="preserve">[Insert Table 4 here]</w:t>
      </w:r>
    </w:p>
    <w:p>
      <w:pPr>
        <w:pStyle w:val="TableCaption"/>
      </w:pPr>
      <w:r>
        <w:t xml:space="preserve">Table 4. Policy instruments for climate action and their economic co-benefits</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shd w:val="clear" w:color="auto" w:fill="D9E2F3"/>
          </w:tcPr>
          <w:p>
            <w:pPr>
              <w:jc w:val="center"/>
            </w:pPr>
            <w:r>
              <w:rPr>
                <w:b/>
              </w:rPr>
              <w:t xml:space="preserve">Policy instrument</w:t>
            </w:r>
          </w:p>
        </w:tc>
        <w:tc>
          <w:tcPr>
            <w:shd w:val="clear" w:color="auto" w:fill="D9E2F3"/>
          </w:tcPr>
          <w:p>
            <w:pPr>
              <w:jc w:val="center"/>
            </w:pPr>
            <w:r>
              <w:rPr>
                <w:b/>
              </w:rPr>
              <w:t xml:space="preserve">Primary mechanism</w:t>
            </w:r>
          </w:p>
        </w:tc>
        <w:tc>
          <w:tcPr>
            <w:shd w:val="clear" w:color="auto" w:fill="D9E2F3"/>
          </w:tcPr>
          <w:p>
            <w:pPr>
              <w:jc w:val="center"/>
            </w:pPr>
            <w:r>
              <w:rPr>
                <w:b/>
              </w:rPr>
              <w:t xml:space="preserve">Principal economic co-benefits</w:t>
            </w:r>
          </w:p>
        </w:tc>
        <w:tc>
          <w:tcPr>
            <w:shd w:val="clear" w:color="auto" w:fill="D9E2F3"/>
          </w:tcPr>
          <w:p>
            <w:pPr>
              <w:jc w:val="center"/>
            </w:pPr>
            <w:r>
              <w:rPr>
                <w:b/>
              </w:rPr>
              <w:t xml:space="preserve">Main implementing actors</w:t>
            </w:r>
          </w:p>
        </w:tc>
      </w:tr>
      <w:tr>
        <w:tc>
          <w:p>
            <w:pPr>
              <w:spacing w:after="40"/>
            </w:pPr>
            <w:r>
              <w:t xml:space="preserve">Carbon pricing</w:t>
            </w:r>
          </w:p>
        </w:tc>
        <w:tc>
          <w:p>
            <w:pPr>
              <w:spacing w:after="40"/>
            </w:pPr>
            <w:r>
              <w:t xml:space="preserve">Internalises the social cost of emissions</w:t>
            </w:r>
          </w:p>
        </w:tc>
        <w:tc>
          <w:p>
            <w:pPr>
              <w:spacing w:after="40"/>
            </w:pPr>
            <w:r>
              <w:t xml:space="preserve">Revenue for reinvestment, efficiency gains, cleaner air</w:t>
            </w:r>
          </w:p>
        </w:tc>
        <w:tc>
          <w:p>
            <w:pPr>
              <w:spacing w:after="40"/>
            </w:pPr>
            <w:r>
              <w:t xml:space="preserve">Governments, treasuries</w:t>
            </w:r>
          </w:p>
        </w:tc>
      </w:tr>
      <w:tr>
        <w:tc>
          <w:p>
            <w:pPr>
              <w:spacing w:after="40"/>
            </w:pPr>
            <w:r>
              <w:t xml:space="preserve">Clean-energy investment</w:t>
            </w:r>
          </w:p>
        </w:tc>
        <w:tc>
          <w:p>
            <w:pPr>
              <w:spacing w:after="40"/>
            </w:pPr>
            <w:r>
              <w:t xml:space="preserve">Displaces fossil combustion</w:t>
            </w:r>
          </w:p>
        </w:tc>
        <w:tc>
          <w:p>
            <w:pPr>
              <w:spacing w:after="40"/>
            </w:pPr>
            <w:r>
              <w:t xml:space="preserve">Reduced air-pollution disease, energy security, jobs</w:t>
            </w:r>
          </w:p>
        </w:tc>
        <w:tc>
          <w:p>
            <w:pPr>
              <w:spacing w:after="40"/>
            </w:pPr>
            <w:r>
              <w:t xml:space="preserve">Governments, private sector</w:t>
            </w:r>
          </w:p>
        </w:tc>
      </w:tr>
      <w:tr>
        <w:tc>
          <w:p>
            <w:pPr>
              <w:spacing w:after="40"/>
            </w:pPr>
            <w:r>
              <w:t xml:space="preserve">Heat-health action plans</w:t>
            </w:r>
          </w:p>
        </w:tc>
        <w:tc>
          <w:p>
            <w:pPr>
              <w:spacing w:after="40"/>
            </w:pPr>
            <w:r>
              <w:t xml:space="preserve">Early warning and preventive response</w:t>
            </w:r>
          </w:p>
        </w:tc>
        <w:tc>
          <w:p>
            <w:pPr>
              <w:spacing w:after="40"/>
            </w:pPr>
            <w:r>
              <w:t xml:space="preserve">Averted emergency care, reduced mortality and lost work</w:t>
            </w:r>
          </w:p>
        </w:tc>
        <w:tc>
          <w:p>
            <w:pPr>
              <w:spacing w:after="40"/>
            </w:pPr>
            <w:r>
              <w:t xml:space="preserve">Health systems, municipalities</w:t>
            </w:r>
          </w:p>
        </w:tc>
      </w:tr>
      <w:tr>
        <w:tc>
          <w:p>
            <w:pPr>
              <w:spacing w:after="40"/>
            </w:pPr>
            <w:r>
              <w:t xml:space="preserve">Resilient infrastructure</w:t>
            </w:r>
          </w:p>
        </w:tc>
        <w:tc>
          <w:p>
            <w:pPr>
              <w:spacing w:after="40"/>
            </w:pPr>
            <w:r>
              <w:t xml:space="preserve">Reduces damage from extreme events</w:t>
            </w:r>
          </w:p>
        </w:tc>
        <w:tc>
          <w:p>
            <w:pPr>
              <w:spacing w:after="40"/>
            </w:pPr>
            <w:r>
              <w:t xml:space="preserve">Avoided repair and disruption costs, service continuity</w:t>
            </w:r>
          </w:p>
        </w:tc>
        <w:tc>
          <w:p>
            <w:pPr>
              <w:spacing w:after="40"/>
            </w:pPr>
            <w:r>
              <w:t xml:space="preserve">Governments, utilities, financiers</w:t>
            </w:r>
          </w:p>
        </w:tc>
      </w:tr>
      <w:tr>
        <w:tc>
          <w:p>
            <w:pPr>
              <w:spacing w:after="40"/>
            </w:pPr>
            <w:r>
              <w:t xml:space="preserve">Climate-informed health budgeting</w:t>
            </w:r>
          </w:p>
        </w:tc>
        <w:tc>
          <w:p>
            <w:pPr>
              <w:spacing w:after="40"/>
            </w:pPr>
            <w:r>
              <w:t xml:space="preserve">Aligns resources with projected risk</w:t>
            </w:r>
          </w:p>
        </w:tc>
        <w:tc>
          <w:p>
            <w:pPr>
              <w:spacing w:after="40"/>
            </w:pPr>
            <w:r>
              <w:t xml:space="preserve">Smoother expenditure, protected universal coverage</w:t>
            </w:r>
          </w:p>
        </w:tc>
        <w:tc>
          <w:p>
            <w:pPr>
              <w:spacing w:after="40"/>
            </w:pPr>
            <w:r>
              <w:t xml:space="preserve">Health ministries, insurers</w:t>
            </w:r>
          </w:p>
        </w:tc>
      </w:tr>
    </w:tbl>
    <w:p>
      <w:pPr>
        <w:pStyle w:val="Heading2"/>
      </w:pPr>
      <w:r>
        <w:t xml:space="preserve">4.2 Policy Instruments, Climate Finance, and Institutional Strategies</w:t>
      </w:r>
    </w:p>
    <w:p>
      <w:pPr>
        <w:pStyle w:val="Normal"/>
      </w:pPr>
      <w:r>
        <w:t xml:space="preserve">Turning the economic case into practice requires a coherent set of policy instruments and the finance to support them. Carbon pricing occupies a central place in the economist's toolkit because it internalises the social cost of emissions, aligns private incentives with social welfare, and generates revenue that can be recycled to offset distributional burdens or to fund adaptation [41]. Its effectiveness, however, depends on complementary instruments—standards, public investment, and innovation support—because price signals alone are rarely sufficient to overcome the market failures and behavioural inertia that sustain carbon-intensive systems [41]. Table 4 locates carbon pricing within this broader portfolio, emphasising that the instruments it lists are complements rather than substitutes and that their combined effect exceeds the sum of their parts.</w:t>
      </w:r>
    </w:p>
    <w:p>
      <w:pPr>
        <w:pStyle w:val="Normal"/>
      </w:pPr>
      <w:r>
        <w:t xml:space="preserve">Investment in resilient infrastructure is a second pillar, and its economics are unusually favourable. Analyses of infrastructure resilience in developing countries find that the additional cost of building resilience is modest relative to the losses it averts, with each unit of investment returning several units of avoided damage and disruption over the asset's lifetime [42]. Extending this logic to the health sector, the integration of climate risk into national health budgets and economic planning allows governments to anticipate rather than merely absorb the expenditure surges documented in Section 2, converting volatile reactive spending into managed investment [42]. Realising these gains depends on the coordinated action of governments, healthcare institutions, international organisations, and private-sector financiers, each of which controls part of the capital and capacity required. Figure 4 presents an integrated framework that links these instruments and actors, showing how carbon pricing, clean-energy and resilience investment, and climate-informed budgeting combine to move an economy from reactive exposure toward anticipatory resilience.</w:t>
      </w:r>
    </w:p>
    <w:p>
      <w:pPr>
        <w:pStyle w:val="FigureImage"/>
      </w:pPr>
      <w:r>
        <w:drawing>
          <wp:inline xmlns:wp="http://schemas.openxmlformats.org/drawingml/2006/wordprocessingDrawing" distT="0" distB="0" distL="0" distR="0">
            <wp:extent cx="5486400" cy="2918297"/>
            <wp:effectExtent l="0" t="0" r="0" b="0"/>
            <wp:docPr id="1004" name="Figure_4_Integrated_Frame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ure_4_Integrated_Framework.png"/>
                    <pic:cNvPicPr/>
                  </pic:nvPicPr>
                  <pic:blipFill>
                    <a:blip xmlns:r="http://schemas.openxmlformats.org/officeDocument/2006/relationships" r:embed="rIdImg4"/>
                    <a:stretch>
                      <a:fillRect/>
                    </a:stretch>
                  </pic:blipFill>
                  <pic:spPr>
                    <a:xfrm>
                      <a:off x="0" y="0"/>
                      <a:ext cx="5486400" cy="2918297"/>
                    </a:xfrm>
                    <a:prstGeom prst="rect">
                      <a:avLst/>
                    </a:prstGeom>
                  </pic:spPr>
                </pic:pic>
              </a:graphicData>
            </a:graphic>
          </wp:inline>
        </w:drawing>
      </w:r>
    </w:p>
    <w:p>
      <w:pPr>
        <w:pStyle w:val="FigureCaption"/>
      </w:pPr>
      <w:r>
        <w:t xml:space="preserve">Figure 4. An integrated framework for climate-ready economies</w:t>
      </w:r>
    </w:p>
    <w:p>
      <w:pPr>
        <w:pStyle w:val="Heading2"/>
      </w:pPr>
      <w:r>
        <w:t xml:space="preserve">4.3 Future Research Directions and an Integrated Framework for Climate-Ready Economies</w:t>
      </w:r>
    </w:p>
    <w:p>
      <w:pPr>
        <w:pStyle w:val="Normal"/>
      </w:pPr>
      <w:r>
        <w:t xml:space="preserve">The agenda that follows from this analysis is both analytical and institutional. On the analytical side, the most pressing need is for health–economic models that integrate temperature exposure, disease burden, labour productivity, and healthcare expenditure within a single consistent framework, so that the interdependencies traced in Figure 1 can be quantified rather than merely described [43]. Much existing damage estimation, as the discussion of Table 1 noted, aggregates heterogeneous impacts in ways that obscure the health and distributional channels that this chapter has shown to be central; recent work identifying the "missing risks" in conventional climate-economic assessment underscores how much of the true cost of inaction current models omit [43]. Closing this gap is a precondition for valuation that reflects the full economic consequences of a changing climate.</w:t>
      </w:r>
    </w:p>
    <w:p>
      <w:pPr>
        <w:pStyle w:val="Normal"/>
      </w:pPr>
      <w:r>
        <w:t xml:space="preserve">Methodological advances offer tools for this task. Artificial intelligence, geospatial analytics, and the systematic use of climate scenarios make it increasingly feasible to identify where economic and health vulnerabilities concentrate, to target interventions toward the communities that Section 3 identified as most exposed, and to monitor the effect of those interventions over time. The integrated framework summarised in Figure 4 is intended to organise this effort, connecting the analysis of compounded vulnerability to the design of inclusive, anticipatory policy. Realising its promise requires, finally, the establishment of measurable indicators—of climate resilience, health equity, avoided economic losses, and preventive-healthcare outcomes—against which progress can be judged and accountability maintained, so that the framework of Figure 4 functions not as an aspiration but as a working instrument of economic management.</w:t>
      </w:r>
    </w:p>
    <w:p>
      <w:pPr>
        <w:pStyle w:val="Heading1"/>
      </w:pPr>
      <w:r>
        <w:t xml:space="preserve">5. Conclusion</w:t>
      </w:r>
    </w:p>
    <w:p>
      <w:pPr>
        <w:pStyle w:val="Normal"/>
      </w:pPr>
      <w:r>
        <w:t xml:space="preserve">This chapter has argued that the economics of climate inaction cannot be reduced to a ledger of present costs avoided, because the defining feature of inaction is the transfer of magnified and compounding costs onto the future and onto the most vulnerable. Across the macroeconomic, health, and distributional domains, the same pattern recurs: deferring mitigation and adaptation secures a small and temporary saving at the price of larger, accelerating, and frequently irreversible loss. At the aggregate scale, warming erodes the growth trajectory of economies, damages the infrastructure and supply chains on which production depends, and concentrates its heaviest proportional losses on the low- and middle-income countries least responsible for the problem. In the health economy, unmitigated warming converts into rising expenditure on heat-related, cardiovascular, respiratory, and vector-borne disease, into substantial and growing productivity losses concentrated in the most heat-exposed sectors, and into mounting pressure on healthcare systems that must treat more patients under more difficult conditions. At the community scale, these burdens fall most heavily on low-income households, informal and outdoor workers, women, older adults, and the displaced, so that climate inaction operates as an engine of inequality as much as a drag on output.</w:t>
      </w:r>
    </w:p>
    <w:p>
      <w:pPr>
        <w:pStyle w:val="Normal"/>
      </w:pPr>
      <w:r>
        <w:t xml:space="preserve">Against this analysis stands a correspondingly clear economic case for action. When the avoided damages are combined with the near-term health co-benefits of cleaner air, the high returns to resilient infrastructure, and the efficiency of preventive and community-based health measures, the balance tips decisively in favour of early and sustained investment in mitigation and adaptation. Realising that balance requires carbon pricing embedded in a broader portfolio of standards and public investment, the integration of climate risk into health and economic planning, the coordinated mobilisation of public and private finance, and an analytical apparatus capable of capturing the health and distributional channels that conventional models omit. Above all, it requires recognising that economic valuation is not a neutral technical exercise but a set of ethical and political choices about whose welfare counts and over what horizon. Framed in these terms, the question is not whether societies can afford to act on climate change, but whether they can afford the escalating and inequitable costs of continuing not to.</w:t>
      </w:r>
    </w:p>
    <w:p>
      <w:pPr>
        <w:pStyle w:val="Heading1"/>
      </w:pPr>
      <w:r>
        <w:t xml:space="preserve">References</w:t>
      </w:r>
    </w:p>
    <w:p>
      <w:pPr>
        <w:pStyle w:val="References"/>
      </w:pPr>
      <w:r>
        <w:t xml:space="preserve">[1] Stern, N. (2007). </w:t>
      </w:r>
      <w:r>
        <w:rPr>
          <w:i/>
        </w:rPr>
        <w:t xml:space="preserve">The economics of climate change: The Stern review</w:t>
      </w:r>
      <w:r>
        <w:t xml:space="preserve">. Cambridge University Press. https://doi.org/10.1017/CBO9780511817434</w:t>
      </w:r>
    </w:p>
    <w:p>
      <w:pPr>
        <w:pStyle w:val="References"/>
      </w:pPr>
      <w:r>
        <w:t xml:space="preserve">[2] Nordhaus, W. D. (2019). Climate change: The ultimate challenge for economics. </w:t>
      </w:r>
      <w:r>
        <w:rPr>
          <w:i/>
        </w:rPr>
        <w:t xml:space="preserve">American Economic Review, 109</w:t>
      </w:r>
      <w:r>
        <w:t xml:space="preserve">(6), 1991–2014. https://doi.org/10.1257/aer.109.6.1991</w:t>
      </w:r>
    </w:p>
    <w:p>
      <w:pPr>
        <w:pStyle w:val="References"/>
      </w:pPr>
      <w:r>
        <w:t xml:space="preserve">[3] Dell, M., Jones, B. F., &amp; Olken, B. A. (2012). Temperature shocks and economic growth: Evidence from the last half century. </w:t>
      </w:r>
      <w:r>
        <w:rPr>
          <w:i/>
        </w:rPr>
        <w:t xml:space="preserve">American Economic Journal: Macroeconomics, 4</w:t>
      </w:r>
      <w:r>
        <w:t xml:space="preserve">(3), 66–95. https://doi.org/10.1257/mac.4.3.66</w:t>
      </w:r>
    </w:p>
    <w:p>
      <w:pPr>
        <w:pStyle w:val="References"/>
      </w:pPr>
      <w:r>
        <w:t xml:space="preserve">[4] Tol, R. S. J. (2018). The economic impacts of climate change. </w:t>
      </w:r>
      <w:r>
        <w:rPr>
          <w:i/>
        </w:rPr>
        <w:t xml:space="preserve">Review of Environmental Economics and Policy, 12</w:t>
      </w:r>
      <w:r>
        <w:t xml:space="preserve">(1), 4–25. https://doi.org/10.1093/reep/rex027</w:t>
      </w:r>
    </w:p>
    <w:p>
      <w:pPr>
        <w:pStyle w:val="References"/>
      </w:pPr>
      <w:r>
        <w:t xml:space="preserve">[5] Diffenbaugh, N. S., &amp; Burke, M. (2019). Global warming has increased global economic inequality. </w:t>
      </w:r>
      <w:r>
        <w:rPr>
          <w:i/>
        </w:rPr>
        <w:t xml:space="preserve">Proceedings of the National Academy of Sciences, 116</w:t>
      </w:r>
      <w:r>
        <w:t xml:space="preserve">(20), 9808–9813. https://doi.org/10.1073/pnas.1816020116</w:t>
      </w:r>
    </w:p>
    <w:p>
      <w:pPr>
        <w:pStyle w:val="References"/>
      </w:pPr>
      <w:r>
        <w:t xml:space="preserve">[6] Burke, M., Hsiang, S. M., &amp; Miguel, E. (2015). Global non-linear effect of temperature on economic production. </w:t>
      </w:r>
      <w:r>
        <w:rPr>
          <w:i/>
        </w:rPr>
        <w:t xml:space="preserve">Nature, 527</w:t>
      </w:r>
      <w:r>
        <w:t xml:space="preserve">(7577), 235–239. https://doi.org/10.1038/nature15725</w:t>
      </w:r>
    </w:p>
    <w:p>
      <w:pPr>
        <w:pStyle w:val="References"/>
      </w:pPr>
      <w:r>
        <w:t xml:space="preserve">[7] Kahn, M. E., Mohaddes, K., Ng, R. N. C., Pesaran, M. H., Raissi, M., &amp; Yang, J.-C. (2021). Long-term macroeconomic effects of climate change: A cross-country analysis. </w:t>
      </w:r>
      <w:r>
        <w:rPr>
          <w:i/>
        </w:rPr>
        <w:t xml:space="preserve">Energy Economics, 104</w:t>
      </w:r>
      <w:r>
        <w:t xml:space="preserve">, 105624. https://doi.org/10.1016/j.eneco.2021.105624</w:t>
      </w:r>
    </w:p>
    <w:p>
      <w:pPr>
        <w:pStyle w:val="References"/>
      </w:pPr>
      <w:r>
        <w:t xml:space="preserve">[8] Hsiang, S., Kopp, R., Jina, A., Rising, J., Delgado, M., Mohan, S., … Houser, T. (2017). Estimating economic damage from climate change in the United States. </w:t>
      </w:r>
      <w:r>
        <w:rPr>
          <w:i/>
        </w:rPr>
        <w:t xml:space="preserve">Science, 356</w:t>
      </w:r>
      <w:r>
        <w:t xml:space="preserve">(6345), 1362–1369. https://doi.org/10.1126/science.aal4369</w:t>
      </w:r>
    </w:p>
    <w:p>
      <w:pPr>
        <w:pStyle w:val="References"/>
      </w:pPr>
      <w:r>
        <w:t xml:space="preserve">[9] Newell, R. G., Prest, B. C., &amp; Sexton, S. E. (2021). The GDP-temperature relationship: Implications for climate change damages. </w:t>
      </w:r>
      <w:r>
        <w:rPr>
          <w:i/>
        </w:rPr>
        <w:t xml:space="preserve">Journal of Environmental Economics and Management, 108</w:t>
      </w:r>
      <w:r>
        <w:t xml:space="preserve">, 102445. https://doi.org/10.1016/j.jeem.2021.102445</w:t>
      </w:r>
    </w:p>
    <w:p>
      <w:pPr>
        <w:pStyle w:val="References"/>
      </w:pPr>
      <w:r>
        <w:t xml:space="preserve">[10] Kotz, M., Levermann, A., &amp; Wenz, L. (2024). The economic commitment of climate change. </w:t>
      </w:r>
      <w:r>
        <w:rPr>
          <w:i/>
        </w:rPr>
        <w:t xml:space="preserve">Nature, 628</w:t>
      </w:r>
      <w:r>
        <w:t xml:space="preserve">(8008), 551–557. https://doi.org/10.1038/s41586-024-07219-0</w:t>
      </w:r>
    </w:p>
    <w:p>
      <w:pPr>
        <w:pStyle w:val="References"/>
      </w:pPr>
      <w:r>
        <w:t xml:space="preserve">[11] Carleton, T. A., &amp; Hsiang, S. M. (2016). Social and economic impacts of climate. </w:t>
      </w:r>
      <w:r>
        <w:rPr>
          <w:i/>
        </w:rPr>
        <w:t xml:space="preserve">Science, 353</w:t>
      </w:r>
      <w:r>
        <w:t xml:space="preserve">(6304), aad9837. https://doi.org/10.1126/science.aad9837</w:t>
      </w:r>
    </w:p>
    <w:p>
      <w:pPr>
        <w:pStyle w:val="References"/>
      </w:pPr>
      <w:r>
        <w:t xml:space="preserve">[12] Nordhaus, W. D. (2017). Revisiting the social cost of carbon. </w:t>
      </w:r>
      <w:r>
        <w:rPr>
          <w:i/>
        </w:rPr>
        <w:t xml:space="preserve">Proceedings of the National Academy of Sciences, 114</w:t>
      </w:r>
      <w:r>
        <w:t xml:space="preserve">(7), 1518–1523. https://doi.org/10.1073/pnas.1609244114</w:t>
      </w:r>
    </w:p>
    <w:p>
      <w:pPr>
        <w:pStyle w:val="References"/>
      </w:pPr>
      <w:r>
        <w:t xml:space="preserve">[13] Weitzman, M. L. (2009). On modeling and interpreting the economics of catastrophic climate change. </w:t>
      </w:r>
      <w:r>
        <w:rPr>
          <w:i/>
        </w:rPr>
        <w:t xml:space="preserve">Review of Economics and Statistics, 91</w:t>
      </w:r>
      <w:r>
        <w:t xml:space="preserve">(1), 1–19. https://doi.org/10.1162/rest.91.1.1</w:t>
      </w:r>
    </w:p>
    <w:p>
      <w:pPr>
        <w:pStyle w:val="References"/>
      </w:pPr>
      <w:r>
        <w:t xml:space="preserve">[14] Pindyck, R. S. (2013). Climate change policy: What do the models tell us? </w:t>
      </w:r>
      <w:r>
        <w:rPr>
          <w:i/>
        </w:rPr>
        <w:t xml:space="preserve">Journal of Economic Literature, 51</w:t>
      </w:r>
      <w:r>
        <w:t xml:space="preserve">(3), 860–872. https://doi.org/10.1257/jel.51.3.860</w:t>
      </w:r>
    </w:p>
    <w:p>
      <w:pPr>
        <w:pStyle w:val="References"/>
      </w:pPr>
      <w:r>
        <w:t xml:space="preserve">[15] Drupp, M. A., Freeman, M. C., Groom, B., &amp; Nesje, F. (2018). Discounting disentangled. </w:t>
      </w:r>
      <w:r>
        <w:rPr>
          <w:i/>
        </w:rPr>
        <w:t xml:space="preserve">American Economic Journal: Economic Policy, 10</w:t>
      </w:r>
      <w:r>
        <w:t xml:space="preserve">(4), 109–134. https://doi.org/10.1257/pol.20160240</w:t>
      </w:r>
    </w:p>
    <w:p>
      <w:pPr>
        <w:pStyle w:val="References"/>
      </w:pPr>
      <w:r>
        <w:t xml:space="preserve">[16] Riahi, K., van Vuuren, D. P., Kriegler, E., Edmonds, J., O'Neill, B. C., Fujimori, S., … Tavoni, M. (2017). The Shared Socioeconomic Pathways and their energy, land use, and greenhouse gas emissions implications: An overview. </w:t>
      </w:r>
      <w:r>
        <w:rPr>
          <w:i/>
        </w:rPr>
        <w:t xml:space="preserve">Global Environmental Change, 42</w:t>
      </w:r>
      <w:r>
        <w:t xml:space="preserve">, 153–168. https://doi.org/10.1016/j.gloenvcha.2016.05.009</w:t>
      </w:r>
    </w:p>
    <w:p>
      <w:pPr>
        <w:pStyle w:val="References"/>
      </w:pPr>
      <w:r>
        <w:t xml:space="preserve">[17] Watts, N., Amann, M., Arnell, N., Ayeb-Karlsson, S., Beagley, J., Belesova, K., … Costello, A. (2021). The 2020 report of the Lancet Countdown on health and climate change: Responding to converging crises. </w:t>
      </w:r>
      <w:r>
        <w:rPr>
          <w:i/>
        </w:rPr>
        <w:t xml:space="preserve">The Lancet, 397</w:t>
      </w:r>
      <w:r>
        <w:t xml:space="preserve">(10269), 129–170. https://doi.org/10.1016/S0140-6736(20)32290-X</w:t>
      </w:r>
    </w:p>
    <w:p>
      <w:pPr>
        <w:pStyle w:val="References"/>
      </w:pPr>
      <w:r>
        <w:t xml:space="preserve">[18] Gasparrini, A., Guo, Y., Hashizume, M., Lavigne, E., Zanobetti, A., Schwartz, J., … Armstrong, B. (2015). Mortality risk attributable to high and low ambient temperature: A multicountry observational study. </w:t>
      </w:r>
      <w:r>
        <w:rPr>
          <w:i/>
        </w:rPr>
        <w:t xml:space="preserve">The Lancet, 386</w:t>
      </w:r>
      <w:r>
        <w:t xml:space="preserve">(9991), 369–375. https://doi.org/10.1016/S0140-6736(14)62114-0</w:t>
      </w:r>
    </w:p>
    <w:p>
      <w:pPr>
        <w:pStyle w:val="References"/>
      </w:pPr>
      <w:r>
        <w:t xml:space="preserve">[19] Vicedo-Cabrera, A. M., Scovronick, N., Sera, F., Royé, D., Schneider, R., Tobias, A., … Gasparrini, A. (2021). The burden of heat-related mortality attributable to recent human-induced climate change. </w:t>
      </w:r>
      <w:r>
        <w:rPr>
          <w:i/>
        </w:rPr>
        <w:t xml:space="preserve">Nature Climate Change, 11</w:t>
      </w:r>
      <w:r>
        <w:t xml:space="preserve">(6), 492–500. https://doi.org/10.1038/s41558-021-01058-x</w:t>
      </w:r>
    </w:p>
    <w:p>
      <w:pPr>
        <w:pStyle w:val="References"/>
      </w:pPr>
      <w:r>
        <w:t xml:space="preserve">[20] Mora, C., Dousset, B., Caldwell, I. R., Powell, F. E., Geronimo, R. C., Bielecki, C. R., … Trauernicht, C. (2017). Global risk of deadly heat. </w:t>
      </w:r>
      <w:r>
        <w:rPr>
          <w:i/>
        </w:rPr>
        <w:t xml:space="preserve">Nature Climate Change, 7</w:t>
      </w:r>
      <w:r>
        <w:t xml:space="preserve">(7), 501–506. https://doi.org/10.1038/nclimate3322</w:t>
      </w:r>
    </w:p>
    <w:p>
      <w:pPr>
        <w:pStyle w:val="References"/>
      </w:pPr>
      <w:r>
        <w:t xml:space="preserve">[21] Caminade, C., McIntyre, K. M., &amp; Jones, A. E. (2019). Impact of recent and future climate change on vector-borne diseases. </w:t>
      </w:r>
      <w:r>
        <w:rPr>
          <w:i/>
        </w:rPr>
        <w:t xml:space="preserve">Annals of the New York Academy of Sciences, 1436</w:t>
      </w:r>
      <w:r>
        <w:t xml:space="preserve">(1), 157–173. https://doi.org/10.1111/nyas.13950</w:t>
      </w:r>
    </w:p>
    <w:p>
      <w:pPr>
        <w:pStyle w:val="References"/>
      </w:pPr>
      <w:r>
        <w:t xml:space="preserve">[22] Kjellstrom, T., Briggs, D., Freyberg, C., Lemke, B., Otto, M., &amp; Hyatt, O. (2016). Heat, human performance, and occupational health: A key issue for the assessment of global climate change impacts. </w:t>
      </w:r>
      <w:r>
        <w:rPr>
          <w:i/>
        </w:rPr>
        <w:t xml:space="preserve">Annual Review of Public Health, 37</w:t>
      </w:r>
      <w:r>
        <w:t xml:space="preserve">, 97–112. https://doi.org/10.1146/annurev-publhealth-032315-021740</w:t>
      </w:r>
    </w:p>
    <w:p>
      <w:pPr>
        <w:pStyle w:val="References"/>
      </w:pPr>
      <w:r>
        <w:t xml:space="preserve">[23] Flouris, A. D., Dinas, P. C., Ioannou, L. G., Nybo, L., Havenith, G., Kenny, G. P., &amp; Kjellstrom, T. (2018). Workers' health and productivity under occupational heat strain: A systematic review and meta-analysis. </w:t>
      </w:r>
      <w:r>
        <w:rPr>
          <w:i/>
        </w:rPr>
        <w:t xml:space="preserve">The Lancet Planetary Health, 2</w:t>
      </w:r>
      <w:r>
        <w:t xml:space="preserve">(12), e521–e531. https://doi.org/10.1016/S2542-5196(18)30237-7</w:t>
      </w:r>
    </w:p>
    <w:p>
      <w:pPr>
        <w:pStyle w:val="References"/>
      </w:pPr>
      <w:r>
        <w:t xml:space="preserve">[24] Orlov, A., Sillmann, J., Aunan, K., Kjellstrom, T., &amp; Aaheim, A. (2020). Economic costs of heat-induced reductions in worker productivity due to global warming. </w:t>
      </w:r>
      <w:r>
        <w:rPr>
          <w:i/>
        </w:rPr>
        <w:t xml:space="preserve">Global Environmental Change, 63</w:t>
      </w:r>
      <w:r>
        <w:t xml:space="preserve">, 102087. https://doi.org/10.1016/j.gloenvcha.2020.102087</w:t>
      </w:r>
    </w:p>
    <w:p>
      <w:pPr>
        <w:pStyle w:val="References"/>
      </w:pPr>
      <w:r>
        <w:t xml:space="preserve">[25] Zander, K. K., Botzen, W. J. W., Oppermann, E., Kjellstrom, T., &amp; Garnett, S. T. (2015). Heat stress causes substantial labour productivity loss in Australia. </w:t>
      </w:r>
      <w:r>
        <w:rPr>
          <w:i/>
        </w:rPr>
        <w:t xml:space="preserve">Nature Climate Change, 5</w:t>
      </w:r>
      <w:r>
        <w:t xml:space="preserve">(7), 647–651. https://doi.org/10.1038/nclimate2623</w:t>
      </w:r>
    </w:p>
    <w:p>
      <w:pPr>
        <w:pStyle w:val="References"/>
      </w:pPr>
      <w:r>
        <w:t xml:space="preserve">[26] Dasgupta, S., van Maanen, N., Gosling, S. N., Piontek, F., Otto, C., &amp; Schleussner, C.-F. (2021). Effects of climate change on combined labour productivity and supply: An empirical and modelling-based analysis. </w:t>
      </w:r>
      <w:r>
        <w:rPr>
          <w:i/>
        </w:rPr>
        <w:t xml:space="preserve">The Lancet Planetary Health, 5</w:t>
      </w:r>
      <w:r>
        <w:t xml:space="preserve">(7), e455–e465. https://doi.org/10.1016/S2542-5196(21)00170-4</w:t>
      </w:r>
    </w:p>
    <w:p>
      <w:pPr>
        <w:pStyle w:val="References"/>
      </w:pPr>
      <w:r>
        <w:t xml:space="preserve">[27] Ebi, K. L., Capon, A., Berry, P., Broderick, C., de Dear, R., Havenith, G., … Jay, O. (2021). Hot weather and heat extremes: Health risks. </w:t>
      </w:r>
      <w:r>
        <w:rPr>
          <w:i/>
        </w:rPr>
        <w:t xml:space="preserve">The Lancet, 398</w:t>
      </w:r>
      <w:r>
        <w:t xml:space="preserve">(10301), 698–708. https://doi.org/10.1016/S0140-6736(21)01208-3</w:t>
      </w:r>
    </w:p>
    <w:p>
      <w:pPr>
        <w:pStyle w:val="References"/>
      </w:pPr>
      <w:r>
        <w:t xml:space="preserve">[28] Salas, R. N., &amp; Jha, A. K. (2019). Climate change threatens the achievement of effective universal healthcare. </w:t>
      </w:r>
      <w:r>
        <w:rPr>
          <w:i/>
        </w:rPr>
        <w:t xml:space="preserve">BMJ, 366</w:t>
      </w:r>
      <w:r>
        <w:t xml:space="preserve">, l5302. https://doi.org/10.1136/bmj.l5302</w:t>
      </w:r>
    </w:p>
    <w:p>
      <w:pPr>
        <w:pStyle w:val="References"/>
      </w:pPr>
      <w:r>
        <w:t xml:space="preserve">[29] Romanello, M., McGushin, A., Di Napoli, C., Drummond, P., Hughes, N., Jamart, L., … Hamilton, I. (2021). The 2021 report of the Lancet Countdown on health and climate change: Code red for a healthy future. </w:t>
      </w:r>
      <w:r>
        <w:rPr>
          <w:i/>
        </w:rPr>
        <w:t xml:space="preserve">The Lancet, 398</w:t>
      </w:r>
      <w:r>
        <w:t xml:space="preserve">(10311), 1619–1662. https://doi.org/10.1016/S0140-6736(21)01787-6</w:t>
      </w:r>
    </w:p>
    <w:p>
      <w:pPr>
        <w:pStyle w:val="References"/>
      </w:pPr>
      <w:r>
        <w:t xml:space="preserve">[30] Hallegatte, S., &amp; Rozenberg, J. (2017). Climate change through a poverty lens. </w:t>
      </w:r>
      <w:r>
        <w:rPr>
          <w:i/>
        </w:rPr>
        <w:t xml:space="preserve">Nature Climate Change, 7</w:t>
      </w:r>
      <w:r>
        <w:t xml:space="preserve">(4), 250–256. https://doi.org/10.1038/nclimate3253</w:t>
      </w:r>
    </w:p>
    <w:p>
      <w:pPr>
        <w:pStyle w:val="References"/>
      </w:pPr>
      <w:r>
        <w:t xml:space="preserve">[31] Thomas, K., Hardy, R. D., Lazrus, H., Mendez, M., Orlove, B., Rivera-Collazo, I., … Winthrop, R. (2019). Explaining differential vulnerability to climate change: A social science review. </w:t>
      </w:r>
      <w:r>
        <w:rPr>
          <w:i/>
        </w:rPr>
        <w:t xml:space="preserve">WIREs Climate Change, 10</w:t>
      </w:r>
      <w:r>
        <w:t xml:space="preserve">(2), e565. https://doi.org/10.1002/wcc.565</w:t>
      </w:r>
    </w:p>
    <w:p>
      <w:pPr>
        <w:pStyle w:val="References"/>
      </w:pPr>
      <w:r>
        <w:t xml:space="preserve">[32] Park, R. J., Goodman, J., Hurwitz, M., &amp; Smith, J. (2020). Heat and learning. </w:t>
      </w:r>
      <w:r>
        <w:rPr>
          <w:i/>
        </w:rPr>
        <w:t xml:space="preserve">American Economic Journal: Economic Policy, 12</w:t>
      </w:r>
      <w:r>
        <w:t xml:space="preserve">(2), 306–339. https://doi.org/10.1257/pol.20180612</w:t>
      </w:r>
    </w:p>
    <w:p>
      <w:pPr>
        <w:pStyle w:val="References"/>
      </w:pPr>
      <w:r>
        <w:t xml:space="preserve">[33] Harlan, S. L., Brazel, A. J., Prashad, L., Stefanov, W. L., &amp; Larsen, L. (2006). Neighborhood microclimates and vulnerability to heat stress. </w:t>
      </w:r>
      <w:r>
        <w:rPr>
          <w:i/>
        </w:rPr>
        <w:t xml:space="preserve">Social Science &amp; Medicine, 63</w:t>
      </w:r>
      <w:r>
        <w:t xml:space="preserve">(11), 2847–2863. https://doi.org/10.1016/j.socscimed.2006.07.030</w:t>
      </w:r>
    </w:p>
    <w:p>
      <w:pPr>
        <w:pStyle w:val="References"/>
      </w:pPr>
      <w:r>
        <w:t xml:space="preserve">[34] Cattaneo, C., Beine, M., Fröhlich, C. J., Kniveton, D., Martinez-Zarzoso, I., Mastrorillo, M., … Schraven, B. (2019). Human migration in the era of climate change. </w:t>
      </w:r>
      <w:r>
        <w:rPr>
          <w:i/>
        </w:rPr>
        <w:t xml:space="preserve">Review of Environmental Economics and Policy, 13</w:t>
      </w:r>
      <w:r>
        <w:t xml:space="preserve">(2), 189–206. https://doi.org/10.1093/reep/rez008</w:t>
      </w:r>
    </w:p>
    <w:p>
      <w:pPr>
        <w:pStyle w:val="References"/>
      </w:pPr>
      <w:r>
        <w:t xml:space="preserve">[35] Sorensen, C., Murray, V., Lemery, J., &amp; Balbus, J. (2018). Climate change and women's health: Impacts and policy directions. </w:t>
      </w:r>
      <w:r>
        <w:rPr>
          <w:i/>
        </w:rPr>
        <w:t xml:space="preserve">PLOS Medicine, 15</w:t>
      </w:r>
      <w:r>
        <w:t xml:space="preserve">(7), e1002603. https://doi.org/10.1371/journal.pmed.1002603</w:t>
      </w:r>
    </w:p>
    <w:p>
      <w:pPr>
        <w:pStyle w:val="References"/>
      </w:pPr>
      <w:r>
        <w:t xml:space="preserve">[36] Adler, M., Anthoff, D., Bosetti, V., Garner, G., Keller, K., &amp; Treich, N. (2017). Priority for the worse-off and the social cost of carbon. </w:t>
      </w:r>
      <w:r>
        <w:rPr>
          <w:i/>
        </w:rPr>
        <w:t xml:space="preserve">Nature Climate Change, 7</w:t>
      </w:r>
      <w:r>
        <w:t xml:space="preserve">(6), 443–449. https://doi.org/10.1038/nclimate3298</w:t>
      </w:r>
    </w:p>
    <w:p>
      <w:pPr>
        <w:pStyle w:val="References"/>
      </w:pPr>
      <w:r>
        <w:t xml:space="preserve">[37] Hondula, D. M., Balling, R. C., Vanos, J. K., &amp; Georgescu, M. (2015). Rising temperatures, human health, and the role of adaptation. </w:t>
      </w:r>
      <w:r>
        <w:rPr>
          <w:i/>
        </w:rPr>
        <w:t xml:space="preserve">Current Climate Change Reports, 1</w:t>
      </w:r>
      <w:r>
        <w:t xml:space="preserve">(3), 144–154. https://doi.org/10.1007/s40641-015-0016-4</w:t>
      </w:r>
    </w:p>
    <w:p>
      <w:pPr>
        <w:pStyle w:val="References"/>
      </w:pPr>
      <w:r>
        <w:t xml:space="preserve">[38] Markandya, A., Sampedro, J., Smith, S. J., Van Dingenen, R., Pizarro-Irizar, C., Arto, I., &amp; González-Eguino, M. (2018). Health co-benefits of climate change mitigation policies and economic costs. </w:t>
      </w:r>
      <w:r>
        <w:rPr>
          <w:i/>
        </w:rPr>
        <w:t xml:space="preserve">The Lancet Planetary Health, 2</w:t>
      </w:r>
      <w:r>
        <w:t xml:space="preserve">(3), e126–e133. https://doi.org/10.1016/S2542-5196(18)30029-9</w:t>
      </w:r>
    </w:p>
    <w:p>
      <w:pPr>
        <w:pStyle w:val="References"/>
      </w:pPr>
      <w:r>
        <w:t xml:space="preserve">[39] Hamilton, I., Kennard, H., McGushin, A., Höglund-Isaksson, L., Kiesewetter, G., Lott, M., … Watts, N. (2021). The public health implications of the Paris Agreement: A modelling study. </w:t>
      </w:r>
      <w:r>
        <w:rPr>
          <w:i/>
        </w:rPr>
        <w:t xml:space="preserve">The Lancet Planetary Health, 5</w:t>
      </w:r>
      <w:r>
        <w:t xml:space="preserve">(2), e74–e83. https://doi.org/10.1016/S2542-5196(20)30249-7</w:t>
      </w:r>
    </w:p>
    <w:p>
      <w:pPr>
        <w:pStyle w:val="References"/>
      </w:pPr>
      <w:r>
        <w:t xml:space="preserve">[40] Jay, O., Capon, A., Berry, P., Broderick, C., de Dear, R., Havenith, G., … Ebi, K. L. (2021). Reducing the health effects of hot weather and heat extremes: From personal cooling strategies to green cities. </w:t>
      </w:r>
      <w:r>
        <w:rPr>
          <w:i/>
        </w:rPr>
        <w:t xml:space="preserve">The Lancet, 398</w:t>
      </w:r>
      <w:r>
        <w:t xml:space="preserve">(10301), 709–724. https://doi.org/10.1016/S0140-6736(21)01209-5</w:t>
      </w:r>
    </w:p>
    <w:p>
      <w:pPr>
        <w:pStyle w:val="References"/>
      </w:pPr>
      <w:r>
        <w:t xml:space="preserve">[41] Baranzini, A., van den Bergh, J. C. J. M., Carattini, S., Howarth, R. B., Padilla, E., &amp; Roca, J. (2017). Carbon pricing in climate policy: Seven reasons, complementary instruments, and political economy considerations. </w:t>
      </w:r>
      <w:r>
        <w:rPr>
          <w:i/>
        </w:rPr>
        <w:t xml:space="preserve">WIREs Climate Change, 8</w:t>
      </w:r>
      <w:r>
        <w:t xml:space="preserve">(4), e462. https://doi.org/10.1002/wcc.462</w:t>
      </w:r>
    </w:p>
    <w:p>
      <w:pPr>
        <w:pStyle w:val="References"/>
      </w:pPr>
      <w:r>
        <w:t xml:space="preserve">[42] Hallegatte, S., Rentschler, J., &amp; Rozenberg, J. (2019). </w:t>
      </w:r>
      <w:r>
        <w:rPr>
          <w:i/>
        </w:rPr>
        <w:t xml:space="preserve">Lifelines: The resilient infrastructure opportunity</w:t>
      </w:r>
      <w:r>
        <w:t xml:space="preserve">. World Bank. https://doi.org/10.1596/978-1-4648-1430-3</w:t>
      </w:r>
    </w:p>
    <w:p>
      <w:pPr>
        <w:pStyle w:val="References"/>
      </w:pPr>
      <w:r>
        <w:t xml:space="preserve">[43] Rising, J., Tedesco, M., Piontek, F., &amp; Stainforth, D. A. (2022). The missing risks of climate change. </w:t>
      </w:r>
      <w:r>
        <w:rPr>
          <w:i/>
        </w:rPr>
        <w:t xml:space="preserve">Nature, 610</w:t>
      </w:r>
      <w:r>
        <w:t xml:space="preserve">(7933), 643–651. https://doi.org/10.1038/s41586-022-05243-6</w:t>
      </w:r>
    </w:p>
    <w:sectPr>
      <w:pgSz w:w="12240" w:h="15840"/>
      <w:pgMar w:top="1440" w:right="1440" w:bottom="1440" w:left="1440" w:header="720" w:footer="720" w:gutter="0"/>
    </w:sectPr>
  </w:body>
</w:document>
</file>

<file path=word/numbering.xml><?xml version="1.0" encoding="utf-8"?>
<w:numbering xmlns:w="http://schemas.openxmlformats.org/wordprocessingml/2006/main"/>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120" w:line="360" w:lineRule="auto"/>
      </w:pPr>
    </w:pPrDefault>
  </w:docDefaults>
  <w:style w:type="paragraph" w:styleId="Normal" w:default="1">
    <w:name w:val="Normal"/>
    <w:pPr>
      <w:jc w:val="both"/>
    </w:pPr>
  </w:style>
  <w:style w:type="paragraph" w:styleId="Title">
    <w:name w:val="Title"/>
    <w:basedOn w:val="Normal"/>
    <w:pPr>
      <w:jc w:val="center"/>
      <w:spacing w:after="240"/>
    </w:pPr>
    <w:rPr>
      <w:b/>
      <w:sz w:val="32"/>
      <w:szCs w:val="32"/>
    </w:rPr>
  </w:style>
  <w:style w:type="paragraph" w:styleId="Heading1">
    <w:name w:val="heading 1"/>
    <w:basedOn w:val="Normal"/>
    <w:pPr>
      <w:spacing w:before="360" w:after="120"/>
      <w:jc w:val="left"/>
    </w:pPr>
    <w:rPr>
      <w:b/>
      <w:sz w:val="28"/>
      <w:szCs w:val="28"/>
    </w:rPr>
  </w:style>
  <w:style w:type="paragraph" w:styleId="Heading2">
    <w:name w:val="heading 2"/>
    <w:basedOn w:val="Normal"/>
    <w:pPr>
      <w:spacing w:before="240" w:after="120"/>
      <w:jc w:val="left"/>
    </w:pPr>
    <w:rPr>
      <w:b/>
      <w:sz w:val="26"/>
      <w:szCs w:val="26"/>
    </w:rPr>
  </w:style>
  <w:style w:type="paragraph" w:styleId="Heading3">
    <w:name w:val="heading 3"/>
    <w:basedOn w:val="Normal"/>
    <w:pPr>
      <w:spacing w:before="200" w:after="100"/>
      <w:jc w:val="left"/>
    </w:pPr>
    <w:rPr>
      <w:b/>
      <w:i/>
      <w:sz w:val="24"/>
      <w:szCs w:val="24"/>
    </w:rPr>
  </w:style>
  <w:style w:type="paragraph" w:styleId="Abstract">
    <w:name w:val="Abstract"/>
    <w:basedOn w:val="Normal"/>
    <w:pPr>
      <w:ind w:left="720" w:right="720"/>
    </w:pPr>
    <w:rPr>
      <w:i/>
    </w:rPr>
  </w:style>
  <w:style w:type="paragraph" w:styleId="References">
    <w:name w:val="References"/>
    <w:basedOn w:val="Normal"/>
    <w:pPr>
      <w:ind w:left="480" w:hanging="480"/>
      <w:spacing w:after="60"/>
    </w:pPr>
    <w:rPr>
      <w:sz w:val="22"/>
      <w:szCs w:val="22"/>
    </w:rPr>
  </w:style>
  <w:style w:type="paragraph" w:styleId="FigureCaption">
    <w:name w:val="Figure Caption"/>
    <w:basedOn w:val="Normal"/>
    <w:pPr>
      <w:jc w:val="center"/>
      <w:spacing w:before="120" w:after="240"/>
    </w:pPr>
    <w:rPr>
      <w:i/>
      <w:sz w:val="22"/>
      <w:szCs w:val="22"/>
    </w:rPr>
  </w:style>
  <w:style w:type="paragraph" w:styleId="FigureImage">
    <w:name w:val="Figure Image"/>
    <w:basedOn w:val="Normal"/>
    <w:pPr>
      <w:jc w:val="center"/>
      <w:spacing w:before="120" w:after="0"/>
    </w:pPr>
  </w:style>
  <w:style w:type="paragraph" w:styleId="TableCaption">
    <w:name w:val="Table Caption"/>
    <w:basedOn w:val="Normal"/>
    <w:pPr>
      <w:spacing w:before="120" w:after="60"/>
    </w:pPr>
    <w:rPr>
      <w:b/>
      <w:sz w:val="22"/>
      <w:szCs w:val="22"/>
    </w:rPr>
  </w:style>
  <w:style w:type="table" w:styleId="TableGrid">
    <w:name w:val="Table Gri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Img1" Type="http://schemas.openxmlformats.org/officeDocument/2006/relationships/image" Target="media/Figure_1_Causal_Framework.png"/>
  <Relationship Id="rIdImg2" Type="http://schemas.openxmlformats.org/officeDocument/2006/relationships/image" Target="media/Figure_2_Loss_Trajectories.png"/>
  <Relationship Id="rIdImg3" Type="http://schemas.openxmlformats.org/officeDocument/2006/relationships/image" Target="media/Figure_3_Transmission_Pathway.png"/>
  <Relationship Id="rIdImg4" Type="http://schemas.openxmlformats.org/officeDocument/2006/relationships/image" Target="media/Figure_4_Integrated_Framework.png"/>
</Relationships>
</file>