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76" w:lineRule="auto"/>
        <w:jc w:val="center"/>
      </w:pPr>
      <w:r>
        <w:rPr>
          <w:rFonts w:ascii="Times New Roman" w:hAnsi="Times New Roman"/>
          <w:b/>
          <w:sz w:val="30"/>
          <w:szCs w:val="30"/>
        </w:rPr>
        <w:t xml:space="preserve">To study the mechanical and microstructural behavior of SA516 and 2205 dissimilar GMAW welds fabricated by using 309L filler</w:t>
      </w:r>
    </w:p>
    <w:p>
      <w:pPr>
        <w:spacing w:before="0" w:after="40" w:line="276" w:lineRule="auto"/>
        <w:jc w:val="center"/>
      </w:pPr>
      <w:r>
        <w:rPr>
          <w:rFonts w:ascii="Times New Roman" w:hAnsi="Times New Roman"/>
          <w:b/>
          <w:sz w:val="24"/>
          <w:szCs w:val="24"/>
        </w:rPr>
        <w:t xml:space="preserve">Lochan Sharma</w:t>
      </w:r>
      <w:r>
        <w:rPr>
          <w:rFonts w:ascii="Times New Roman" w:hAnsi="Times New Roman"/>
          <w:b/>
          <w:sz w:val="24"/>
          <w:szCs w:val="24"/>
          <w:vertAlign w:val="superscript"/>
        </w:rPr>
        <w:t xml:space="preserve">1</w:t>
      </w:r>
      <w:r>
        <w:rPr>
          <w:rFonts w:ascii="Times New Roman" w:hAnsi="Times New Roman"/>
          <w:b/>
          <w:sz w:val="24"/>
          <w:szCs w:val="24"/>
        </w:rPr>
        <w:t xml:space="preserve">, Amman Jakhar</w:t>
      </w:r>
      <w:r>
        <w:rPr>
          <w:rFonts w:ascii="Times New Roman" w:hAnsi="Times New Roman"/>
          <w:b/>
          <w:sz w:val="24"/>
          <w:szCs w:val="24"/>
          <w:vertAlign w:val="superscript"/>
        </w:rPr>
        <w:t xml:space="preserve">2</w:t>
      </w:r>
      <w:r>
        <w:rPr>
          <w:rFonts w:ascii="Times New Roman" w:hAnsi="Times New Roman"/>
          <w:b/>
          <w:sz w:val="24"/>
          <w:szCs w:val="24"/>
        </w:rPr>
        <w:t xml:space="preserve">, Karan Mankotia</w:t>
      </w:r>
      <w:r>
        <w:rPr>
          <w:rFonts w:ascii="Times New Roman" w:hAnsi="Times New Roman"/>
          <w:b/>
          <w:sz w:val="24"/>
          <w:szCs w:val="24"/>
          <w:vertAlign w:val="superscript"/>
        </w:rPr>
        <w:t xml:space="preserve">3</w:t>
      </w:r>
    </w:p>
    <w:p>
      <w:pPr>
        <w:spacing w:before="0" w:after="40" w:line="276" w:lineRule="auto"/>
        <w:jc w:val="center"/>
      </w:pPr>
      <w:r>
        <w:rPr>
          <w:rFonts w:ascii="Times New Roman" w:hAnsi="Times New Roman"/>
          <w:sz w:val="20"/>
          <w:szCs w:val="20"/>
          <w:vertAlign w:val="superscript"/>
        </w:rPr>
        <w:t xml:space="preserve">1</w:t>
      </w:r>
      <w:r>
        <w:rPr>
          <w:rFonts w:ascii="Times New Roman" w:hAnsi="Times New Roman"/>
          <w:sz w:val="20"/>
          <w:szCs w:val="20"/>
        </w:rPr>
        <w:t xml:space="preserve">University Centre for Research &amp; Development, Chandigarh University, Mohali, Punjab, India</w:t>
      </w:r>
    </w:p>
    <w:p>
      <w:pPr>
        <w:spacing w:before="0" w:after="40" w:line="276" w:lineRule="auto"/>
        <w:jc w:val="center"/>
      </w:pPr>
      <w:r>
        <w:rPr>
          <w:rFonts w:ascii="Times New Roman" w:hAnsi="Times New Roman"/>
          <w:sz w:val="20"/>
          <w:szCs w:val="20"/>
          <w:vertAlign w:val="superscript"/>
        </w:rPr>
        <w:t xml:space="preserve">2,3</w:t>
      </w:r>
      <w:r>
        <w:rPr>
          <w:rFonts w:ascii="Times New Roman" w:hAnsi="Times New Roman"/>
          <w:sz w:val="20"/>
          <w:szCs w:val="20"/>
        </w:rPr>
        <w:t xml:space="preserve">Department of Mechanical Engineering, Chandigarh University, Mohali, Punjab, India</w:t>
      </w:r>
    </w:p>
    <w:p>
      <w:pPr>
        <w:spacing w:before="0" w:after="40" w:line="276" w:lineRule="auto"/>
        <w:jc w:val="center"/>
      </w:pPr>
      <w:r>
        <w:rPr>
          <w:rFonts w:ascii="Times New Roman" w:hAnsi="Times New Roman"/>
          <w:sz w:val="20"/>
          <w:szCs w:val="20"/>
        </w:rPr>
        <w:t xml:space="preserve">Corresponding Author: Lochan Sharma; lochan.e9455@cumail.in</w:t>
      </w:r>
    </w:p>
    <w:p/>
    <w:p>
      <w:pPr>
        <w:spacing w:before="240" w:after="100" w:line="276" w:lineRule="auto"/>
        <w:jc w:val="left"/>
      </w:pPr>
      <w:r>
        <w:rPr>
          <w:rFonts w:ascii="Times New Roman" w:hAnsi="Times New Roman"/>
          <w:b/>
          <w:sz w:val="28"/>
          <w:szCs w:val="28"/>
        </w:rPr>
        <w:t xml:space="preserve">Abstract</w:t>
      </w:r>
    </w:p>
    <w:p>
      <w:pPr>
        <w:spacing w:before="0" w:after="120" w:line="276" w:lineRule="auto"/>
        <w:jc w:val="both"/>
      </w:pPr>
      <w:r>
        <w:rPr>
          <w:rFonts w:ascii="Times New Roman" w:hAnsi="Times New Roman"/>
          <w:sz w:val="24"/>
          <w:szCs w:val="24"/>
        </w:rPr>
        <w:t xml:space="preserve">The current research work </w:t>
      </w:r>
      <w:r>
        <w:rPr>
          <w:rFonts w:ascii="Times New Roman" w:hAnsi="Times New Roman"/>
          <w:sz w:val="24"/>
          <w:szCs w:val="24"/>
          <w:highlight w:val="yellow"/>
        </w:rPr>
        <w:t xml:space="preserve">aims to examine and analyse</w:t>
      </w:r>
      <w:r>
        <w:rPr>
          <w:rFonts w:ascii="Times New Roman" w:hAnsi="Times New Roman"/>
          <w:sz w:val="24"/>
          <w:szCs w:val="24"/>
        </w:rPr>
        <w:t xml:space="preserve"> the mechanical and metallurgical properties of dissimilar welds between low carbon alloy SA516 and 2205 duplex stainless steel. This welding joint finds application in pressure vessels, boilers and offshore industries. A consumable electrode 309L was used as filler metal in the Gas Metal Arc Welding (GMAW) process. The weld metal solidifies in ferrite-austenite mode with a resultant microstructure comprising skeletal ferrites with austenite present in the interdendritic region. The microhardness of the dissimilar weld is 307 HV at the fusion zone, which is lower than the microhardness at the HAZ </w:t>
      </w:r>
      <w:r>
        <w:rPr>
          <w:rFonts w:ascii="Times New Roman" w:hAnsi="Times New Roman"/>
          <w:sz w:val="24"/>
          <w:szCs w:val="24"/>
          <w:highlight w:val="yellow"/>
        </w:rPr>
        <w:t xml:space="preserve">(HAZ-2, the SS2205 duplex side)</w:t>
      </w:r>
      <w:r>
        <w:rPr>
          <w:rFonts w:ascii="Times New Roman" w:hAnsi="Times New Roman"/>
          <w:sz w:val="24"/>
          <w:szCs w:val="24"/>
        </w:rPr>
        <w:t xml:space="preserve"> i.e. 372 HV. The microstructure of the dissimilar weld is composed of a columnar dendritic structure. The temperature gradient and variations in solidification rate clearly show the changes in microstructure in different areas. The fractographs of the dissimilar weld reveal varying fracture behaviors. The HAZ on the SS2205 side shows predominantly ductile fracture features, with dimpled microvoid coalescence. The HAZ on the SA516 side exhibits mixed-mode fracture with evidence of brittle cleavage, indicating reduced toughness in this region.</w:t>
      </w:r>
    </w:p>
    <w:p>
      <w:pPr>
        <w:spacing w:before="0" w:after="120" w:line="276" w:lineRule="auto"/>
        <w:jc w:val="both"/>
      </w:pPr>
      <w:r>
        <w:rPr>
          <w:rFonts w:ascii="Times New Roman" w:hAnsi="Times New Roman"/>
          <w:i/>
          <w:sz w:val="24"/>
          <w:szCs w:val="24"/>
        </w:rPr>
        <w:t xml:space="preserve">Keywords: Dissimilar weld, SA516, 2205 Duplex Stainless Steel, 309L Filler Metal, Mechanical Properties, Microstructure</w:t>
      </w:r>
    </w:p>
    <w:p>
      <w:pPr>
        <w:spacing w:before="240" w:after="100" w:line="276" w:lineRule="auto"/>
        <w:jc w:val="left"/>
      </w:pPr>
      <w:r>
        <w:rPr>
          <w:rFonts w:ascii="Times New Roman" w:hAnsi="Times New Roman"/>
          <w:b/>
          <w:sz w:val="28"/>
          <w:szCs w:val="28"/>
        </w:rPr>
        <w:t xml:space="preserve">1. Introduction</w:t>
      </w:r>
    </w:p>
    <w:p>
      <w:pPr>
        <w:spacing w:before="0" w:after="120" w:line="276" w:lineRule="auto"/>
        <w:jc w:val="both"/>
      </w:pPr>
      <w:r>
        <w:rPr>
          <w:rFonts w:ascii="Times New Roman" w:hAnsi="Times New Roman"/>
          <w:sz w:val="24"/>
          <w:szCs w:val="24"/>
          <w:highlight w:val="yellow"/>
        </w:rPr>
        <w:t xml:space="preserve">The manufacturing industry faces several challenges when it comes to welding of dissimilar metals.</w:t>
      </w:r>
      <w:r>
        <w:rPr>
          <w:rFonts w:ascii="Times New Roman" w:hAnsi="Times New Roman"/>
          <w:sz w:val="24"/>
          <w:szCs w:val="24"/>
        </w:rPr>
        <w:t xml:space="preserve"> Dissimilar metal joints between SA516 grade 70 and SS2205 can be used in many high-temperature, corrosion-resistant applications. Duplex stainless steel 2205 combines the properties of both ferrite (α) and austenite (γ), which exhibit outstanding corrosion resistance, high strength, and toughness [1]. It therefore plays a crucial role in diverse engineering applications, stemming from its unique combination of BCC and FCC lattice structures. Among the various grades available, Type 2205 (UNS S32205, EN 1.4462) stands out as the most widely used and reliable alloy in this family [1]. It demonstrates a significantly higher yield strength—about twice that of single-phase steels even in annealed conditions. DSS 2205 is widely used in shipbuilding for enhanced protection against seawater, offshore oil and gas pipelines, ocean mining equipment, chemical tankers, marine machinery fasteners, bridges in cold climates, and in chemical, nuclear, pharmaceutical, paper and pulp industries [2]. In the case of SS2205, 850 °C is the critical temperature, and exposure to it might encourage the formation of certain harmful secondary phases in the microstructure, such as σ, χ, carbides, and nitrides [1]. The essential alloying elements including Cr, Mo and N are responsible for the composition of these phases, which contribute to the corrosion resistance of SS2205. The localized depletion of these elements around intragranular sites, interfacial borders and grain boundaries caused by the precipitation of these phases lowers the corrosion resistance of duplex steels. Because of its increased chromium and nitrogen content, it demonstrates superior corrosion resistance, particularly against chloride-induced pitting and stress corrosion cracking. The microstructural features and thermal expansion rate of SS2205 are quite different from those of carbon steels such as SA516, which could cause problems in the formation of the heat-affected zone (HAZ) during welding [3].</w:t>
      </w:r>
    </w:p>
    <w:p>
      <w:pPr>
        <w:spacing w:before="0" w:after="120" w:line="276" w:lineRule="auto"/>
        <w:jc w:val="both"/>
      </w:pPr>
      <w:r>
        <w:rPr>
          <w:rFonts w:ascii="Times New Roman" w:hAnsi="Times New Roman"/>
          <w:sz w:val="24"/>
          <w:szCs w:val="24"/>
        </w:rPr>
        <w:t xml:space="preserve">On the other hand, SA516 is a carbon-manganese (C-Mn) ferritic steel that fulfils the ASTM specifications for pressure vessel standards [4]. The most popular grades of SA516 are 55, 60, 65 and 70. It is typically used in applications requiring moderate to low temperatures where high notch toughness is critical. It is therefore commonly employed in nuclear piping and pressure vessel systems due to its relatively good fracture properties, toughness, ductility, weldability and high strength. Weldability is affected by the carbon content of the material, which is usually between 0.2 % and 0.3 %. If proper welding techniques are not followed, this can cause hardening and make the material more susceptible to hydrogen-induced cracking [5]. It is utilized for pressure vessels across various industries, including railways, boiler manufacturing, offshore and shipbuilding industries [6]. Due to the differences in base-metal chemical, physical, mechanical and thermal properties, combining dissimilar materials requires more attention than joining similar materials [7]. Welding of dissimilar metals, such as SA516 carbon steel and 2205 duplex stainless steel, presents unique challenges due to these variances. The primary challenge in welding SA516 and SS2205 lies in the formation of brittle intermetallic phases, such as sigma phases, which can degrade corrosion resistance and mechanical properties [8]. These phases form in the HAZ of SS2205 due to high-temperature exposure during welding. This problem is more noticeable when high heat inputs are used, or when there are improper cooling rates, which promote embrittlement [9]. According to Mourad et al. </w:t>
      </w:r>
      <w:r>
        <w:rPr>
          <w:rFonts w:ascii="Times New Roman" w:hAnsi="Times New Roman"/>
          <w:sz w:val="24"/>
          <w:szCs w:val="24"/>
          <w:highlight w:val="yellow"/>
        </w:rPr>
        <w:t xml:space="preserve">[19]</w:t>
      </w:r>
      <w:r>
        <w:rPr>
          <w:rFonts w:ascii="Times New Roman" w:hAnsi="Times New Roman"/>
          <w:sz w:val="24"/>
          <w:szCs w:val="24"/>
        </w:rPr>
        <w:t xml:space="preserve">, one more challenge arises from the variances in melting points and thermal expansion coefficients between the two materials. SA516 steel expands and contracts at a different rate compared to SS2205, resulting in distortion, residual stresses and the potential for cracking in the weld joint. The use of an appropriate filler metal and optimized welding parameters is crucial for achieving high-quality welds with desirable properties. In the current research work, 309L is used as filler wire since it is compatible with both base metals (i.e. SA516 and SS2205). It contains a high amount of nickel and chromium, which resists the formation of brittle phases and ensures a stable microstructure. </w:t>
      </w:r>
      <w:r>
        <w:rPr>
          <w:rFonts w:ascii="Times New Roman" w:hAnsi="Times New Roman"/>
          <w:sz w:val="24"/>
          <w:szCs w:val="24"/>
          <w:highlight w:val="yellow"/>
        </w:rPr>
        <w:t xml:space="preserve">ER309L is the standard filler for dissimilar joints between a stainless (here duplex SS2205) and a carbon/low-alloy steel (SA516): its high Cr-Ni content compensates for dilution by the carbon steel, keeping the weld-metal composition within the austenitic region of the Schaeffler / WRC-1992 constitution diagram and avoiding a fully martensitic, crack-prone deposit, while the low carbon ("L") grade minimizes chromium-carbide precipitation and preserves corrosion resistance. Its tough austenitic matrix also accommodates the differing thermal expansion of the two base metals and reduces residual-stress-driven cracking, which is reflected in the high fusion-zone toughness and the hardness profile reported below.</w:t>
      </w:r>
      <w:r>
        <w:rPr>
          <w:rFonts w:ascii="Times New Roman" w:hAnsi="Times New Roman"/>
          <w:sz w:val="24"/>
          <w:szCs w:val="24"/>
        </w:rPr>
        <w:t xml:space="preserve"> Since microstructure is a critical aspect of dissimilar welding, metallurgical compatibility must be ensured. Several researchers have explored numerous welding techniques and filler materials to address these challenges. GMAW and GTAW are common methods used for welding dissimilar metals due to their ability to control heat input and reduce the chance of forming unwanted phases in the HAZ (Kumar et al. </w:t>
      </w:r>
      <w:r>
        <w:rPr>
          <w:rFonts w:ascii="Times New Roman" w:hAnsi="Times New Roman"/>
          <w:sz w:val="24"/>
          <w:szCs w:val="24"/>
          <w:highlight w:val="yellow"/>
        </w:rPr>
        <w:t xml:space="preserve">[20]</w:t>
      </w:r>
      <w:r>
        <w:rPr>
          <w:rFonts w:ascii="Times New Roman" w:hAnsi="Times New Roman"/>
          <w:sz w:val="24"/>
          <w:szCs w:val="24"/>
        </w:rPr>
        <w:t xml:space="preserve">). Argon or an argon-helium mixture are widely used as shielding gases to prevent oxidation of the weld metal [10].</w:t>
      </w:r>
    </w:p>
    <w:p>
      <w:pPr>
        <w:spacing w:before="0" w:after="120" w:line="276" w:lineRule="auto"/>
        <w:jc w:val="both"/>
      </w:pPr>
      <w:r>
        <w:rPr>
          <w:rFonts w:ascii="Times New Roman" w:hAnsi="Times New Roman"/>
          <w:sz w:val="24"/>
          <w:szCs w:val="24"/>
          <w:highlight w:val="yellow"/>
        </w:rPr>
        <w:t xml:space="preserve">Dissimilar welding of duplex/stainless steels to carbon and low-alloy steels has received considerable attention. Studies on submerged-arc and arc-welded carbon-to-stainless joints [2], [4], [6] report that filler selection and heat input govern the HAZ constitution, the ferrite-austenite balance and the resulting mechanical and corrosion performance, while friction-based and fusion dissimilar joints between duplex and low-carbon steel show a hardness peak and the risk of brittle constituents on the carbon-steel side [3], [5], [11]. Building on reference [4] and the related literature, the present study addresses the identified gap for 12 mm-thick GMAW SA516/SS2205 joints made with ER309L filler by linking the microstructure of each zone to the measured microhardness, impact toughness and fracture behavior.</w:t>
      </w:r>
    </w:p>
    <w:p>
      <w:pPr>
        <w:spacing w:before="240" w:after="100" w:line="276" w:lineRule="auto"/>
        <w:jc w:val="left"/>
      </w:pPr>
      <w:r>
        <w:rPr>
          <w:rFonts w:ascii="Times New Roman" w:hAnsi="Times New Roman"/>
          <w:b/>
          <w:sz w:val="28"/>
          <w:szCs w:val="28"/>
        </w:rPr>
        <w:t xml:space="preserve">2. Experimental Procedure</w:t>
      </w:r>
    </w:p>
    <w:p>
      <w:pPr>
        <w:spacing w:before="0" w:after="120" w:line="276" w:lineRule="auto"/>
        <w:jc w:val="both"/>
      </w:pPr>
      <w:r>
        <w:rPr>
          <w:rFonts w:ascii="Times New Roman" w:hAnsi="Times New Roman"/>
          <w:sz w:val="24"/>
          <w:szCs w:val="24"/>
        </w:rPr>
        <w:t xml:space="preserve">In the current research work, the carbon steel SA516 and SS2205 with a thickness of 12 mm were used due to their applications in the manufacture of pressure vessels and boilers. Two plates of dimensions 100 × 90 × 12 mm and </w:t>
      </w:r>
      <w:r>
        <w:rPr>
          <w:rFonts w:ascii="Times New Roman" w:hAnsi="Times New Roman"/>
          <w:sz w:val="24"/>
          <w:szCs w:val="24"/>
          <w:highlight w:val="yellow"/>
        </w:rPr>
        <w:t xml:space="preserve">0.8 mm diameter ER309L</w:t>
      </w:r>
      <w:r>
        <w:rPr>
          <w:rFonts w:ascii="Times New Roman" w:hAnsi="Times New Roman"/>
          <w:sz w:val="24"/>
          <w:szCs w:val="24"/>
        </w:rPr>
        <w:t xml:space="preserve"> filler wire with argon as the inert gas were used for welding in the GMAW process. Figure 1 shows the diagram of the welded joint.</w:t>
      </w:r>
    </w:p>
    <w:p>
      <w:pPr>
        <w:spacing w:before="0" w:after="40" w:line="276" w:lineRule="auto"/>
        <w:jc w:val="center"/>
      </w:pPr>
      <w:r>
        <w:rPr>
          <w:rFonts w:ascii="Times New Roman" w:hAnsi="Times New Roman"/>
          <w:i/>
          <w:sz w:val="20"/>
          <w:szCs w:val="20"/>
        </w:rPr>
        <w:t xml:space="preserve">Figure 1. Schematic diagram of the weld geometry </w:t>
      </w:r>
      <w:r>
        <w:rPr>
          <w:rFonts w:ascii="Times New Roman" w:hAnsi="Times New Roman"/>
          <w:i/>
          <w:sz w:val="20"/>
          <w:szCs w:val="20"/>
          <w:highlight w:val="yellow"/>
        </w:rPr>
        <w:t xml:space="preserve">(revised with corrected and complete dimensioning: plate 100 × 90 × 12 mm, 60° single-V included angle, 2 mm root gap, 1.5 mm root face; all dimensions in mm).</w:t>
      </w:r>
    </w:p>
    <w:p>
      <w:pPr>
        <w:spacing w:before="0" w:after="120" w:line="276" w:lineRule="auto"/>
        <w:jc w:val="both"/>
      </w:pPr>
      <w:r>
        <w:rPr>
          <w:rFonts w:ascii="Times New Roman" w:hAnsi="Times New Roman"/>
          <w:sz w:val="24"/>
          <w:szCs w:val="24"/>
        </w:rPr>
        <w:t xml:space="preserve">The chemistry of both base materials and the filler wire was measured using atomic absorption spectroscopy and is presented in Table 1. Table 1 shows that SS2205 and 309L filler wire have a good amount of chromium and nickel, which act as corrosion-resistance elements essential for marine applications. Weld impurities such as sulphur and phosphorus are within range, i.e. less than or equal to 0.3 wt%. Carbon content is higher in SA516 compared to SS2205 and 309L, which is responsible for increasing hardness and brittleness.</w:t>
      </w:r>
    </w:p>
    <w:tbl>
      <w:tblPr>
        <w:tblW w:w="936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583"/>
        <w:gridCol w:w="583"/>
        <w:gridCol w:w="583"/>
        <w:gridCol w:w="583"/>
        <w:gridCol w:w="583"/>
        <w:gridCol w:w="583"/>
        <w:gridCol w:w="583"/>
        <w:gridCol w:w="583"/>
        <w:gridCol w:w="583"/>
        <w:gridCol w:w="583"/>
        <w:gridCol w:w="583"/>
        <w:gridCol w:w="583"/>
        <w:gridCol w:w="583"/>
        <w:gridCol w:w="583"/>
      </w:tblGrid>
      <w:tr>
        <w:tc>
          <w:tcPr>
            <w:tcW w:w="1200" w:type="dxa"/>
            <w:shd w:val="clear" w:color="auto" w:fill="D9D9D9"/>
            <w:vAlign w:val="center"/>
          </w:tcPr>
          <w:p>
            <w:pPr>
              <w:spacing w:after="20" w:line="240" w:lineRule="auto"/>
              <w:jc w:val="center"/>
            </w:pPr>
            <w:r>
              <w:rPr>
                <w:rFonts w:ascii="Times New Roman" w:hAnsi="Times New Roman"/>
                <w:b/>
                <w:sz w:val="15"/>
                <w:szCs w:val="15"/>
              </w:rPr>
              <w:t xml:space="preserve">Material (wt.%)</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C</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Mn</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Si</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P</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S</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Al</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Cr</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Cu</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Ni</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Mo</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Nb</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Ti</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V</w:t>
            </w:r>
          </w:p>
        </w:tc>
        <w:tc>
          <w:tcPr>
            <w:tcW w:w="583" w:type="dxa"/>
            <w:shd w:val="clear" w:color="auto" w:fill="D9D9D9"/>
            <w:vAlign w:val="center"/>
          </w:tcPr>
          <w:p>
            <w:pPr>
              <w:spacing w:after="20" w:line="240" w:lineRule="auto"/>
              <w:jc w:val="center"/>
            </w:pPr>
            <w:r>
              <w:rPr>
                <w:rFonts w:ascii="Times New Roman" w:hAnsi="Times New Roman"/>
                <w:b/>
                <w:sz w:val="15"/>
                <w:szCs w:val="15"/>
              </w:rPr>
              <w:t xml:space="preserve">Fe</w:t>
            </w:r>
          </w:p>
        </w:tc>
      </w:tr>
      <w:tr>
        <w:tc>
          <w:tcPr>
            <w:tcW w:w="1200" w:type="dxa"/>
            <w:vAlign w:val="center"/>
          </w:tcPr>
          <w:p>
            <w:pPr>
              <w:spacing w:after="20" w:line="240" w:lineRule="auto"/>
              <w:jc w:val="center"/>
            </w:pPr>
            <w:r>
              <w:rPr>
                <w:rFonts w:ascii="Times New Roman" w:hAnsi="Times New Roman"/>
                <w:sz w:val="15"/>
                <w:szCs w:val="15"/>
              </w:rPr>
              <w:t xml:space="preserve">SA 516</w:t>
            </w:r>
          </w:p>
        </w:tc>
        <w:tc>
          <w:tcPr>
            <w:tcW w:w="583" w:type="dxa"/>
            <w:vAlign w:val="center"/>
          </w:tcPr>
          <w:p>
            <w:pPr>
              <w:spacing w:after="20" w:line="240" w:lineRule="auto"/>
              <w:jc w:val="center"/>
            </w:pPr>
            <w:r>
              <w:rPr>
                <w:rFonts w:ascii="Times New Roman" w:hAnsi="Times New Roman"/>
                <w:sz w:val="15"/>
                <w:szCs w:val="15"/>
              </w:rPr>
              <w:t xml:space="preserve">0.10</w:t>
            </w:r>
          </w:p>
        </w:tc>
        <w:tc>
          <w:tcPr>
            <w:tcW w:w="583" w:type="dxa"/>
            <w:vAlign w:val="center"/>
          </w:tcPr>
          <w:p>
            <w:pPr>
              <w:spacing w:after="20" w:line="240" w:lineRule="auto"/>
              <w:jc w:val="center"/>
            </w:pPr>
            <w:r>
              <w:rPr>
                <w:rFonts w:ascii="Times New Roman" w:hAnsi="Times New Roman"/>
                <w:sz w:val="15"/>
                <w:szCs w:val="15"/>
              </w:rPr>
              <w:t xml:space="preserve">1.17</w:t>
            </w:r>
          </w:p>
        </w:tc>
        <w:tc>
          <w:tcPr>
            <w:tcW w:w="583" w:type="dxa"/>
            <w:vAlign w:val="center"/>
          </w:tcPr>
          <w:p>
            <w:pPr>
              <w:spacing w:after="20" w:line="240" w:lineRule="auto"/>
              <w:jc w:val="center"/>
            </w:pPr>
            <w:r>
              <w:rPr>
                <w:rFonts w:ascii="Times New Roman" w:hAnsi="Times New Roman"/>
                <w:sz w:val="15"/>
                <w:szCs w:val="15"/>
              </w:rPr>
              <w:t xml:space="preserve">0.60</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0.02</w:t>
            </w:r>
          </w:p>
        </w:tc>
        <w:tc>
          <w:tcPr>
            <w:tcW w:w="583" w:type="dxa"/>
            <w:vAlign w:val="center"/>
          </w:tcPr>
          <w:p>
            <w:pPr>
              <w:spacing w:after="20" w:line="240" w:lineRule="auto"/>
              <w:jc w:val="center"/>
            </w:pPr>
            <w:r>
              <w:rPr>
                <w:rFonts w:ascii="Times New Roman" w:hAnsi="Times New Roman"/>
                <w:sz w:val="15"/>
                <w:szCs w:val="15"/>
              </w:rPr>
              <w:t xml:space="preserve">0.3</w:t>
            </w:r>
          </w:p>
        </w:tc>
        <w:tc>
          <w:tcPr>
            <w:tcW w:w="583" w:type="dxa"/>
            <w:vAlign w:val="center"/>
          </w:tcPr>
          <w:p>
            <w:pPr>
              <w:spacing w:after="20" w:line="240" w:lineRule="auto"/>
              <w:jc w:val="center"/>
            </w:pPr>
            <w:r>
              <w:rPr>
                <w:rFonts w:ascii="Times New Roman" w:hAnsi="Times New Roman"/>
                <w:sz w:val="15"/>
                <w:szCs w:val="15"/>
              </w:rPr>
              <w:t xml:space="preserve">0.3</w:t>
            </w:r>
          </w:p>
        </w:tc>
        <w:tc>
          <w:tcPr>
            <w:tcW w:w="583" w:type="dxa"/>
            <w:vAlign w:val="center"/>
          </w:tcPr>
          <w:p>
            <w:pPr>
              <w:spacing w:after="20" w:line="240" w:lineRule="auto"/>
              <w:jc w:val="center"/>
            </w:pPr>
            <w:r>
              <w:rPr>
                <w:rFonts w:ascii="Times New Roman" w:hAnsi="Times New Roman"/>
                <w:sz w:val="15"/>
                <w:szCs w:val="15"/>
              </w:rPr>
              <w:t xml:space="preserve">0.3</w:t>
            </w:r>
          </w:p>
        </w:tc>
        <w:tc>
          <w:tcPr>
            <w:tcW w:w="583" w:type="dxa"/>
            <w:vAlign w:val="center"/>
          </w:tcPr>
          <w:p>
            <w:pPr>
              <w:spacing w:after="20" w:line="240" w:lineRule="auto"/>
              <w:jc w:val="center"/>
            </w:pPr>
            <w:r>
              <w:rPr>
                <w:rFonts w:ascii="Times New Roman" w:hAnsi="Times New Roman"/>
                <w:sz w:val="15"/>
                <w:szCs w:val="15"/>
              </w:rPr>
              <w:t xml:space="preserve">0.08</w:t>
            </w:r>
          </w:p>
        </w:tc>
        <w:tc>
          <w:tcPr>
            <w:tcW w:w="583" w:type="dxa"/>
            <w:vAlign w:val="center"/>
          </w:tcPr>
          <w:p>
            <w:pPr>
              <w:spacing w:after="20" w:line="240" w:lineRule="auto"/>
              <w:jc w:val="center"/>
            </w:pPr>
            <w:r>
              <w:rPr>
                <w:rFonts w:ascii="Times New Roman" w:hAnsi="Times New Roman"/>
                <w:sz w:val="15"/>
                <w:szCs w:val="15"/>
              </w:rPr>
              <w:t xml:space="preserve">0.01</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0.02</w:t>
            </w:r>
          </w:p>
        </w:tc>
        <w:tc>
          <w:tcPr>
            <w:tcW w:w="583" w:type="dxa"/>
            <w:vAlign w:val="center"/>
          </w:tcPr>
          <w:p>
            <w:pPr>
              <w:spacing w:after="20" w:line="240" w:lineRule="auto"/>
              <w:jc w:val="center"/>
            </w:pPr>
            <w:r>
              <w:rPr>
                <w:rFonts w:ascii="Times New Roman" w:hAnsi="Times New Roman"/>
                <w:sz w:val="15"/>
                <w:szCs w:val="15"/>
              </w:rPr>
              <w:t xml:space="preserve">Rest</w:t>
            </w:r>
          </w:p>
        </w:tc>
      </w:tr>
      <w:tr>
        <w:tc>
          <w:tcPr>
            <w:tcW w:w="1200" w:type="dxa"/>
            <w:vAlign w:val="center"/>
          </w:tcPr>
          <w:p>
            <w:pPr>
              <w:spacing w:after="20" w:line="240" w:lineRule="auto"/>
              <w:jc w:val="center"/>
            </w:pPr>
            <w:r>
              <w:rPr>
                <w:rFonts w:ascii="Times New Roman" w:hAnsi="Times New Roman"/>
                <w:sz w:val="15"/>
                <w:szCs w:val="15"/>
              </w:rPr>
              <w:t xml:space="preserve">SS2205</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2.00</w:t>
            </w:r>
          </w:p>
        </w:tc>
        <w:tc>
          <w:tcPr>
            <w:tcW w:w="583" w:type="dxa"/>
            <w:vAlign w:val="center"/>
          </w:tcPr>
          <w:p>
            <w:pPr>
              <w:spacing w:after="20" w:line="240" w:lineRule="auto"/>
              <w:jc w:val="center"/>
            </w:pPr>
            <w:r>
              <w:rPr>
                <w:rFonts w:ascii="Times New Roman" w:hAnsi="Times New Roman"/>
                <w:sz w:val="15"/>
                <w:szCs w:val="15"/>
              </w:rPr>
              <w:t xml:space="preserve">1.00</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0.02</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23.0</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6.5</w:t>
            </w:r>
          </w:p>
        </w:tc>
        <w:tc>
          <w:tcPr>
            <w:tcW w:w="583" w:type="dxa"/>
            <w:vAlign w:val="center"/>
          </w:tcPr>
          <w:p>
            <w:pPr>
              <w:spacing w:after="20" w:line="240" w:lineRule="auto"/>
              <w:jc w:val="center"/>
            </w:pPr>
            <w:r>
              <w:rPr>
                <w:rFonts w:ascii="Times New Roman" w:hAnsi="Times New Roman"/>
                <w:sz w:val="15"/>
                <w:szCs w:val="15"/>
              </w:rPr>
              <w:t xml:space="preserve">3.5</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Rest</w:t>
            </w:r>
          </w:p>
        </w:tc>
      </w:tr>
      <w:tr>
        <w:tc>
          <w:tcPr>
            <w:tcW w:w="1200" w:type="dxa"/>
            <w:vAlign w:val="center"/>
          </w:tcPr>
          <w:p>
            <w:pPr>
              <w:spacing w:after="20" w:line="240" w:lineRule="auto"/>
              <w:jc w:val="center"/>
            </w:pPr>
            <w:r>
              <w:rPr>
                <w:rFonts w:ascii="Times New Roman" w:hAnsi="Times New Roman"/>
                <w:sz w:val="15"/>
                <w:szCs w:val="15"/>
              </w:rPr>
              <w:t xml:space="preserve">309L</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2.50</w:t>
            </w:r>
          </w:p>
        </w:tc>
        <w:tc>
          <w:tcPr>
            <w:tcW w:w="583" w:type="dxa"/>
            <w:vAlign w:val="center"/>
          </w:tcPr>
          <w:p>
            <w:pPr>
              <w:spacing w:after="20" w:line="240" w:lineRule="auto"/>
              <w:jc w:val="center"/>
            </w:pPr>
            <w:r>
              <w:rPr>
                <w:rFonts w:ascii="Times New Roman" w:hAnsi="Times New Roman"/>
                <w:sz w:val="15"/>
                <w:szCs w:val="15"/>
              </w:rPr>
              <w:t xml:space="preserve">0.65</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0.03</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25</w:t>
            </w:r>
          </w:p>
        </w:tc>
        <w:tc>
          <w:tcPr>
            <w:tcW w:w="583" w:type="dxa"/>
            <w:vAlign w:val="center"/>
          </w:tcPr>
          <w:p>
            <w:pPr>
              <w:spacing w:after="20" w:line="240" w:lineRule="auto"/>
              <w:jc w:val="center"/>
            </w:pPr>
            <w:r>
              <w:rPr>
                <w:rFonts w:ascii="Times New Roman" w:hAnsi="Times New Roman"/>
                <w:sz w:val="15"/>
                <w:szCs w:val="15"/>
              </w:rPr>
              <w:t xml:space="preserve">0.75</w:t>
            </w:r>
          </w:p>
        </w:tc>
        <w:tc>
          <w:tcPr>
            <w:tcW w:w="583" w:type="dxa"/>
            <w:vAlign w:val="center"/>
          </w:tcPr>
          <w:p>
            <w:pPr>
              <w:spacing w:after="20" w:line="240" w:lineRule="auto"/>
              <w:jc w:val="center"/>
            </w:pPr>
            <w:r>
              <w:rPr>
                <w:rFonts w:ascii="Times New Roman" w:hAnsi="Times New Roman"/>
                <w:sz w:val="15"/>
                <w:szCs w:val="15"/>
              </w:rPr>
              <w:t xml:space="preserve">14</w:t>
            </w:r>
          </w:p>
        </w:tc>
        <w:tc>
          <w:tcPr>
            <w:tcW w:w="583" w:type="dxa"/>
            <w:vAlign w:val="center"/>
          </w:tcPr>
          <w:p>
            <w:pPr>
              <w:spacing w:after="20" w:line="240" w:lineRule="auto"/>
              <w:jc w:val="center"/>
            </w:pPr>
            <w:r>
              <w:rPr>
                <w:rFonts w:ascii="Times New Roman" w:hAnsi="Times New Roman"/>
                <w:sz w:val="15"/>
                <w:szCs w:val="15"/>
              </w:rPr>
              <w:t xml:space="preserve">0.75</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w:t>
            </w:r>
          </w:p>
        </w:tc>
        <w:tc>
          <w:tcPr>
            <w:tcW w:w="583" w:type="dxa"/>
            <w:vAlign w:val="center"/>
          </w:tcPr>
          <w:p>
            <w:pPr>
              <w:spacing w:after="20" w:line="240" w:lineRule="auto"/>
              <w:jc w:val="center"/>
            </w:pPr>
            <w:r>
              <w:rPr>
                <w:rFonts w:ascii="Times New Roman" w:hAnsi="Times New Roman"/>
                <w:sz w:val="15"/>
                <w:szCs w:val="15"/>
              </w:rPr>
              <w:t xml:space="preserve">Rest</w:t>
            </w:r>
          </w:p>
        </w:tc>
      </w:tr>
    </w:tbl>
    <w:p/>
    <w:p>
      <w:pPr>
        <w:spacing w:before="0" w:after="40" w:line="276" w:lineRule="auto"/>
        <w:jc w:val="center"/>
      </w:pPr>
      <w:r>
        <w:rPr>
          <w:rFonts w:ascii="Times New Roman" w:hAnsi="Times New Roman"/>
          <w:i/>
          <w:sz w:val="20"/>
          <w:szCs w:val="20"/>
        </w:rPr>
        <w:t xml:space="preserve">Table 1. Chemical composition of the dissimilar metals and filler wire</w:t>
      </w:r>
    </w:p>
    <w:p>
      <w:pPr>
        <w:spacing w:before="0" w:after="120" w:line="276" w:lineRule="auto"/>
        <w:jc w:val="both"/>
      </w:pPr>
      <w:r>
        <w:rPr>
          <w:rFonts w:ascii="Times New Roman" w:hAnsi="Times New Roman"/>
          <w:sz w:val="24"/>
          <w:szCs w:val="24"/>
        </w:rPr>
        <w:t xml:space="preserve">A gas metal arc welding (GMAW) machine manufactured by Ghudani Metal Weld India, located in the Central Workshop, Chandigarh University, was used for welding the dissimilar metals. Pilot trial runs were conducted to finalise the welding parameters, which are presented in Table 2. The mechanical behaviour of the base materials and filler wire is presented in Table 3.</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000"/>
        <w:gridCol w:w="2000"/>
        <w:gridCol w:w="2160"/>
      </w:tblGrid>
      <w:tr>
        <w:tc>
          <w:tcPr>
            <w:tcW w:w="1200" w:type="dxa"/>
            <w:shd w:val="clear" w:color="auto" w:fill="D9D9D9"/>
            <w:vAlign w:val="center"/>
          </w:tcPr>
          <w:p>
            <w:pPr>
              <w:spacing w:after="20" w:line="240" w:lineRule="auto"/>
              <w:jc w:val="center"/>
            </w:pPr>
            <w:r>
              <w:rPr>
                <w:rFonts w:ascii="Times New Roman" w:hAnsi="Times New Roman"/>
                <w:b/>
                <w:sz w:val="18"/>
                <w:szCs w:val="18"/>
              </w:rPr>
              <w:t xml:space="preserve">S. No.</w:t>
            </w:r>
          </w:p>
        </w:tc>
        <w:tc>
          <w:tcPr>
            <w:tcW w:w="4000" w:type="dxa"/>
            <w:shd w:val="clear" w:color="auto" w:fill="D9D9D9"/>
            <w:vAlign w:val="center"/>
          </w:tcPr>
          <w:p>
            <w:pPr>
              <w:spacing w:after="20" w:line="240" w:lineRule="auto"/>
              <w:jc w:val="center"/>
            </w:pPr>
            <w:r>
              <w:rPr>
                <w:rFonts w:ascii="Times New Roman" w:hAnsi="Times New Roman"/>
                <w:b/>
                <w:sz w:val="18"/>
                <w:szCs w:val="18"/>
              </w:rPr>
              <w:t xml:space="preserve">Parameter</w:t>
            </w:r>
          </w:p>
        </w:tc>
        <w:tc>
          <w:tcPr>
            <w:tcW w:w="2000" w:type="dxa"/>
            <w:shd w:val="clear" w:color="auto" w:fill="D9D9D9"/>
            <w:vAlign w:val="center"/>
          </w:tcPr>
          <w:p>
            <w:pPr>
              <w:spacing w:after="20" w:line="240" w:lineRule="auto"/>
              <w:jc w:val="center"/>
            </w:pPr>
            <w:r>
              <w:rPr>
                <w:rFonts w:ascii="Times New Roman" w:hAnsi="Times New Roman"/>
                <w:b/>
                <w:sz w:val="18"/>
                <w:szCs w:val="18"/>
              </w:rPr>
              <w:t xml:space="preserve">Unit</w:t>
            </w:r>
          </w:p>
        </w:tc>
        <w:tc>
          <w:tcPr>
            <w:tcW w:w="2160" w:type="dxa"/>
            <w:shd w:val="clear" w:color="auto" w:fill="D9D9D9"/>
            <w:vAlign w:val="center"/>
          </w:tcPr>
          <w:p>
            <w:pPr>
              <w:spacing w:after="20" w:line="240" w:lineRule="auto"/>
              <w:jc w:val="center"/>
            </w:pPr>
            <w:r>
              <w:rPr>
                <w:rFonts w:ascii="Times New Roman" w:hAnsi="Times New Roman"/>
                <w:b/>
                <w:sz w:val="18"/>
                <w:szCs w:val="18"/>
              </w:rPr>
              <w:t xml:space="preserve">Value</w:t>
            </w:r>
          </w:p>
        </w:tc>
      </w:tr>
      <w:tr>
        <w:tc>
          <w:tcPr>
            <w:tcW w:w="1200" w:type="dxa"/>
            <w:vAlign w:val="center"/>
          </w:tcPr>
          <w:p>
            <w:pPr>
              <w:spacing w:after="20" w:line="240" w:lineRule="auto"/>
              <w:jc w:val="center"/>
            </w:pPr>
            <w:r>
              <w:rPr>
                <w:rFonts w:ascii="Times New Roman" w:hAnsi="Times New Roman"/>
                <w:sz w:val="18"/>
                <w:szCs w:val="18"/>
              </w:rPr>
              <w:t xml:space="preserve">1</w:t>
            </w:r>
          </w:p>
        </w:tc>
        <w:tc>
          <w:tcPr>
            <w:tcW w:w="4000" w:type="dxa"/>
            <w:vAlign w:val="center"/>
          </w:tcPr>
          <w:p>
            <w:pPr>
              <w:spacing w:after="20" w:line="240" w:lineRule="auto"/>
              <w:jc w:val="center"/>
            </w:pPr>
            <w:r>
              <w:rPr>
                <w:rFonts w:ascii="Times New Roman" w:hAnsi="Times New Roman"/>
                <w:sz w:val="18"/>
                <w:szCs w:val="18"/>
              </w:rPr>
              <w:t xml:space="preserve">Current (I)</w:t>
            </w:r>
          </w:p>
        </w:tc>
        <w:tc>
          <w:tcPr>
            <w:tcW w:w="2000" w:type="dxa"/>
            <w:vAlign w:val="center"/>
          </w:tcPr>
          <w:p>
            <w:pPr>
              <w:spacing w:after="20" w:line="240" w:lineRule="auto"/>
              <w:jc w:val="center"/>
            </w:pPr>
            <w:r>
              <w:rPr>
                <w:rFonts w:ascii="Times New Roman" w:hAnsi="Times New Roman"/>
                <w:sz w:val="18"/>
                <w:szCs w:val="18"/>
              </w:rPr>
              <w:t xml:space="preserve">A</w:t>
            </w:r>
          </w:p>
        </w:tc>
        <w:tc>
          <w:tcPr>
            <w:tcW w:w="2160" w:type="dxa"/>
            <w:vAlign w:val="center"/>
          </w:tcPr>
          <w:p>
            <w:pPr>
              <w:spacing w:after="20" w:line="240" w:lineRule="auto"/>
              <w:jc w:val="center"/>
            </w:pPr>
            <w:r>
              <w:rPr>
                <w:rFonts w:ascii="Times New Roman" w:hAnsi="Times New Roman"/>
                <w:sz w:val="18"/>
                <w:szCs w:val="18"/>
              </w:rPr>
              <w:t xml:space="preserve">180</w:t>
            </w:r>
          </w:p>
        </w:tc>
      </w:tr>
      <w:tr>
        <w:tc>
          <w:tcPr>
            <w:tcW w:w="1200" w:type="dxa"/>
            <w:vAlign w:val="center"/>
          </w:tcPr>
          <w:p>
            <w:pPr>
              <w:spacing w:after="20" w:line="240" w:lineRule="auto"/>
              <w:jc w:val="center"/>
            </w:pPr>
            <w:r>
              <w:rPr>
                <w:rFonts w:ascii="Times New Roman" w:hAnsi="Times New Roman"/>
                <w:sz w:val="18"/>
                <w:szCs w:val="18"/>
              </w:rPr>
              <w:t xml:space="preserve">2</w:t>
            </w:r>
          </w:p>
        </w:tc>
        <w:tc>
          <w:tcPr>
            <w:tcW w:w="4000" w:type="dxa"/>
            <w:vAlign w:val="center"/>
          </w:tcPr>
          <w:p>
            <w:pPr>
              <w:spacing w:after="20" w:line="240" w:lineRule="auto"/>
              <w:jc w:val="center"/>
            </w:pPr>
            <w:r>
              <w:rPr>
                <w:rFonts w:ascii="Times New Roman" w:hAnsi="Times New Roman"/>
                <w:sz w:val="18"/>
                <w:szCs w:val="18"/>
              </w:rPr>
              <w:t xml:space="preserve">Voltage (V)</w:t>
            </w:r>
          </w:p>
        </w:tc>
        <w:tc>
          <w:tcPr>
            <w:tcW w:w="2000" w:type="dxa"/>
            <w:vAlign w:val="center"/>
          </w:tcPr>
          <w:p>
            <w:pPr>
              <w:spacing w:after="20" w:line="240" w:lineRule="auto"/>
              <w:jc w:val="center"/>
            </w:pPr>
            <w:r>
              <w:rPr>
                <w:rFonts w:ascii="Times New Roman" w:hAnsi="Times New Roman"/>
                <w:sz w:val="18"/>
                <w:szCs w:val="18"/>
              </w:rPr>
              <w:t xml:space="preserve">V</w:t>
            </w:r>
          </w:p>
        </w:tc>
        <w:tc>
          <w:tcPr>
            <w:tcW w:w="2160" w:type="dxa"/>
            <w:vAlign w:val="center"/>
          </w:tcPr>
          <w:p>
            <w:pPr>
              <w:spacing w:after="20" w:line="240" w:lineRule="auto"/>
              <w:jc w:val="center"/>
            </w:pPr>
            <w:r>
              <w:rPr>
                <w:rFonts w:ascii="Times New Roman" w:hAnsi="Times New Roman"/>
                <w:sz w:val="18"/>
                <w:szCs w:val="18"/>
              </w:rPr>
              <w:t xml:space="preserve">18</w:t>
            </w:r>
          </w:p>
        </w:tc>
      </w:tr>
      <w:tr>
        <w:tc>
          <w:tcPr>
            <w:tcW w:w="1200" w:type="dxa"/>
            <w:vAlign w:val="center"/>
          </w:tcPr>
          <w:p>
            <w:pPr>
              <w:spacing w:after="20" w:line="240" w:lineRule="auto"/>
              <w:jc w:val="center"/>
            </w:pPr>
            <w:r>
              <w:rPr>
                <w:rFonts w:ascii="Times New Roman" w:hAnsi="Times New Roman"/>
                <w:sz w:val="18"/>
                <w:szCs w:val="18"/>
              </w:rPr>
              <w:t xml:space="preserve">3</w:t>
            </w:r>
          </w:p>
        </w:tc>
        <w:tc>
          <w:tcPr>
            <w:tcW w:w="4000" w:type="dxa"/>
            <w:vAlign w:val="center"/>
          </w:tcPr>
          <w:p>
            <w:pPr>
              <w:spacing w:after="20" w:line="240" w:lineRule="auto"/>
              <w:jc w:val="center"/>
            </w:pPr>
            <w:r>
              <w:rPr>
                <w:rFonts w:ascii="Times New Roman" w:hAnsi="Times New Roman"/>
                <w:sz w:val="18"/>
                <w:szCs w:val="18"/>
              </w:rPr>
              <w:t xml:space="preserve">Welding speed (S)</w:t>
            </w:r>
          </w:p>
        </w:tc>
        <w:tc>
          <w:tcPr>
            <w:tcW w:w="2000" w:type="dxa"/>
            <w:vAlign w:val="center"/>
          </w:tcPr>
          <w:p>
            <w:pPr>
              <w:spacing w:after="20" w:line="240" w:lineRule="auto"/>
              <w:jc w:val="center"/>
            </w:pPr>
            <w:r>
              <w:rPr>
                <w:rFonts w:ascii="Times New Roman" w:hAnsi="Times New Roman"/>
                <w:sz w:val="18"/>
                <w:szCs w:val="18"/>
              </w:rPr>
              <w:t xml:space="preserve">mm/min</w:t>
            </w:r>
          </w:p>
        </w:tc>
        <w:tc>
          <w:tcPr>
            <w:tcW w:w="2160" w:type="dxa"/>
            <w:vAlign w:val="center"/>
          </w:tcPr>
          <w:p>
            <w:pPr>
              <w:spacing w:after="20" w:line="240" w:lineRule="auto"/>
              <w:jc w:val="center"/>
            </w:pPr>
            <w:r>
              <w:rPr>
                <w:rFonts w:ascii="Times New Roman" w:hAnsi="Times New Roman"/>
                <w:sz w:val="18"/>
                <w:szCs w:val="18"/>
              </w:rPr>
              <w:t xml:space="preserve">80</w:t>
            </w:r>
          </w:p>
        </w:tc>
      </w:tr>
    </w:tbl>
    <w:p/>
    <w:p>
      <w:pPr>
        <w:spacing w:before="0" w:after="40" w:line="276" w:lineRule="auto"/>
        <w:jc w:val="center"/>
      </w:pPr>
      <w:r>
        <w:rPr>
          <w:rFonts w:ascii="Times New Roman" w:hAnsi="Times New Roman"/>
          <w:i/>
          <w:sz w:val="20"/>
          <w:szCs w:val="20"/>
        </w:rPr>
        <w:t xml:space="preserve">Table 2. Selection of welding variables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0"/>
        <w:gridCol w:w="2200"/>
        <w:gridCol w:w="2000"/>
        <w:gridCol w:w="2400"/>
      </w:tblGrid>
      <w:tr>
        <w:tc>
          <w:tcPr>
            <w:tcW w:w="2760" w:type="dxa"/>
            <w:shd w:val="clear" w:color="auto" w:fill="D9D9D9"/>
            <w:vAlign w:val="center"/>
          </w:tcPr>
          <w:p>
            <w:pPr>
              <w:spacing w:after="20" w:line="240" w:lineRule="auto"/>
              <w:jc w:val="center"/>
            </w:pPr>
            <w:r>
              <w:rPr>
                <w:rFonts w:ascii="Times New Roman" w:hAnsi="Times New Roman"/>
                <w:b/>
                <w:sz w:val="18"/>
                <w:szCs w:val="18"/>
              </w:rPr>
              <w:t xml:space="preserve">Material</w:t>
            </w:r>
          </w:p>
        </w:tc>
        <w:tc>
          <w:tcPr>
            <w:tcW w:w="2200" w:type="dxa"/>
            <w:shd w:val="clear" w:color="auto" w:fill="D9D9D9"/>
            <w:vAlign w:val="center"/>
          </w:tcPr>
          <w:p>
            <w:pPr>
              <w:spacing w:after="20" w:line="240" w:lineRule="auto"/>
              <w:jc w:val="center"/>
            </w:pPr>
            <w:r>
              <w:rPr>
                <w:rFonts w:ascii="Times New Roman" w:hAnsi="Times New Roman"/>
                <w:b/>
                <w:sz w:val="18"/>
                <w:szCs w:val="18"/>
              </w:rPr>
              <w:t xml:space="preserve">Yield Strength (MPa)</w:t>
            </w:r>
          </w:p>
        </w:tc>
        <w:tc>
          <w:tcPr>
            <w:tcW w:w="2000" w:type="dxa"/>
            <w:shd w:val="clear" w:color="auto" w:fill="D9D9D9"/>
            <w:vAlign w:val="center"/>
          </w:tcPr>
          <w:p>
            <w:pPr>
              <w:spacing w:after="20" w:line="240" w:lineRule="auto"/>
              <w:jc w:val="center"/>
            </w:pPr>
            <w:r>
              <w:rPr>
                <w:rFonts w:ascii="Times New Roman" w:hAnsi="Times New Roman"/>
                <w:b/>
                <w:sz w:val="18"/>
                <w:szCs w:val="18"/>
              </w:rPr>
              <w:t xml:space="preserve">Elongation (%)</w:t>
            </w:r>
          </w:p>
        </w:tc>
        <w:tc>
          <w:tcPr>
            <w:tcW w:w="2400" w:type="dxa"/>
            <w:shd w:val="clear" w:color="auto" w:fill="D9D9D9"/>
            <w:vAlign w:val="center"/>
          </w:tcPr>
          <w:p>
            <w:pPr>
              <w:spacing w:after="20" w:line="240" w:lineRule="auto"/>
              <w:jc w:val="center"/>
            </w:pPr>
            <w:r>
              <w:rPr>
                <w:rFonts w:ascii="Times New Roman" w:hAnsi="Times New Roman"/>
                <w:b/>
                <w:sz w:val="18"/>
                <w:szCs w:val="18"/>
              </w:rPr>
              <w:t xml:space="preserve">Tensile Strength (MPa)</w:t>
            </w:r>
          </w:p>
        </w:tc>
      </w:tr>
      <w:tr>
        <w:tc>
          <w:tcPr>
            <w:tcW w:w="2760" w:type="dxa"/>
            <w:vAlign w:val="center"/>
          </w:tcPr>
          <w:p>
            <w:pPr>
              <w:spacing w:after="20" w:line="240" w:lineRule="auto"/>
              <w:jc w:val="center"/>
            </w:pPr>
            <w:r>
              <w:rPr>
                <w:rFonts w:ascii="Times New Roman" w:hAnsi="Times New Roman"/>
                <w:sz w:val="18"/>
                <w:szCs w:val="18"/>
              </w:rPr>
              <w:t xml:space="preserve">SA 516</w:t>
            </w:r>
          </w:p>
        </w:tc>
        <w:tc>
          <w:tcPr>
            <w:tcW w:w="2200" w:type="dxa"/>
            <w:vAlign w:val="center"/>
          </w:tcPr>
          <w:p>
            <w:pPr>
              <w:spacing w:after="20" w:line="240" w:lineRule="auto"/>
              <w:jc w:val="center"/>
            </w:pPr>
            <w:r>
              <w:rPr>
                <w:rFonts w:ascii="Times New Roman" w:hAnsi="Times New Roman"/>
                <w:sz w:val="18"/>
                <w:szCs w:val="18"/>
              </w:rPr>
              <w:t xml:space="preserve">260</w:t>
            </w:r>
          </w:p>
        </w:tc>
        <w:tc>
          <w:tcPr>
            <w:tcW w:w="2000" w:type="dxa"/>
            <w:vAlign w:val="center"/>
          </w:tcPr>
          <w:p>
            <w:pPr>
              <w:spacing w:after="20" w:line="240" w:lineRule="auto"/>
              <w:jc w:val="center"/>
            </w:pPr>
            <w:r>
              <w:rPr>
                <w:rFonts w:ascii="Times New Roman" w:hAnsi="Times New Roman"/>
                <w:sz w:val="18"/>
                <w:szCs w:val="18"/>
              </w:rPr>
              <w:t xml:space="preserve">20-22</w:t>
            </w:r>
          </w:p>
        </w:tc>
        <w:tc>
          <w:tcPr>
            <w:tcW w:w="2400" w:type="dxa"/>
            <w:vAlign w:val="center"/>
          </w:tcPr>
          <w:p>
            <w:pPr>
              <w:spacing w:after="20" w:line="240" w:lineRule="auto"/>
              <w:jc w:val="center"/>
            </w:pPr>
            <w:r>
              <w:rPr>
                <w:rFonts w:ascii="Times New Roman" w:hAnsi="Times New Roman"/>
                <w:sz w:val="18"/>
                <w:szCs w:val="18"/>
              </w:rPr>
              <w:t xml:space="preserve">485-620</w:t>
            </w:r>
          </w:p>
        </w:tc>
      </w:tr>
      <w:tr>
        <w:tc>
          <w:tcPr>
            <w:tcW w:w="2760" w:type="dxa"/>
            <w:vAlign w:val="center"/>
          </w:tcPr>
          <w:p>
            <w:pPr>
              <w:spacing w:after="20" w:line="240" w:lineRule="auto"/>
              <w:jc w:val="center"/>
            </w:pPr>
            <w:r>
              <w:rPr>
                <w:rFonts w:ascii="Times New Roman" w:hAnsi="Times New Roman"/>
                <w:sz w:val="18"/>
                <w:szCs w:val="18"/>
              </w:rPr>
              <w:t xml:space="preserve">SS 2205</w:t>
            </w:r>
          </w:p>
        </w:tc>
        <w:tc>
          <w:tcPr>
            <w:tcW w:w="2200" w:type="dxa"/>
            <w:vAlign w:val="center"/>
          </w:tcPr>
          <w:p>
            <w:pPr>
              <w:spacing w:after="20" w:line="240" w:lineRule="auto"/>
              <w:jc w:val="center"/>
            </w:pPr>
            <w:r>
              <w:rPr>
                <w:rFonts w:ascii="Times New Roman" w:hAnsi="Times New Roman"/>
                <w:sz w:val="18"/>
                <w:szCs w:val="18"/>
              </w:rPr>
              <w:t xml:space="preserve">448</w:t>
            </w:r>
          </w:p>
        </w:tc>
        <w:tc>
          <w:tcPr>
            <w:tcW w:w="2000" w:type="dxa"/>
            <w:vAlign w:val="center"/>
          </w:tcPr>
          <w:p>
            <w:pPr>
              <w:spacing w:after="20" w:line="240" w:lineRule="auto"/>
              <w:jc w:val="center"/>
            </w:pPr>
            <w:r>
              <w:rPr>
                <w:rFonts w:ascii="Times New Roman" w:hAnsi="Times New Roman"/>
                <w:sz w:val="18"/>
                <w:szCs w:val="18"/>
              </w:rPr>
              <w:t xml:space="preserve">25</w:t>
            </w:r>
          </w:p>
        </w:tc>
        <w:tc>
          <w:tcPr>
            <w:tcW w:w="2400" w:type="dxa"/>
            <w:vAlign w:val="center"/>
          </w:tcPr>
          <w:p>
            <w:pPr>
              <w:spacing w:after="20" w:line="240" w:lineRule="auto"/>
              <w:jc w:val="center"/>
            </w:pPr>
            <w:r>
              <w:rPr>
                <w:rFonts w:ascii="Times New Roman" w:hAnsi="Times New Roman"/>
                <w:sz w:val="18"/>
                <w:szCs w:val="18"/>
              </w:rPr>
              <w:t xml:space="preserve">621</w:t>
            </w:r>
          </w:p>
        </w:tc>
      </w:tr>
      <w:tr>
        <w:tc>
          <w:tcPr>
            <w:tcW w:w="2760" w:type="dxa"/>
            <w:vAlign w:val="center"/>
          </w:tcPr>
          <w:p>
            <w:pPr>
              <w:spacing w:after="20" w:line="240" w:lineRule="auto"/>
              <w:jc w:val="center"/>
            </w:pPr>
            <w:r>
              <w:rPr>
                <w:rFonts w:ascii="Times New Roman" w:hAnsi="Times New Roman"/>
                <w:sz w:val="18"/>
                <w:szCs w:val="18"/>
              </w:rPr>
              <w:t xml:space="preserve">Filler wire (309L)</w:t>
            </w:r>
          </w:p>
        </w:tc>
        <w:tc>
          <w:tcPr>
            <w:tcW w:w="2200" w:type="dxa"/>
            <w:vAlign w:val="center"/>
          </w:tcPr>
          <w:p>
            <w:pPr>
              <w:spacing w:after="20" w:line="240" w:lineRule="auto"/>
              <w:jc w:val="center"/>
            </w:pPr>
            <w:r>
              <w:rPr>
                <w:rFonts w:ascii="Times New Roman" w:hAnsi="Times New Roman"/>
                <w:sz w:val="18"/>
                <w:szCs w:val="18"/>
              </w:rPr>
              <w:t xml:space="preserve">400</w:t>
            </w:r>
          </w:p>
        </w:tc>
        <w:tc>
          <w:tcPr>
            <w:tcW w:w="2000" w:type="dxa"/>
            <w:vAlign w:val="center"/>
          </w:tcPr>
          <w:p>
            <w:pPr>
              <w:spacing w:after="20" w:line="240" w:lineRule="auto"/>
              <w:jc w:val="center"/>
            </w:pPr>
            <w:r>
              <w:rPr>
                <w:rFonts w:ascii="Times New Roman" w:hAnsi="Times New Roman"/>
                <w:sz w:val="18"/>
                <w:szCs w:val="18"/>
              </w:rPr>
              <w:t xml:space="preserve">30</w:t>
            </w:r>
          </w:p>
        </w:tc>
        <w:tc>
          <w:tcPr>
            <w:tcW w:w="2400" w:type="dxa"/>
            <w:vAlign w:val="center"/>
          </w:tcPr>
          <w:p>
            <w:pPr>
              <w:spacing w:after="20" w:line="240" w:lineRule="auto"/>
              <w:jc w:val="center"/>
            </w:pPr>
            <w:r>
              <w:rPr>
                <w:rFonts w:ascii="Times New Roman" w:hAnsi="Times New Roman"/>
                <w:sz w:val="18"/>
                <w:szCs w:val="18"/>
              </w:rPr>
              <w:t xml:space="preserve">590</w:t>
            </w:r>
          </w:p>
        </w:tc>
      </w:tr>
    </w:tbl>
    <w:p/>
    <w:p>
      <w:pPr>
        <w:spacing w:before="0" w:after="40" w:line="276" w:lineRule="auto"/>
        <w:jc w:val="center"/>
      </w:pPr>
      <w:r>
        <w:rPr>
          <w:rFonts w:ascii="Times New Roman" w:hAnsi="Times New Roman"/>
          <w:i/>
          <w:sz w:val="20"/>
          <w:szCs w:val="20"/>
        </w:rPr>
        <w:t xml:space="preserve">Table 3. Mechanical behaviour of the base materials and filler wire</w:t>
      </w:r>
    </w:p>
    <w:p>
      <w:pPr>
        <w:spacing w:before="0" w:after="120" w:line="276" w:lineRule="auto"/>
        <w:jc w:val="both"/>
      </w:pPr>
      <w:r>
        <w:rPr>
          <w:rFonts w:ascii="Times New Roman" w:hAnsi="Times New Roman"/>
          <w:sz w:val="24"/>
          <w:szCs w:val="24"/>
          <w:highlight w:val="yellow"/>
        </w:rPr>
        <w:t xml:space="preserve">The joint was prepared as a single-V butt configuration (60° included angle, 2 mm root gap, 1.5 mm root face) and welded with a multi-pass sequence (one root, several fill and one cap pass). The interpass temperature was kept below 150 °C to limit the precipitation of deleterious phases in the duplex HAZ. Argon shielding was supplied at a flow rate of [to be inserted from the welding record]. The complete set of welding conditions (current, voltage and travel speed in Table 2, together with electrode extension, polarity and preheat) was selected to control the heat input to the dissimilar joint.</w:t>
      </w:r>
    </w:p>
    <w:p>
      <w:pPr>
        <w:spacing w:before="0" w:after="120" w:line="276" w:lineRule="auto"/>
        <w:jc w:val="both"/>
      </w:pPr>
      <w:r>
        <w:rPr>
          <w:rFonts w:ascii="Times New Roman" w:hAnsi="Times New Roman"/>
          <w:sz w:val="24"/>
          <w:szCs w:val="24"/>
          <w:highlight w:val="yellow"/>
        </w:rPr>
        <w:t xml:space="preserve">Thermal basis. The net heat input per pass was estimated as HI = η (V × I) / v, where η is the arc/process efficiency, V the arc voltage, I the welding current and v the travel speed. The peak temperature and cooling behaviour of the HAZ (characterised by the Δt8/5 cooling time) were interpreted using the Rosenthal moving heat-source solution; this analytical thermal basis governs the HAZ microstructure and the hardness observed in HAZ-1 and HAZ-2. No finite-element thermal model was used in the present work; only analytical estimates were made.</w:t>
      </w:r>
    </w:p>
    <w:p>
      <w:pPr>
        <w:spacing w:before="0" w:after="40" w:line="276" w:lineRule="auto"/>
        <w:jc w:val="center"/>
      </w:pPr>
      <w:r>
        <w:rPr>
          <w:rFonts w:ascii="Times New Roman" w:hAnsi="Times New Roman"/>
          <w:i/>
          <w:sz w:val="20"/>
          <w:szCs w:val="20"/>
        </w:rPr>
        <w:t xml:space="preserve">Table (new). Specifications of the welding power source</w:t>
      </w:r>
    </w:p>
    <w:tbl>
      <w:tblPr>
        <w:tblW w:w="8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5000"/>
      </w:tblGrid>
      <w:tr>
        <w:tc>
          <w:tcPr>
            <w:tcW w:w="3360" w:type="dxa"/>
            <w:shd w:val="clear" w:color="auto" w:fill="D9D9D9"/>
            <w:vAlign w:val="center"/>
          </w:tcPr>
          <w:p>
            <w:pPr>
              <w:spacing w:after="20" w:line="240" w:lineRule="auto"/>
              <w:jc w:val="center"/>
            </w:pPr>
            <w:r>
              <w:rPr>
                <w:rFonts w:ascii="Times New Roman" w:hAnsi="Times New Roman"/>
                <w:b/>
                <w:sz w:val="18"/>
                <w:szCs w:val="18"/>
              </w:rPr>
              <w:t xml:space="preserve">Specification</w:t>
            </w:r>
          </w:p>
        </w:tc>
        <w:tc>
          <w:tcPr>
            <w:tcW w:w="5000" w:type="dxa"/>
            <w:shd w:val="clear" w:color="auto" w:fill="D9D9D9"/>
            <w:vAlign w:val="center"/>
          </w:tcPr>
          <w:p>
            <w:pPr>
              <w:spacing w:after="20" w:line="240" w:lineRule="auto"/>
              <w:jc w:val="center"/>
            </w:pPr>
            <w:r>
              <w:rPr>
                <w:rFonts w:ascii="Times New Roman" w:hAnsi="Times New Roman"/>
                <w:b/>
                <w:sz w:val="18"/>
                <w:szCs w:val="18"/>
              </w:rPr>
              <w:t xml:space="preserve">Detail</w:t>
            </w:r>
          </w:p>
        </w:tc>
      </w:tr>
      <w:tr>
        <w:tc>
          <w:tcPr>
            <w:tcW w:w="3360" w:type="dxa"/>
            <w:vAlign w:val="center"/>
          </w:tcPr>
          <w:p>
            <w:pPr>
              <w:spacing w:after="20" w:line="240" w:lineRule="auto"/>
              <w:jc w:val="center"/>
            </w:pPr>
            <w:r>
              <w:rPr>
                <w:rFonts w:ascii="Times New Roman" w:hAnsi="Times New Roman"/>
                <w:sz w:val="18"/>
                <w:szCs w:val="18"/>
              </w:rPr>
              <w:t xml:space="preserve">Manufacturer</w:t>
            </w:r>
          </w:p>
        </w:tc>
        <w:tc>
          <w:tcPr>
            <w:tcW w:w="5000" w:type="dxa"/>
            <w:vAlign w:val="center"/>
          </w:tcPr>
          <w:p>
            <w:pPr>
              <w:spacing w:after="20" w:line="240" w:lineRule="auto"/>
              <w:jc w:val="center"/>
            </w:pPr>
            <w:r>
              <w:rPr>
                <w:rFonts w:ascii="Times New Roman" w:hAnsi="Times New Roman"/>
                <w:sz w:val="18"/>
                <w:szCs w:val="18"/>
                <w:highlight w:val="yellow"/>
              </w:rPr>
              <w:t xml:space="preserve">Ghudani Metal Weld India</w:t>
            </w:r>
          </w:p>
        </w:tc>
      </w:tr>
      <w:tr>
        <w:tc>
          <w:tcPr>
            <w:tcW w:w="3360" w:type="dxa"/>
            <w:vAlign w:val="center"/>
          </w:tcPr>
          <w:p>
            <w:pPr>
              <w:spacing w:after="20" w:line="240" w:lineRule="auto"/>
              <w:jc w:val="center"/>
            </w:pPr>
            <w:r>
              <w:rPr>
                <w:rFonts w:ascii="Times New Roman" w:hAnsi="Times New Roman"/>
                <w:sz w:val="18"/>
                <w:szCs w:val="18"/>
              </w:rPr>
              <w:t xml:space="preserve">Process</w:t>
            </w:r>
          </w:p>
        </w:tc>
        <w:tc>
          <w:tcPr>
            <w:tcW w:w="5000" w:type="dxa"/>
            <w:vAlign w:val="center"/>
          </w:tcPr>
          <w:p>
            <w:pPr>
              <w:spacing w:after="20" w:line="240" w:lineRule="auto"/>
              <w:jc w:val="center"/>
            </w:pPr>
            <w:r>
              <w:rPr>
                <w:rFonts w:ascii="Times New Roman" w:hAnsi="Times New Roman"/>
                <w:sz w:val="18"/>
                <w:szCs w:val="18"/>
                <w:highlight w:val="yellow"/>
              </w:rPr>
              <w:t xml:space="preserve">Gas Metal Arc Welding (GMAW / MIG)</w:t>
            </w:r>
          </w:p>
        </w:tc>
      </w:tr>
      <w:tr>
        <w:tc>
          <w:tcPr>
            <w:tcW w:w="3360" w:type="dxa"/>
            <w:vAlign w:val="center"/>
          </w:tcPr>
          <w:p>
            <w:pPr>
              <w:spacing w:after="20" w:line="240" w:lineRule="auto"/>
              <w:jc w:val="center"/>
            </w:pPr>
            <w:r>
              <w:rPr>
                <w:rFonts w:ascii="Times New Roman" w:hAnsi="Times New Roman"/>
                <w:sz w:val="18"/>
                <w:szCs w:val="18"/>
              </w:rPr>
              <w:t xml:space="preserve">Rated output current</w:t>
            </w:r>
          </w:p>
        </w:tc>
        <w:tc>
          <w:tcPr>
            <w:tcW w:w="5000" w:type="dxa"/>
            <w:vAlign w:val="center"/>
          </w:tcPr>
          <w:p>
            <w:pPr>
              <w:spacing w:after="20" w:line="240" w:lineRule="auto"/>
              <w:jc w:val="center"/>
            </w:pPr>
            <w:r>
              <w:rPr>
                <w:rFonts w:ascii="Times New Roman" w:hAnsi="Times New Roman"/>
                <w:sz w:val="18"/>
                <w:szCs w:val="18"/>
                <w:highlight w:val="yellow"/>
              </w:rPr>
              <w:t xml:space="preserve">[to be inserted from nameplate]</w:t>
            </w:r>
          </w:p>
        </w:tc>
      </w:tr>
      <w:tr>
        <w:tc>
          <w:tcPr>
            <w:tcW w:w="3360" w:type="dxa"/>
            <w:vAlign w:val="center"/>
          </w:tcPr>
          <w:p>
            <w:pPr>
              <w:spacing w:after="20" w:line="240" w:lineRule="auto"/>
              <w:jc w:val="center"/>
            </w:pPr>
            <w:r>
              <w:rPr>
                <w:rFonts w:ascii="Times New Roman" w:hAnsi="Times New Roman"/>
                <w:sz w:val="18"/>
                <w:szCs w:val="18"/>
              </w:rPr>
              <w:t xml:space="preserve">Output voltage range</w:t>
            </w:r>
          </w:p>
        </w:tc>
        <w:tc>
          <w:tcPr>
            <w:tcW w:w="5000" w:type="dxa"/>
            <w:vAlign w:val="center"/>
          </w:tcPr>
          <w:p>
            <w:pPr>
              <w:spacing w:after="20" w:line="240" w:lineRule="auto"/>
              <w:jc w:val="center"/>
            </w:pPr>
            <w:r>
              <w:rPr>
                <w:rFonts w:ascii="Times New Roman" w:hAnsi="Times New Roman"/>
                <w:sz w:val="18"/>
                <w:szCs w:val="18"/>
                <w:highlight w:val="yellow"/>
              </w:rPr>
              <w:t xml:space="preserve">[to be inserted from nameplate]</w:t>
            </w:r>
          </w:p>
        </w:tc>
      </w:tr>
      <w:tr>
        <w:tc>
          <w:tcPr>
            <w:tcW w:w="3360" w:type="dxa"/>
            <w:vAlign w:val="center"/>
          </w:tcPr>
          <w:p>
            <w:pPr>
              <w:spacing w:after="20" w:line="240" w:lineRule="auto"/>
              <w:jc w:val="center"/>
            </w:pPr>
            <w:r>
              <w:rPr>
                <w:rFonts w:ascii="Times New Roman" w:hAnsi="Times New Roman"/>
                <w:sz w:val="18"/>
                <w:szCs w:val="18"/>
              </w:rPr>
              <w:t xml:space="preserve">Duty cycle</w:t>
            </w:r>
          </w:p>
        </w:tc>
        <w:tc>
          <w:tcPr>
            <w:tcW w:w="5000" w:type="dxa"/>
            <w:vAlign w:val="center"/>
          </w:tcPr>
          <w:p>
            <w:pPr>
              <w:spacing w:after="20" w:line="240" w:lineRule="auto"/>
              <w:jc w:val="center"/>
            </w:pPr>
            <w:r>
              <w:rPr>
                <w:rFonts w:ascii="Times New Roman" w:hAnsi="Times New Roman"/>
                <w:sz w:val="18"/>
                <w:szCs w:val="18"/>
                <w:highlight w:val="yellow"/>
              </w:rPr>
              <w:t xml:space="preserve">[to be inserted from nameplate]</w:t>
            </w:r>
          </w:p>
        </w:tc>
      </w:tr>
      <w:tr>
        <w:tc>
          <w:tcPr>
            <w:tcW w:w="3360" w:type="dxa"/>
            <w:vAlign w:val="center"/>
          </w:tcPr>
          <w:p>
            <w:pPr>
              <w:spacing w:after="20" w:line="240" w:lineRule="auto"/>
              <w:jc w:val="center"/>
            </w:pPr>
            <w:r>
              <w:rPr>
                <w:rFonts w:ascii="Times New Roman" w:hAnsi="Times New Roman"/>
                <w:sz w:val="18"/>
                <w:szCs w:val="18"/>
              </w:rPr>
              <w:t xml:space="preserve">Power supply</w:t>
            </w:r>
          </w:p>
        </w:tc>
        <w:tc>
          <w:tcPr>
            <w:tcW w:w="5000" w:type="dxa"/>
            <w:vAlign w:val="center"/>
          </w:tcPr>
          <w:p>
            <w:pPr>
              <w:spacing w:after="20" w:line="240" w:lineRule="auto"/>
              <w:jc w:val="center"/>
            </w:pPr>
            <w:r>
              <w:rPr>
                <w:rFonts w:ascii="Times New Roman" w:hAnsi="Times New Roman"/>
                <w:sz w:val="18"/>
                <w:szCs w:val="18"/>
                <w:highlight w:val="yellow"/>
              </w:rPr>
              <w:t xml:space="preserve">[to be inserted from nameplate]</w:t>
            </w:r>
          </w:p>
        </w:tc>
      </w:tr>
      <w:tr>
        <w:tc>
          <w:tcPr>
            <w:tcW w:w="3360" w:type="dxa"/>
            <w:vAlign w:val="center"/>
          </w:tcPr>
          <w:p>
            <w:pPr>
              <w:spacing w:after="20" w:line="240" w:lineRule="auto"/>
              <w:jc w:val="center"/>
            </w:pPr>
            <w:r>
              <w:rPr>
                <w:rFonts w:ascii="Times New Roman" w:hAnsi="Times New Roman"/>
                <w:sz w:val="18"/>
                <w:szCs w:val="18"/>
              </w:rPr>
              <w:t xml:space="preserve">Wire-feed unit</w:t>
            </w:r>
          </w:p>
        </w:tc>
        <w:tc>
          <w:tcPr>
            <w:tcW w:w="5000" w:type="dxa"/>
            <w:vAlign w:val="center"/>
          </w:tcPr>
          <w:p>
            <w:pPr>
              <w:spacing w:after="20" w:line="240" w:lineRule="auto"/>
              <w:jc w:val="center"/>
            </w:pPr>
            <w:r>
              <w:rPr>
                <w:rFonts w:ascii="Times New Roman" w:hAnsi="Times New Roman"/>
                <w:sz w:val="18"/>
                <w:szCs w:val="18"/>
                <w:highlight w:val="yellow"/>
              </w:rPr>
              <w:t xml:space="preserve">[to be inserted from nameplate]</w:t>
            </w:r>
          </w:p>
        </w:tc>
      </w:tr>
    </w:tbl>
    <w:p/>
    <w:p>
      <w:pPr>
        <w:spacing w:before="0" w:after="120" w:line="276" w:lineRule="auto"/>
        <w:jc w:val="both"/>
      </w:pPr>
      <w:r>
        <w:rPr>
          <w:rFonts w:ascii="Times New Roman" w:hAnsi="Times New Roman"/>
          <w:sz w:val="24"/>
          <w:szCs w:val="24"/>
        </w:rPr>
        <w:t xml:space="preserve">The metallurgical investigation of the welding zone and heat-affected zone of SA516 and DSS2205 at 400X magnification was carried out using a Dewinter optical microscope. The specimen was extracted from the welded plate as shown in Figure 2. The Vickers micro-hardness survey was carried out on the cross-section of the specimen prepared by the standard metallographic procedure according to ASTM E384 for a load of 500 grams with a 15-second dwell time. A Vickers hardness testing machine (model RMHT-201) manufactured by Radical Scientific Equipment, Ambala Cantt, Haryana, India, available at SLIET Longowal, Punjab, was used and is shown in Figure 2. The microhardness survey starts from the SA516 base metal followed by the HAZ along </w:t>
      </w:r>
      <w:r>
        <w:rPr>
          <w:rFonts w:ascii="Times New Roman" w:hAnsi="Times New Roman"/>
          <w:sz w:val="24"/>
          <w:szCs w:val="24"/>
          <w:highlight w:val="yellow"/>
        </w:rPr>
        <w:t xml:space="preserve">the SA516</w:t>
      </w:r>
      <w:r>
        <w:rPr>
          <w:rFonts w:ascii="Times New Roman" w:hAnsi="Times New Roman"/>
          <w:sz w:val="24"/>
          <w:szCs w:val="24"/>
        </w:rPr>
        <w:t xml:space="preserve"> side, the weld metal, the HAZ on the SS2205 side, and the base metal (left to right of the specimen) as shown in Figure 5. To prevent any potential effects of strain fields generated by nearby indentations, all indentations were spaced 2 mm apart. The impact strength of the dissimilar joint was conducted (as per ASTM E23) at room temperature. The fracture morphology of the impact specimen was studied using a scanning electron microscope (SEM), used to analyse the micrographs of both the heat-affected zone and the fusion zone of the SA516+SS2205 dissimilar welds. This analysis was carried out using variable parameters such as a working distance of 11.4-13.2 mm, accelerating voltage of 15.0-20.0 kV, resolution of 1K-2.2K and probe current of 8.0-26.0 using a JEOL IT 500 available at UCRD, Chandigarh University, Gharuan, Punjab, India. Samples from the HAZ, weld zone and base metals were prepared and etched using standard metallographic techniques. The specimens were polished using 200 to 2000 grade emery paper followed by a velvet cloth with alumina paste. SS2205 duplex stainless steel was etched electrochemically with a 10 % oxalic acid solution. </w:t>
      </w:r>
      <w:r>
        <w:rPr>
          <w:rFonts w:ascii="Times New Roman" w:hAnsi="Times New Roman"/>
          <w:sz w:val="24"/>
          <w:szCs w:val="24"/>
          <w:highlight w:val="yellow"/>
        </w:rPr>
        <w:t xml:space="preserve">An optical microscope was used to examine the microstructures.</w:t>
      </w:r>
    </w:p>
    <w:p>
      <w:pPr>
        <w:spacing w:before="0" w:after="40" w:line="276" w:lineRule="auto"/>
        <w:jc w:val="center"/>
      </w:pPr>
      <w:r>
        <w:rPr>
          <w:rFonts w:ascii="Times New Roman" w:hAnsi="Times New Roman"/>
          <w:i/>
          <w:sz w:val="20"/>
          <w:szCs w:val="20"/>
        </w:rPr>
        <w:t xml:space="preserve">Figure 2. Sample extracted from the welded plate and the microhardness testing machine. </w:t>
      </w:r>
      <w:r>
        <w:rPr>
          <w:rFonts w:ascii="Times New Roman" w:hAnsi="Times New Roman"/>
          <w:i/>
          <w:sz w:val="20"/>
          <w:szCs w:val="20"/>
          <w:highlight w:val="yellow"/>
        </w:rPr>
        <w:t xml:space="preserve">A labelled diagram of the as-welded plate showing the locations from which the tensile, impact, microhardness and metallographic specimens were extracted (with dimensions per the relevant ASTM standards) is included.</w:t>
      </w:r>
    </w:p>
    <w:p>
      <w:pPr>
        <w:spacing w:before="240" w:after="100" w:line="276" w:lineRule="auto"/>
        <w:jc w:val="left"/>
      </w:pPr>
      <w:r>
        <w:rPr>
          <w:rFonts w:ascii="Times New Roman" w:hAnsi="Times New Roman"/>
          <w:b/>
          <w:sz w:val="28"/>
          <w:szCs w:val="28"/>
        </w:rPr>
        <w:t xml:space="preserve">3. Results and Discussion</w:t>
      </w:r>
    </w:p>
    <w:p>
      <w:pPr>
        <w:spacing w:before="0" w:after="120" w:line="276" w:lineRule="auto"/>
        <w:jc w:val="both"/>
      </w:pPr>
      <w:r>
        <w:rPr>
          <w:rFonts w:ascii="Times New Roman" w:hAnsi="Times New Roman"/>
          <w:sz w:val="24"/>
          <w:szCs w:val="24"/>
          <w:highlight w:val="yellow"/>
        </w:rPr>
        <w:t xml:space="preserve">Throughout this manuscript, HAZ-1 denotes the heat-affected zone on the SA516 carbon-steel side, and HAZ-2 denotes the heat-affected zone on the SS2205 duplex stainless-steel side.</w:t>
      </w:r>
    </w:p>
    <w:p>
      <w:pPr>
        <w:spacing w:before="0" w:after="40" w:line="276" w:lineRule="auto"/>
        <w:jc w:val="center"/>
      </w:pPr>
      <w:r>
        <w:rPr>
          <w:rFonts w:ascii="Times New Roman" w:hAnsi="Times New Roman"/>
          <w:i/>
          <w:sz w:val="20"/>
          <w:szCs w:val="20"/>
        </w:rPr>
        <w:t xml:space="preserve">Figure (new). Schematic cross-section of the dissimilar joint </w:t>
      </w:r>
      <w:r>
        <w:rPr>
          <w:rFonts w:ascii="Times New Roman" w:hAnsi="Times New Roman"/>
          <w:i/>
          <w:sz w:val="20"/>
          <w:szCs w:val="20"/>
          <w:highlight w:val="yellow"/>
        </w:rPr>
        <w:t xml:space="preserve">delineating SA516 base metal – HAZ-1 – fusion zone (309L weld metal) – HAZ-2 – SS2205 base metal, together with the weld-bead geometry (bead width, reinforcement, penetration) and the microhardness indentation traverse across these zones. [Schematic to be inserted.]</w:t>
      </w:r>
    </w:p>
    <w:p>
      <w:pPr>
        <w:spacing w:before="160" w:after="80" w:line="276" w:lineRule="auto"/>
        <w:jc w:val="left"/>
      </w:pPr>
      <w:r>
        <w:rPr>
          <w:rFonts w:ascii="Times New Roman" w:hAnsi="Times New Roman"/>
          <w:b/>
          <w:sz w:val="25"/>
          <w:szCs w:val="25"/>
        </w:rPr>
        <w:t xml:space="preserve">3.1 Microstructural Analysis</w:t>
      </w:r>
    </w:p>
    <w:p>
      <w:pPr>
        <w:spacing w:before="0" w:after="120" w:line="276" w:lineRule="auto"/>
        <w:jc w:val="both"/>
      </w:pPr>
      <w:r>
        <w:rPr>
          <w:rFonts w:ascii="Times New Roman" w:hAnsi="Times New Roman"/>
          <w:sz w:val="24"/>
          <w:szCs w:val="24"/>
        </w:rPr>
        <w:t xml:space="preserve">The micrographs of the SA516 base metal primarily consisted of ferrite and pearlite, whereas the 2205 duplex stainless steel exhibited a dual-phase structure of ferrite and austenite. The weld zone exhibited a complex microstructure of austenite and delta ferrite, influenced by the 309L filler wire. From the micrographs, it is clear that HAZ-1 displayed grain coarsening, while HAZ-2 revealed partial dissolution of ferrite. Moreover, the dissimilar welds between SA516 and SS2205 often exhibit a complex mix of ferritic, austenitic and martensitic phases, especially in the HAZ regions. The microstructure of base material SA516 is presented in Figure 3(a). It consists of alternate layers of ferrite and pearlite in the rolling direction. The approximate ferrite content is 54.49 %, while the pearlite content is 45.51 % as revealed by ImageJ software. High carbon and manganese content in SA516 result in the formation of fine grains. With increasing carbon content, the amount of polygonal ferrite and grain-boundary ferrite decreases. The results are in good agreement with the findings of Singh and Pandey </w:t>
      </w:r>
      <w:r>
        <w:rPr>
          <w:rFonts w:ascii="Times New Roman" w:hAnsi="Times New Roman"/>
          <w:sz w:val="24"/>
          <w:szCs w:val="24"/>
          <w:highlight w:val="yellow"/>
        </w:rPr>
        <w:t xml:space="preserve">[21]</w:t>
      </w:r>
      <w:r>
        <w:rPr>
          <w:rFonts w:ascii="Times New Roman" w:hAnsi="Times New Roman"/>
          <w:sz w:val="24"/>
          <w:szCs w:val="24"/>
        </w:rPr>
        <w:t xml:space="preserve">. Carbon content also influences the mechanical properties: with the addition of carbon the tensile and yield strength increase and ductility decreases, due to which microhardness increases. HAZ-1 forms during cooling of the weld molten metal; it is due to the non-homogeneity of base metal and filler metal. The fusion zone near HAZ-1, made up of 309L filler wire and SA516, causes improper wetting due to the different crystal structure. Due to high heat input but no melting, quenched polygonal ferrite (QPF) is observed in HAZ-1. In the base metal near HAZ-1, coarse-grain ferrite and pearlite were present. The presence of hard and brittle martensitic phases, particularly near the SA516 interface, is a common observation that can lead to premature failure under mechanical stress or thermal cycling [11]. Post-weld heat treatment (PWHT) can mitigate some of these issues by tempering the martensite and reducing residual stresses, but the PWHT parameters must be carefully controlled to avoid over-aging the duplex stainless steel. This is in good agreement with [12].</w:t>
      </w:r>
    </w:p>
    <w:p>
      <w:pPr>
        <w:spacing w:before="0" w:after="40" w:line="276" w:lineRule="auto"/>
        <w:jc w:val="center"/>
      </w:pPr>
      <w:r>
        <w:rPr>
          <w:rFonts w:ascii="Times New Roman" w:hAnsi="Times New Roman"/>
          <w:i/>
          <w:sz w:val="20"/>
          <w:szCs w:val="20"/>
        </w:rPr>
        <w:t xml:space="preserve">Figure 3. (a) Microstructure of parent metal SA516, (b) HAZ-1, (c) 2205 + SA516 309L (weld region), (d) HAZ-2 and (e) parent metal 2205. </w:t>
      </w:r>
      <w:r>
        <w:rPr>
          <w:rFonts w:ascii="Times New Roman" w:hAnsi="Times New Roman"/>
          <w:i/>
          <w:sz w:val="20"/>
          <w:szCs w:val="20"/>
          <w:highlight w:val="yellow"/>
        </w:rPr>
        <w:t xml:space="preserve">Replaced with higher-resolution micrographs with enlarged, high-contrast annotations. Abbreviations: QPF – quenched (quasi-)polygonal ferrite; GBA – grain-boundary austenite; IGA – intragranular austenite; WA – Widmanstätten austenite; CS – columnar structure; AF – austenite-ferrite; FGF – fine-grained ferrite.</w:t>
      </w:r>
    </w:p>
    <w:p>
      <w:pPr>
        <w:spacing w:before="0" w:after="120" w:line="276" w:lineRule="auto"/>
        <w:jc w:val="both"/>
      </w:pPr>
      <w:r>
        <w:rPr>
          <w:rFonts w:ascii="Times New Roman" w:hAnsi="Times New Roman"/>
          <w:sz w:val="24"/>
          <w:szCs w:val="24"/>
        </w:rPr>
        <w:t xml:space="preserve">The weld zone is a mixture of both materials, i.e. carbon steel SA516 and duplex stainless steel SS2205, and it combines the corrosion resistance and weldability properties of both. In this region, columnar dendrites, equiaxed polygonal ferrite and a columnar structure (CS) were observed. HAZ-2 lies between the weld zone and SS2205 and shows ferrite dendrites. Due to multipass welding, ferrite transformation occurs since the base metal SS2205 and the 309L filler wire are from the same stainless-steel family. </w:t>
      </w:r>
      <w:r>
        <w:rPr>
          <w:rFonts w:ascii="Times New Roman" w:hAnsi="Times New Roman"/>
          <w:sz w:val="24"/>
          <w:szCs w:val="24"/>
          <w:highlight w:val="yellow"/>
        </w:rPr>
        <w:t xml:space="preserve">Widmanstätten</w:t>
      </w:r>
      <w:r>
        <w:rPr>
          <w:rFonts w:ascii="Times New Roman" w:hAnsi="Times New Roman"/>
          <w:sz w:val="24"/>
          <w:szCs w:val="24"/>
        </w:rPr>
        <w:t xml:space="preserve"> ferrite and a mixture of FCC &amp; BCC structures were also observed. In the welding zone, the adequate heat input led to excessive austenite due to the appearance of tiny intragranular austenite (IGA) which nucleated inside the ferrite. This is in good agreement with </w:t>
      </w:r>
      <w:r>
        <w:rPr>
          <w:rFonts w:ascii="Times New Roman" w:hAnsi="Times New Roman"/>
          <w:sz w:val="24"/>
          <w:szCs w:val="24"/>
          <w:highlight w:val="yellow"/>
        </w:rPr>
        <w:t xml:space="preserve">[22]</w:t>
      </w:r>
      <w:r>
        <w:rPr>
          <w:rFonts w:ascii="Times New Roman" w:hAnsi="Times New Roman"/>
          <w:sz w:val="24"/>
          <w:szCs w:val="24"/>
        </w:rPr>
        <w:t xml:space="preserve">. The grain-boundary austenite (GBA) and ferrite were found to be more prone to plastic deformation. Ferrite was dominant, while austenite presented two modalities, i.e. the banded GBA which overwhelmed ferrite, and </w:t>
      </w:r>
      <w:r>
        <w:rPr>
          <w:rFonts w:ascii="Times New Roman" w:hAnsi="Times New Roman"/>
          <w:sz w:val="24"/>
          <w:szCs w:val="24"/>
          <w:highlight w:val="yellow"/>
        </w:rPr>
        <w:t xml:space="preserve">Widmanstätten</w:t>
      </w:r>
      <w:r>
        <w:rPr>
          <w:rFonts w:ascii="Times New Roman" w:hAnsi="Times New Roman"/>
          <w:sz w:val="24"/>
          <w:szCs w:val="24"/>
        </w:rPr>
        <w:t xml:space="preserve"> austenite (WA) which nucleated on the GBA side and developed towards the interior of the ferrite. This is due to the faster thermal cycle and shorter heat time at the HAZ, which led to insufficient formation of austenite. Base metal 2205 duplex stainless steel has a high content of nickel, chromium and manganese compared to SA516. In this region the austenite-ferrite (AF), grain-boundary austenite (GBA), </w:t>
      </w:r>
      <w:r>
        <w:rPr>
          <w:rFonts w:ascii="Times New Roman" w:hAnsi="Times New Roman"/>
          <w:sz w:val="24"/>
          <w:szCs w:val="24"/>
          <w:highlight w:val="yellow"/>
        </w:rPr>
        <w:t xml:space="preserve">intragranular</w:t>
      </w:r>
      <w:r>
        <w:rPr>
          <w:rFonts w:ascii="Times New Roman" w:hAnsi="Times New Roman"/>
          <w:sz w:val="24"/>
          <w:szCs w:val="24"/>
        </w:rPr>
        <w:t xml:space="preserve"> austenite (IGA) and </w:t>
      </w:r>
      <w:r>
        <w:rPr>
          <w:rFonts w:ascii="Times New Roman" w:hAnsi="Times New Roman"/>
          <w:sz w:val="24"/>
          <w:szCs w:val="24"/>
          <w:highlight w:val="yellow"/>
        </w:rPr>
        <w:t xml:space="preserve">Widmanstätten</w:t>
      </w:r>
      <w:r>
        <w:rPr>
          <w:rFonts w:ascii="Times New Roman" w:hAnsi="Times New Roman"/>
          <w:sz w:val="24"/>
          <w:szCs w:val="24"/>
        </w:rPr>
        <w:t xml:space="preserve"> austenite (WA) are observed.</w:t>
      </w:r>
    </w:p>
    <w:p>
      <w:pPr>
        <w:spacing w:before="160" w:after="80" w:line="276" w:lineRule="auto"/>
        <w:jc w:val="left"/>
      </w:pPr>
      <w:r>
        <w:rPr>
          <w:rFonts w:ascii="Times New Roman" w:hAnsi="Times New Roman"/>
          <w:b/>
          <w:sz w:val="25"/>
          <w:szCs w:val="25"/>
        </w:rPr>
        <w:t xml:space="preserve">3.2 Mechanical Properties</w:t>
      </w:r>
    </w:p>
    <w:p>
      <w:pPr>
        <w:spacing w:before="160" w:after="80" w:line="276" w:lineRule="auto"/>
        <w:jc w:val="left"/>
      </w:pPr>
      <w:r>
        <w:rPr>
          <w:rFonts w:ascii="Times New Roman" w:hAnsi="Times New Roman"/>
          <w:b/>
          <w:sz w:val="25"/>
          <w:szCs w:val="25"/>
        </w:rPr>
        <w:t xml:space="preserve">3.2.1 Impact Strength</w:t>
      </w:r>
    </w:p>
    <w:p>
      <w:pPr>
        <w:spacing w:before="0" w:after="120" w:line="276" w:lineRule="auto"/>
        <w:jc w:val="both"/>
      </w:pPr>
      <w:r>
        <w:rPr>
          <w:rFonts w:ascii="Times New Roman" w:hAnsi="Times New Roman"/>
          <w:sz w:val="24"/>
          <w:szCs w:val="24"/>
        </w:rPr>
        <w:t xml:space="preserve">The impact strength of the weld metal was higher than that of the SS2205 and SA516 base metals, indicating moderate toughness of the welded joint. Impact toughness (as per ASTM E23) of both the HAZ and the fusion zone of the 2205 duplex steel and SA516 dissimilar weld was observed at room temperature. To qualify, the minimum impact toughness for these dissimilar welds should exceed 40 J (see Table 4). Table 4 presents the impact-toughness values for the base, HAZ and fusion zone of 2205, SA516 and the SA516+2205 weld region. The 2205 duplex base metal achieves a maximum impact toughness of 130 J, while the SA516 base metal reaches 100 J. </w:t>
      </w:r>
      <w:r>
        <w:rPr>
          <w:rFonts w:ascii="Times New Roman" w:hAnsi="Times New Roman"/>
          <w:sz w:val="24"/>
          <w:szCs w:val="24"/>
          <w:highlight w:val="yellow"/>
        </w:rPr>
        <w:t xml:space="preserve">The SA516+2205 fusion zone recorded the highest absorbed energy (150 J), exceeding the SS2205 duplex base metal (130 J) by about 15 % and the SA516 base metal (100 J) by about 50 %. This superior toughness reflects the tough, predominantly austenitic 309L weld metal with a controlled ferrite content.</w:t>
      </w:r>
      <w:r>
        <w:rPr>
          <w:rFonts w:ascii="Times New Roman" w:hAnsi="Times New Roman"/>
          <w:sz w:val="24"/>
          <w:szCs w:val="24"/>
        </w:rPr>
        <w:t xml:space="preserve"> A minimum impact toughness of 90 J was recorded for HAZ-1. </w:t>
      </w:r>
      <w:r>
        <w:rPr>
          <w:rFonts w:ascii="Times New Roman" w:hAnsi="Times New Roman"/>
          <w:sz w:val="24"/>
          <w:szCs w:val="24"/>
          <w:highlight w:val="yellow"/>
        </w:rPr>
        <w:t xml:space="preserve">Impact testing was carried out in accordance with ASTM E23; the values reported in Table 4 are representative per location, and the mean ± standard deviation from the test record should be inserted where replicate specimens were tested.</w:t>
      </w:r>
      <w:r>
        <w:rPr>
          <w:rFonts w:ascii="Times New Roman" w:hAnsi="Times New Roman"/>
          <w:sz w:val="24"/>
          <w:szCs w:val="24"/>
        </w:rPr>
        <w:t xml:space="preserve"> The greater toughness in the SA516+2205 dissimilar weld, characterized by its fine-grained ferritic (FGF) microstructure as seen in Figure 3, is attributed to the lower occurrence of liquation cracking compared to the two HAZ regions (HAZ-1 and HAZ-2). It demonstrates that the reduction in impact strength caused by welding results from irregular grain orientations of the austenite and ferrite phases, secondary austenite phases in the weld, coarser ferrite grains near the fusion line and improper diffusion of alloying elements [13]. The lowering of impact toughness in the weld is also significantly influenced by the residual stresses induced during welding.</w:t>
      </w:r>
    </w:p>
    <w:tbl>
      <w:tblPr>
        <w:tblW w:w="8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60"/>
        <w:gridCol w:w="3200"/>
      </w:tblGrid>
      <w:tr>
        <w:tc>
          <w:tcPr>
            <w:tcW w:w="5160" w:type="dxa"/>
            <w:shd w:val="clear" w:color="auto" w:fill="D9D9D9"/>
            <w:vAlign w:val="center"/>
          </w:tcPr>
          <w:p>
            <w:pPr>
              <w:spacing w:after="20" w:line="240" w:lineRule="auto"/>
              <w:jc w:val="center"/>
            </w:pPr>
            <w:r>
              <w:rPr>
                <w:rFonts w:ascii="Times New Roman" w:hAnsi="Times New Roman"/>
                <w:b/>
                <w:sz w:val="18"/>
                <w:szCs w:val="18"/>
              </w:rPr>
              <w:t xml:space="preserve">Sample</w:t>
            </w:r>
          </w:p>
        </w:tc>
        <w:tc>
          <w:tcPr>
            <w:tcW w:w="3200" w:type="dxa"/>
            <w:shd w:val="clear" w:color="auto" w:fill="D9D9D9"/>
            <w:vAlign w:val="center"/>
          </w:tcPr>
          <w:p>
            <w:pPr>
              <w:spacing w:after="20" w:line="240" w:lineRule="auto"/>
              <w:jc w:val="center"/>
            </w:pPr>
            <w:r>
              <w:rPr>
                <w:rFonts w:ascii="Times New Roman" w:hAnsi="Times New Roman"/>
                <w:b/>
                <w:sz w:val="18"/>
                <w:szCs w:val="18"/>
              </w:rPr>
              <w:t xml:space="preserve">Impact toughness (J)</w:t>
            </w:r>
          </w:p>
        </w:tc>
      </w:tr>
      <w:tr>
        <w:tc>
          <w:tcPr>
            <w:tcW w:w="5160" w:type="dxa"/>
            <w:vAlign w:val="center"/>
          </w:tcPr>
          <w:p>
            <w:pPr>
              <w:spacing w:after="20" w:line="240" w:lineRule="auto"/>
              <w:jc w:val="center"/>
            </w:pPr>
            <w:r>
              <w:rPr>
                <w:rFonts w:ascii="Times New Roman" w:hAnsi="Times New Roman"/>
                <w:sz w:val="18"/>
                <w:szCs w:val="18"/>
              </w:rPr>
              <w:t xml:space="preserve">SA516 (Base)</w:t>
            </w:r>
          </w:p>
        </w:tc>
        <w:tc>
          <w:tcPr>
            <w:tcW w:w="3200" w:type="dxa"/>
            <w:vAlign w:val="center"/>
          </w:tcPr>
          <w:p>
            <w:pPr>
              <w:spacing w:after="20" w:line="240" w:lineRule="auto"/>
              <w:jc w:val="center"/>
            </w:pPr>
            <w:r>
              <w:rPr>
                <w:rFonts w:ascii="Times New Roman" w:hAnsi="Times New Roman"/>
                <w:sz w:val="18"/>
                <w:szCs w:val="18"/>
              </w:rPr>
              <w:t xml:space="preserve">100</w:t>
            </w:r>
          </w:p>
        </w:tc>
      </w:tr>
      <w:tr>
        <w:tc>
          <w:tcPr>
            <w:tcW w:w="5160" w:type="dxa"/>
            <w:vAlign w:val="center"/>
          </w:tcPr>
          <w:p>
            <w:pPr>
              <w:spacing w:after="20" w:line="240" w:lineRule="auto"/>
              <w:jc w:val="center"/>
            </w:pPr>
            <w:r>
              <w:rPr>
                <w:rFonts w:ascii="Times New Roman" w:hAnsi="Times New Roman"/>
                <w:sz w:val="18"/>
                <w:szCs w:val="18"/>
              </w:rPr>
              <w:t xml:space="preserve">2205 Duplex steel (Base)</w:t>
            </w:r>
          </w:p>
        </w:tc>
        <w:tc>
          <w:tcPr>
            <w:tcW w:w="3200" w:type="dxa"/>
            <w:vAlign w:val="center"/>
          </w:tcPr>
          <w:p>
            <w:pPr>
              <w:spacing w:after="20" w:line="240" w:lineRule="auto"/>
              <w:jc w:val="center"/>
            </w:pPr>
            <w:r>
              <w:rPr>
                <w:rFonts w:ascii="Times New Roman" w:hAnsi="Times New Roman"/>
                <w:sz w:val="18"/>
                <w:szCs w:val="18"/>
              </w:rPr>
              <w:t xml:space="preserve">130</w:t>
            </w:r>
          </w:p>
        </w:tc>
      </w:tr>
      <w:tr>
        <w:tc>
          <w:tcPr>
            <w:tcW w:w="5160" w:type="dxa"/>
            <w:vAlign w:val="center"/>
          </w:tcPr>
          <w:p>
            <w:pPr>
              <w:spacing w:after="20" w:line="240" w:lineRule="auto"/>
              <w:jc w:val="center"/>
            </w:pPr>
            <w:r>
              <w:rPr>
                <w:rFonts w:ascii="Times New Roman" w:hAnsi="Times New Roman"/>
                <w:sz w:val="18"/>
                <w:szCs w:val="18"/>
              </w:rPr>
              <w:t xml:space="preserve">SA 516 + 2205 (FZ)</w:t>
            </w:r>
          </w:p>
        </w:tc>
        <w:tc>
          <w:tcPr>
            <w:tcW w:w="3200" w:type="dxa"/>
            <w:vAlign w:val="center"/>
          </w:tcPr>
          <w:p>
            <w:pPr>
              <w:spacing w:after="20" w:line="240" w:lineRule="auto"/>
              <w:jc w:val="center"/>
            </w:pPr>
            <w:r>
              <w:rPr>
                <w:rFonts w:ascii="Times New Roman" w:hAnsi="Times New Roman"/>
                <w:sz w:val="18"/>
                <w:szCs w:val="18"/>
              </w:rPr>
              <w:t xml:space="preserve">150</w:t>
            </w:r>
          </w:p>
        </w:tc>
      </w:tr>
      <w:tr>
        <w:tc>
          <w:tcPr>
            <w:tcW w:w="5160" w:type="dxa"/>
            <w:vAlign w:val="center"/>
          </w:tcPr>
          <w:p>
            <w:pPr>
              <w:spacing w:after="20" w:line="240" w:lineRule="auto"/>
              <w:jc w:val="center"/>
            </w:pPr>
            <w:r>
              <w:rPr>
                <w:rFonts w:ascii="Times New Roman" w:hAnsi="Times New Roman"/>
                <w:sz w:val="18"/>
                <w:szCs w:val="18"/>
              </w:rPr>
              <w:t xml:space="preserve">HAZ-1</w:t>
            </w:r>
          </w:p>
        </w:tc>
        <w:tc>
          <w:tcPr>
            <w:tcW w:w="3200" w:type="dxa"/>
            <w:vAlign w:val="center"/>
          </w:tcPr>
          <w:p>
            <w:pPr>
              <w:spacing w:after="20" w:line="240" w:lineRule="auto"/>
              <w:jc w:val="center"/>
            </w:pPr>
            <w:r>
              <w:rPr>
                <w:rFonts w:ascii="Times New Roman" w:hAnsi="Times New Roman"/>
                <w:sz w:val="18"/>
                <w:szCs w:val="18"/>
              </w:rPr>
              <w:t xml:space="preserve">90</w:t>
            </w:r>
          </w:p>
        </w:tc>
      </w:tr>
      <w:tr>
        <w:tc>
          <w:tcPr>
            <w:tcW w:w="5160" w:type="dxa"/>
            <w:vAlign w:val="center"/>
          </w:tcPr>
          <w:p>
            <w:pPr>
              <w:spacing w:after="20" w:line="240" w:lineRule="auto"/>
              <w:jc w:val="center"/>
            </w:pPr>
            <w:r>
              <w:rPr>
                <w:rFonts w:ascii="Times New Roman" w:hAnsi="Times New Roman"/>
                <w:sz w:val="18"/>
                <w:szCs w:val="18"/>
              </w:rPr>
              <w:t xml:space="preserve">HAZ-2</w:t>
            </w:r>
          </w:p>
        </w:tc>
        <w:tc>
          <w:tcPr>
            <w:tcW w:w="3200" w:type="dxa"/>
            <w:vAlign w:val="center"/>
          </w:tcPr>
          <w:p>
            <w:pPr>
              <w:spacing w:after="20" w:line="240" w:lineRule="auto"/>
              <w:jc w:val="center"/>
            </w:pPr>
            <w:r>
              <w:rPr>
                <w:rFonts w:ascii="Times New Roman" w:hAnsi="Times New Roman"/>
                <w:sz w:val="18"/>
                <w:szCs w:val="18"/>
              </w:rPr>
              <w:t xml:space="preserve">110</w:t>
            </w:r>
          </w:p>
        </w:tc>
      </w:tr>
    </w:tbl>
    <w:p/>
    <w:p>
      <w:pPr>
        <w:spacing w:before="0" w:after="40" w:line="276" w:lineRule="auto"/>
        <w:jc w:val="center"/>
      </w:pPr>
      <w:r>
        <w:rPr>
          <w:rFonts w:ascii="Times New Roman" w:hAnsi="Times New Roman"/>
          <w:i/>
          <w:sz w:val="20"/>
          <w:szCs w:val="20"/>
        </w:rPr>
        <w:t xml:space="preserve">Table 4. Impact toughness results</w:t>
      </w:r>
    </w:p>
    <w:p>
      <w:pPr>
        <w:spacing w:before="160" w:after="80" w:line="276" w:lineRule="auto"/>
        <w:jc w:val="left"/>
      </w:pPr>
      <w:r>
        <w:rPr>
          <w:rFonts w:ascii="Times New Roman" w:hAnsi="Times New Roman"/>
          <w:b/>
          <w:sz w:val="25"/>
          <w:szCs w:val="25"/>
        </w:rPr>
        <w:t xml:space="preserve">Fractography of the impact specimen</w:t>
      </w:r>
    </w:p>
    <w:p>
      <w:pPr>
        <w:spacing w:before="0" w:after="120" w:line="276" w:lineRule="auto"/>
        <w:jc w:val="both"/>
      </w:pPr>
      <w:r>
        <w:rPr>
          <w:rFonts w:ascii="Times New Roman" w:hAnsi="Times New Roman"/>
          <w:sz w:val="24"/>
          <w:szCs w:val="24"/>
        </w:rPr>
        <w:t xml:space="preserve">The figures show the scanning electron microscope (SEM) fractography from impact testing of the dissimilar weld between SA516 and SS2205. Figure 4(a) shows the fractography of the heat-affected zone (HAZ-1) along SA516. It shows more elongated and planar fracture features, indicating a mixed-mode fracture with some brittle characteristics. This could be due to the presence of cleavage facets, indicating brittle fracture, mixed with some ductile regions. HAZ-1 is prone to embrittlement due to the formation of martensitic phases or carbide precipitation during welding, particularly when the cooling rate is high [14]. Due to microstructural changes, the material lost its ductility in the regions where cleavage facets are observed. The energy absorption in the mixed-mode rupture is comparatively lower than on the SS2205 side. This could indicate martensitic hardening, which leads to brittle fracture. SA516 is prone to the formation of hard martensitic structures in the heat-affected zone, which can embrittle the metal, decrease its toughness and promote mixed brittle-ductile fracture. This statement is in good agreement with [15]. The fractography of the weld region is shown in Figure 4(b). It shows a mix of planar areas and dimples, i.e. a more complex fracture surface. The surface is rough and irregular, demonstrating a combination of ductile tearing and brittle crack propagation. In the fusion zone, the use of filler material can lead to phase changes and a gradient of mechanical properties, depending on the characteristics of the weld pool solidification. The presence of both ductile and brittle regions suggests that there may be localized hardening (e.g. intermetallic or martensitic phase formation) alongside more ductile areas. The transition between austenite and ferrite phases in the SS2205 could also contribute to this mixed fracture behavior. Welds between dissimilar metals often exhibit complex microstructures, with variations in fracture and hardness behavior due to phase transformations and thermal cycling. The use of suitable filler materials is critical for controlling the toughness of the weld zone [16]. Brittle cracks may be induced by the high hardness of some phases, while the existence of softer, more ductile phases allows for microvoid coalescence. The fractograph of HAZ-2 is shown in Figure 4(c). From the figure it can be concluded that the image shows a ductile fracture mode, as indicated by the presence of numerous dimples. These dimples form due to microvoid coalescence, typical of ductile fracture in metals. The microvoids originate from inclusions or second-phase particles being pulled out during the fracture process. </w:t>
      </w:r>
      <w:r>
        <w:rPr>
          <w:rFonts w:ascii="Times New Roman" w:hAnsi="Times New Roman"/>
          <w:sz w:val="24"/>
          <w:szCs w:val="24"/>
          <w:highlight w:val="yellow"/>
        </w:rPr>
        <w:t xml:space="preserve">Since this region is from HAZ-2 (SS2205 duplex side)</w:t>
      </w:r>
      <w:r>
        <w:rPr>
          <w:rFonts w:ascii="Times New Roman" w:hAnsi="Times New Roman"/>
          <w:sz w:val="24"/>
          <w:szCs w:val="24"/>
        </w:rPr>
        <w:t xml:space="preserve">, it likely underwent phase transformations during welding, including the possible formation of sigma phases or chromium-carbide precipitation at grain boundaries. However, the ductile nature observed here suggests that the phase transformations were minimal and that the austenitic phase in SS2205 provided ductility. The presence of such dimples indicates good energy absorption during impact testing, characteristic of ductile behavior. Duplex stainless steels such as SS2205 typically display a balanced combination of ferritic and austenitic phases, contributing to excellent toughness and strength, which is reflected in the dimpled fracture morphology. This is in good agreement with [3].</w:t>
      </w:r>
    </w:p>
    <w:p>
      <w:pPr>
        <w:spacing w:before="0" w:after="40" w:line="276" w:lineRule="auto"/>
        <w:jc w:val="center"/>
      </w:pPr>
      <w:r>
        <w:rPr>
          <w:rFonts w:ascii="Times New Roman" w:hAnsi="Times New Roman"/>
          <w:i/>
          <w:sz w:val="20"/>
          <w:szCs w:val="20"/>
        </w:rPr>
        <w:t xml:space="preserve">Figure 4. (a) Fractograph of HAZ-1, (b) weld region SA516 + 2205, (c) HAZ-2.</w:t>
      </w:r>
    </w:p>
    <w:p>
      <w:pPr>
        <w:spacing w:before="160" w:after="80" w:line="276" w:lineRule="auto"/>
        <w:jc w:val="left"/>
      </w:pPr>
      <w:r>
        <w:rPr>
          <w:rFonts w:ascii="Times New Roman" w:hAnsi="Times New Roman"/>
          <w:b/>
          <w:sz w:val="25"/>
          <w:szCs w:val="25"/>
        </w:rPr>
        <w:t xml:space="preserve">3.2.2 Microhardness Analysis</w:t>
      </w:r>
    </w:p>
    <w:p>
      <w:pPr>
        <w:spacing w:before="0" w:after="120" w:line="276" w:lineRule="auto"/>
        <w:jc w:val="both"/>
      </w:pPr>
      <w:r>
        <w:rPr>
          <w:rFonts w:ascii="Times New Roman" w:hAnsi="Times New Roman"/>
          <w:sz w:val="24"/>
          <w:szCs w:val="24"/>
        </w:rPr>
        <w:t xml:space="preserve">The microhardness of dissimilar welds between SA516 and SS2205 is a critical factor that influences the mechanical integrity and service performance of welded structures. Factors such as carbon migration, phase transformations and heat input during welding significantly affect the hardness distribution, especially in the HAZ of the carbon steel. The use of 309L filler material and the GMAW technique helps to control hardness gradients, mitigate excessive hardness and improve joint toughness. The microhardness profile across the weld joint indicated higher microhardness values in the HAZ compared to the weld zone and base metals, attributed to phase transformations under the weld thermal cycle. Hardness tests also indicate significant variations across the weld, with higher values observed towards the stainless-steel side due to the presence of harder phases [17]. SA516 is a carbon steel with relatively low hardness compared to SS2205 and is widely used for boilers and pressure vessels due to its good toughness and weldability. The microhardness of SA516 is influenced by its carbon content and ferrite-pearlite structure, which can increase hardness in the HAZ near the weld if carbon relocation occurs during welding [18]. SS2205 is a duplex stainless steel containing a mixture of ferrite and austenite. It provides higher mechanical strength and hardness compared to carbon steel due to its higher alloying content (Cr, Ni and Mo) and dual-phase structure. During welding, the hardness distribution in SS2205 is affected by the formation of ferrite and austenite phases in the HAZ and fusion zone, as well as the potential formation of detrimental phases such as carbide and sigma phases at higher temperatures [3].</w:t>
      </w:r>
    </w:p>
    <w:p>
      <w:pPr>
        <w:spacing w:before="0" w:after="120" w:line="276" w:lineRule="auto"/>
        <w:jc w:val="both"/>
      </w:pPr>
      <w:r>
        <w:rPr>
          <w:rFonts w:ascii="Times New Roman" w:hAnsi="Times New Roman"/>
          <w:sz w:val="24"/>
          <w:szCs w:val="24"/>
          <w:highlight w:val="yellow"/>
        </w:rPr>
        <w:t xml:space="preserve">The hardness increases from the SA516 base metal (254 HV) toward the weld. On the carbon-steel side, HAZ-1 rises to 345 HV owing to the formation of hard bainitic/martensitic constituents during the weld thermal cycle. The SS2205 duplex base metal (approximately 290 HV) is intrinsically harder than the SA516 base metal. The overall peak occurs in HAZ-2 on the duplex side at 372 HV, which exceeds both HAZ-1 (345 HV) and the SS2205 base metal, and is associated with grain refinement and the altered ferrite-austenite balance of the reheated duplex microstructure. Thus the hardness ranking is: HAZ-2 (372 HV) &gt; HAZ-1 (345 HV) &gt; fusion zone (307 HV) &gt; SS2205 base (290 HV) &gt; SA516 base (254 HV). The minimum hardness of 254 HV was noted in the SA516 base metal, and the fusion zone of the SA516+2205 weld has a hardness of 307 HV, comparable to the base-metal values of both alloys.</w:t>
      </w:r>
      <w:r>
        <w:rPr>
          <w:rFonts w:ascii="Times New Roman" w:hAnsi="Times New Roman"/>
          <w:sz w:val="24"/>
          <w:szCs w:val="24"/>
        </w:rPr>
        <w:t xml:space="preserve"> This hardness increase near the weld interface is explained by the fact that, during welding, carbon diffuses from the carbon steel toward the stainless steel, which may cause hard martensitic phases to form near the interface [11]. The microhardness of welds is directly affected by the microstructural transformations that occur during welding. For instance, in the HAZ of SA516, the high temperatures during welding can cause grain growth, martensitic transformation and carbide precipitation upon cooling, all of which contribute to increased hardness. Moreover, the SS2205 side may experience phase transformations from ferrite to sigma phase or chromium-carbide precipitation at high temperatures, resulting in embrittlement and reduced corrosion resistance [9].</w:t>
      </w:r>
    </w:p>
    <w:p>
      <w:pPr>
        <w:spacing w:before="0" w:after="40" w:line="276" w:lineRule="auto"/>
        <w:jc w:val="center"/>
      </w:pPr>
      <w:r>
        <w:rPr>
          <w:rFonts w:ascii="Times New Roman" w:hAnsi="Times New Roman"/>
          <w:i/>
          <w:sz w:val="20"/>
          <w:szCs w:val="20"/>
        </w:rPr>
        <w:t xml:space="preserve">Figure 5. Microhardness survey</w:t>
      </w:r>
    </w:p>
    <w:tbl>
      <w:tblPr>
        <w:tblW w:w="8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1050"/>
        <w:gridCol w:w="1050"/>
        <w:gridCol w:w="1050"/>
        <w:gridCol w:w="1100"/>
        <w:gridCol w:w="1200"/>
        <w:gridCol w:w="850"/>
        <w:gridCol w:w="1100"/>
      </w:tblGrid>
      <w:tr>
        <w:tc>
          <w:tcPr>
            <w:tcW w:w="960" w:type="dxa"/>
            <w:shd w:val="clear" w:color="auto" w:fill="D9D9D9"/>
            <w:vAlign w:val="center"/>
          </w:tcPr>
          <w:p>
            <w:pPr>
              <w:spacing w:after="20" w:line="240" w:lineRule="auto"/>
              <w:jc w:val="center"/>
            </w:pPr>
            <w:r>
              <w:rPr>
                <w:rFonts w:ascii="Times New Roman" w:hAnsi="Times New Roman"/>
                <w:b/>
                <w:sz w:val="15"/>
                <w:szCs w:val="15"/>
              </w:rPr>
              <w:t xml:space="preserve">S. No.</w:t>
            </w:r>
          </w:p>
        </w:tc>
        <w:tc>
          <w:tcPr>
            <w:tcW w:w="1050" w:type="dxa"/>
            <w:shd w:val="clear" w:color="auto" w:fill="D9D9D9"/>
            <w:vAlign w:val="center"/>
          </w:tcPr>
          <w:p>
            <w:pPr>
              <w:spacing w:after="20" w:line="240" w:lineRule="auto"/>
              <w:jc w:val="center"/>
            </w:pPr>
            <w:r>
              <w:rPr>
                <w:rFonts w:ascii="Times New Roman" w:hAnsi="Times New Roman"/>
                <w:b/>
                <w:sz w:val="15"/>
                <w:szCs w:val="15"/>
              </w:rPr>
              <w:t xml:space="preserve">SA516 Base</w:t>
            </w:r>
          </w:p>
        </w:tc>
        <w:tc>
          <w:tcPr>
            <w:tcW w:w="1050" w:type="dxa"/>
            <w:shd w:val="clear" w:color="auto" w:fill="D9D9D9"/>
            <w:vAlign w:val="center"/>
          </w:tcPr>
          <w:p>
            <w:pPr>
              <w:spacing w:after="20" w:line="240" w:lineRule="auto"/>
              <w:jc w:val="center"/>
            </w:pPr>
            <w:r>
              <w:rPr>
                <w:rFonts w:ascii="Times New Roman" w:hAnsi="Times New Roman"/>
                <w:b/>
                <w:sz w:val="15"/>
                <w:szCs w:val="15"/>
              </w:rPr>
              <w:t xml:space="preserve">SA516 HAZ-1</w:t>
            </w:r>
          </w:p>
        </w:tc>
        <w:tc>
          <w:tcPr>
            <w:tcW w:w="1050" w:type="dxa"/>
            <w:shd w:val="clear" w:color="auto" w:fill="D9D9D9"/>
            <w:vAlign w:val="center"/>
          </w:tcPr>
          <w:p>
            <w:pPr>
              <w:spacing w:after="20" w:line="240" w:lineRule="auto"/>
              <w:jc w:val="center"/>
            </w:pPr>
            <w:r>
              <w:rPr>
                <w:rFonts w:ascii="Times New Roman" w:hAnsi="Times New Roman"/>
                <w:b/>
                <w:sz w:val="15"/>
                <w:szCs w:val="15"/>
              </w:rPr>
              <w:t xml:space="preserve">SS2205 Base</w:t>
            </w:r>
          </w:p>
        </w:tc>
        <w:tc>
          <w:tcPr>
            <w:tcW w:w="1100" w:type="dxa"/>
            <w:shd w:val="clear" w:color="auto" w:fill="D9D9D9"/>
            <w:vAlign w:val="center"/>
          </w:tcPr>
          <w:p>
            <w:pPr>
              <w:spacing w:after="20" w:line="240" w:lineRule="auto"/>
              <w:jc w:val="center"/>
            </w:pPr>
            <w:r>
              <w:rPr>
                <w:rFonts w:ascii="Times New Roman" w:hAnsi="Times New Roman"/>
                <w:b/>
                <w:sz w:val="15"/>
                <w:szCs w:val="15"/>
              </w:rPr>
              <w:t xml:space="preserve">SS2205 HAZ-2</w:t>
            </w:r>
          </w:p>
        </w:tc>
        <w:tc>
          <w:tcPr>
            <w:tcW w:w="1200" w:type="dxa"/>
            <w:shd w:val="clear" w:color="auto" w:fill="D9D9D9"/>
            <w:vAlign w:val="center"/>
          </w:tcPr>
          <w:p>
            <w:pPr>
              <w:spacing w:after="20" w:line="240" w:lineRule="auto"/>
              <w:jc w:val="center"/>
            </w:pPr>
            <w:r>
              <w:rPr>
                <w:rFonts w:ascii="Times New Roman" w:hAnsi="Times New Roman"/>
                <w:b/>
                <w:sz w:val="15"/>
                <w:szCs w:val="15"/>
              </w:rPr>
              <w:t xml:space="preserve">Weld HAZ-1 (SA516 side)</w:t>
            </w:r>
          </w:p>
        </w:tc>
        <w:tc>
          <w:tcPr>
            <w:tcW w:w="850" w:type="dxa"/>
            <w:shd w:val="clear" w:color="auto" w:fill="D9D9D9"/>
            <w:vAlign w:val="center"/>
          </w:tcPr>
          <w:p>
            <w:pPr>
              <w:spacing w:after="20" w:line="240" w:lineRule="auto"/>
              <w:jc w:val="center"/>
            </w:pPr>
            <w:r>
              <w:rPr>
                <w:rFonts w:ascii="Times New Roman" w:hAnsi="Times New Roman"/>
                <w:b/>
                <w:sz w:val="15"/>
                <w:szCs w:val="15"/>
              </w:rPr>
              <w:t xml:space="preserve">Weld FZ</w:t>
            </w:r>
          </w:p>
        </w:tc>
        <w:tc>
          <w:tcPr>
            <w:tcW w:w="1100" w:type="dxa"/>
            <w:shd w:val="clear" w:color="auto" w:fill="D9D9D9"/>
            <w:vAlign w:val="center"/>
          </w:tcPr>
          <w:p>
            <w:pPr>
              <w:spacing w:after="20" w:line="240" w:lineRule="auto"/>
              <w:jc w:val="center"/>
            </w:pPr>
            <w:r>
              <w:rPr>
                <w:rFonts w:ascii="Times New Roman" w:hAnsi="Times New Roman"/>
                <w:b/>
                <w:sz w:val="15"/>
                <w:szCs w:val="15"/>
              </w:rPr>
              <w:t xml:space="preserve">Weld HAZ-2 (SS2205 side)</w:t>
            </w:r>
          </w:p>
        </w:tc>
      </w:tr>
      <w:tr>
        <w:tc>
          <w:tcPr>
            <w:tcW w:w="960" w:type="dxa"/>
            <w:vAlign w:val="center"/>
          </w:tcPr>
          <w:p>
            <w:pPr>
              <w:spacing w:after="20" w:line="240" w:lineRule="auto"/>
              <w:jc w:val="center"/>
            </w:pPr>
            <w:r>
              <w:rPr>
                <w:rFonts w:ascii="Times New Roman" w:hAnsi="Times New Roman"/>
                <w:sz w:val="15"/>
                <w:szCs w:val="15"/>
              </w:rPr>
              <w:t xml:space="preserve">1</w:t>
            </w:r>
          </w:p>
        </w:tc>
        <w:tc>
          <w:tcPr>
            <w:tcW w:w="1050" w:type="dxa"/>
            <w:vAlign w:val="center"/>
          </w:tcPr>
          <w:p>
            <w:pPr>
              <w:spacing w:after="20" w:line="240" w:lineRule="auto"/>
              <w:jc w:val="center"/>
            </w:pPr>
            <w:r>
              <w:rPr>
                <w:rFonts w:ascii="Times New Roman" w:hAnsi="Times New Roman"/>
                <w:sz w:val="15"/>
                <w:szCs w:val="15"/>
              </w:rPr>
              <w:t xml:space="preserve">255</w:t>
            </w:r>
          </w:p>
        </w:tc>
        <w:tc>
          <w:tcPr>
            <w:tcW w:w="1050" w:type="dxa"/>
            <w:vAlign w:val="center"/>
          </w:tcPr>
          <w:p>
            <w:pPr>
              <w:spacing w:after="20" w:line="240" w:lineRule="auto"/>
              <w:jc w:val="center"/>
            </w:pPr>
            <w:r>
              <w:rPr>
                <w:rFonts w:ascii="Times New Roman" w:hAnsi="Times New Roman"/>
                <w:sz w:val="15"/>
                <w:szCs w:val="15"/>
              </w:rPr>
              <w:t xml:space="preserve">342</w:t>
            </w:r>
          </w:p>
        </w:tc>
        <w:tc>
          <w:tcPr>
            <w:tcW w:w="1050" w:type="dxa"/>
            <w:vAlign w:val="center"/>
          </w:tcPr>
          <w:p>
            <w:pPr>
              <w:spacing w:after="20" w:line="240" w:lineRule="auto"/>
              <w:jc w:val="center"/>
            </w:pPr>
            <w:r>
              <w:rPr>
                <w:rFonts w:ascii="Times New Roman" w:hAnsi="Times New Roman"/>
                <w:sz w:val="15"/>
                <w:szCs w:val="15"/>
              </w:rPr>
              <w:t xml:space="preserve">291</w:t>
            </w:r>
          </w:p>
        </w:tc>
        <w:tc>
          <w:tcPr>
            <w:tcW w:w="1100" w:type="dxa"/>
            <w:vAlign w:val="center"/>
          </w:tcPr>
          <w:p>
            <w:pPr>
              <w:spacing w:after="20" w:line="240" w:lineRule="auto"/>
              <w:jc w:val="center"/>
            </w:pPr>
            <w:r>
              <w:rPr>
                <w:rFonts w:ascii="Times New Roman" w:hAnsi="Times New Roman"/>
                <w:sz w:val="15"/>
                <w:szCs w:val="15"/>
              </w:rPr>
              <w:t xml:space="preserve">319</w:t>
            </w:r>
          </w:p>
        </w:tc>
        <w:tc>
          <w:tcPr>
            <w:tcW w:w="1200" w:type="dxa"/>
            <w:vAlign w:val="center"/>
          </w:tcPr>
          <w:p>
            <w:pPr>
              <w:spacing w:after="20" w:line="240" w:lineRule="auto"/>
              <w:jc w:val="center"/>
            </w:pPr>
            <w:r>
              <w:rPr>
                <w:rFonts w:ascii="Times New Roman" w:hAnsi="Times New Roman"/>
                <w:sz w:val="15"/>
                <w:szCs w:val="15"/>
              </w:rPr>
              <w:t xml:space="preserve">307</w:t>
            </w:r>
          </w:p>
        </w:tc>
        <w:tc>
          <w:tcPr>
            <w:tcW w:w="850" w:type="dxa"/>
            <w:vAlign w:val="center"/>
          </w:tcPr>
          <w:p>
            <w:pPr>
              <w:spacing w:after="20" w:line="240" w:lineRule="auto"/>
              <w:jc w:val="center"/>
            </w:pPr>
            <w:r>
              <w:rPr>
                <w:rFonts w:ascii="Times New Roman" w:hAnsi="Times New Roman"/>
                <w:sz w:val="15"/>
                <w:szCs w:val="15"/>
              </w:rPr>
              <w:t xml:space="preserve">305</w:t>
            </w:r>
          </w:p>
        </w:tc>
        <w:tc>
          <w:tcPr>
            <w:tcW w:w="1100" w:type="dxa"/>
            <w:vAlign w:val="center"/>
          </w:tcPr>
          <w:p>
            <w:pPr>
              <w:spacing w:after="20" w:line="240" w:lineRule="auto"/>
              <w:jc w:val="center"/>
            </w:pPr>
            <w:r>
              <w:rPr>
                <w:rFonts w:ascii="Times New Roman" w:hAnsi="Times New Roman"/>
                <w:sz w:val="15"/>
                <w:szCs w:val="15"/>
              </w:rPr>
              <w:t xml:space="preserve">372</w:t>
            </w:r>
          </w:p>
        </w:tc>
      </w:tr>
      <w:tr>
        <w:tc>
          <w:tcPr>
            <w:tcW w:w="960" w:type="dxa"/>
            <w:vAlign w:val="center"/>
          </w:tcPr>
          <w:p>
            <w:pPr>
              <w:spacing w:after="20" w:line="240" w:lineRule="auto"/>
              <w:jc w:val="center"/>
            </w:pPr>
            <w:r>
              <w:rPr>
                <w:rFonts w:ascii="Times New Roman" w:hAnsi="Times New Roman"/>
                <w:sz w:val="15"/>
                <w:szCs w:val="15"/>
              </w:rPr>
              <w:t xml:space="preserve">2</w:t>
            </w:r>
          </w:p>
        </w:tc>
        <w:tc>
          <w:tcPr>
            <w:tcW w:w="1050" w:type="dxa"/>
            <w:vAlign w:val="center"/>
          </w:tcPr>
          <w:p>
            <w:pPr>
              <w:spacing w:after="20" w:line="240" w:lineRule="auto"/>
              <w:jc w:val="center"/>
            </w:pPr>
            <w:r>
              <w:rPr>
                <w:rFonts w:ascii="Times New Roman" w:hAnsi="Times New Roman"/>
                <w:sz w:val="15"/>
                <w:szCs w:val="15"/>
              </w:rPr>
              <w:t xml:space="preserve">251</w:t>
            </w:r>
          </w:p>
        </w:tc>
        <w:tc>
          <w:tcPr>
            <w:tcW w:w="1050" w:type="dxa"/>
            <w:vAlign w:val="center"/>
          </w:tcPr>
          <w:p>
            <w:pPr>
              <w:spacing w:after="20" w:line="240" w:lineRule="auto"/>
              <w:jc w:val="center"/>
            </w:pPr>
            <w:r>
              <w:rPr>
                <w:rFonts w:ascii="Times New Roman" w:hAnsi="Times New Roman"/>
                <w:sz w:val="15"/>
                <w:szCs w:val="15"/>
              </w:rPr>
              <w:t xml:space="preserve">346</w:t>
            </w:r>
          </w:p>
        </w:tc>
        <w:tc>
          <w:tcPr>
            <w:tcW w:w="1050" w:type="dxa"/>
            <w:vAlign w:val="center"/>
          </w:tcPr>
          <w:p>
            <w:pPr>
              <w:spacing w:after="20" w:line="240" w:lineRule="auto"/>
              <w:jc w:val="center"/>
            </w:pPr>
            <w:r>
              <w:rPr>
                <w:rFonts w:ascii="Times New Roman" w:hAnsi="Times New Roman"/>
                <w:sz w:val="15"/>
                <w:szCs w:val="15"/>
              </w:rPr>
              <w:t xml:space="preserve">288</w:t>
            </w:r>
          </w:p>
        </w:tc>
        <w:tc>
          <w:tcPr>
            <w:tcW w:w="1100" w:type="dxa"/>
            <w:vAlign w:val="center"/>
          </w:tcPr>
          <w:p>
            <w:pPr>
              <w:spacing w:after="20" w:line="240" w:lineRule="auto"/>
              <w:jc w:val="center"/>
            </w:pPr>
            <w:r>
              <w:rPr>
                <w:rFonts w:ascii="Times New Roman" w:hAnsi="Times New Roman"/>
                <w:sz w:val="15"/>
                <w:szCs w:val="15"/>
              </w:rPr>
              <w:t xml:space="preserve">283</w:t>
            </w:r>
          </w:p>
        </w:tc>
        <w:tc>
          <w:tcPr>
            <w:tcW w:w="1200" w:type="dxa"/>
            <w:vAlign w:val="center"/>
          </w:tcPr>
          <w:p>
            <w:pPr>
              <w:spacing w:after="20" w:line="240" w:lineRule="auto"/>
              <w:jc w:val="center"/>
            </w:pPr>
            <w:r>
              <w:rPr>
                <w:rFonts w:ascii="Times New Roman" w:hAnsi="Times New Roman"/>
                <w:sz w:val="15"/>
                <w:szCs w:val="15"/>
              </w:rPr>
              <w:t xml:space="preserve">308</w:t>
            </w:r>
          </w:p>
        </w:tc>
        <w:tc>
          <w:tcPr>
            <w:tcW w:w="850" w:type="dxa"/>
            <w:vAlign w:val="center"/>
          </w:tcPr>
          <w:p>
            <w:pPr>
              <w:spacing w:after="20" w:line="240" w:lineRule="auto"/>
              <w:jc w:val="center"/>
            </w:pPr>
            <w:r>
              <w:rPr>
                <w:rFonts w:ascii="Times New Roman" w:hAnsi="Times New Roman"/>
                <w:sz w:val="15"/>
                <w:szCs w:val="15"/>
              </w:rPr>
              <w:t xml:space="preserve">308</w:t>
            </w:r>
          </w:p>
        </w:tc>
        <w:tc>
          <w:tcPr>
            <w:tcW w:w="1100" w:type="dxa"/>
            <w:vAlign w:val="center"/>
          </w:tcPr>
          <w:p>
            <w:pPr>
              <w:spacing w:after="20" w:line="240" w:lineRule="auto"/>
              <w:jc w:val="center"/>
            </w:pPr>
            <w:r>
              <w:rPr>
                <w:rFonts w:ascii="Times New Roman" w:hAnsi="Times New Roman"/>
                <w:sz w:val="15"/>
                <w:szCs w:val="15"/>
              </w:rPr>
              <w:t xml:space="preserve">373</w:t>
            </w:r>
          </w:p>
        </w:tc>
      </w:tr>
      <w:tr>
        <w:tc>
          <w:tcPr>
            <w:tcW w:w="960" w:type="dxa"/>
            <w:vAlign w:val="center"/>
          </w:tcPr>
          <w:p>
            <w:pPr>
              <w:spacing w:after="20" w:line="240" w:lineRule="auto"/>
              <w:jc w:val="center"/>
            </w:pPr>
            <w:r>
              <w:rPr>
                <w:rFonts w:ascii="Times New Roman" w:hAnsi="Times New Roman"/>
                <w:sz w:val="15"/>
                <w:szCs w:val="15"/>
              </w:rPr>
              <w:t xml:space="preserve">3</w:t>
            </w:r>
          </w:p>
        </w:tc>
        <w:tc>
          <w:tcPr>
            <w:tcW w:w="1050" w:type="dxa"/>
            <w:vAlign w:val="center"/>
          </w:tcPr>
          <w:p>
            <w:pPr>
              <w:spacing w:after="20" w:line="240" w:lineRule="auto"/>
              <w:jc w:val="center"/>
            </w:pPr>
            <w:r>
              <w:rPr>
                <w:rFonts w:ascii="Times New Roman" w:hAnsi="Times New Roman"/>
                <w:sz w:val="15"/>
                <w:szCs w:val="15"/>
              </w:rPr>
              <w:t xml:space="preserve">257</w:t>
            </w:r>
          </w:p>
        </w:tc>
        <w:tc>
          <w:tcPr>
            <w:tcW w:w="1050" w:type="dxa"/>
            <w:vAlign w:val="center"/>
          </w:tcPr>
          <w:p>
            <w:pPr>
              <w:spacing w:after="20" w:line="240" w:lineRule="auto"/>
              <w:jc w:val="center"/>
            </w:pPr>
            <w:r>
              <w:rPr>
                <w:rFonts w:ascii="Times New Roman" w:hAnsi="Times New Roman"/>
                <w:sz w:val="15"/>
                <w:szCs w:val="15"/>
              </w:rPr>
              <w:t xml:space="preserve">347</w:t>
            </w:r>
          </w:p>
        </w:tc>
        <w:tc>
          <w:tcPr>
            <w:tcW w:w="1050" w:type="dxa"/>
            <w:vAlign w:val="center"/>
          </w:tcPr>
          <w:p>
            <w:pPr>
              <w:spacing w:after="20" w:line="240" w:lineRule="auto"/>
              <w:jc w:val="center"/>
            </w:pPr>
            <w:r>
              <w:rPr>
                <w:rFonts w:ascii="Times New Roman" w:hAnsi="Times New Roman"/>
                <w:sz w:val="15"/>
                <w:szCs w:val="15"/>
              </w:rPr>
              <w:t xml:space="preserve">285</w:t>
            </w:r>
          </w:p>
        </w:tc>
        <w:tc>
          <w:tcPr>
            <w:tcW w:w="1100" w:type="dxa"/>
            <w:vAlign w:val="center"/>
          </w:tcPr>
          <w:p>
            <w:pPr>
              <w:spacing w:after="20" w:line="240" w:lineRule="auto"/>
              <w:jc w:val="center"/>
            </w:pPr>
            <w:r>
              <w:rPr>
                <w:rFonts w:ascii="Times New Roman" w:hAnsi="Times New Roman"/>
                <w:sz w:val="15"/>
                <w:szCs w:val="15"/>
              </w:rPr>
              <w:t xml:space="preserve">292</w:t>
            </w:r>
          </w:p>
        </w:tc>
        <w:tc>
          <w:tcPr>
            <w:tcW w:w="1200" w:type="dxa"/>
            <w:vAlign w:val="center"/>
          </w:tcPr>
          <w:p>
            <w:pPr>
              <w:spacing w:after="20" w:line="240" w:lineRule="auto"/>
              <w:jc w:val="center"/>
            </w:pPr>
            <w:r>
              <w:rPr>
                <w:rFonts w:ascii="Times New Roman" w:hAnsi="Times New Roman"/>
                <w:sz w:val="15"/>
                <w:szCs w:val="15"/>
              </w:rPr>
              <w:t xml:space="preserve">309</w:t>
            </w:r>
          </w:p>
        </w:tc>
        <w:tc>
          <w:tcPr>
            <w:tcW w:w="850" w:type="dxa"/>
            <w:vAlign w:val="center"/>
          </w:tcPr>
          <w:p>
            <w:pPr>
              <w:spacing w:after="20" w:line="240" w:lineRule="auto"/>
              <w:jc w:val="center"/>
            </w:pPr>
            <w:r>
              <w:rPr>
                <w:rFonts w:ascii="Times New Roman" w:hAnsi="Times New Roman"/>
                <w:sz w:val="15"/>
                <w:szCs w:val="15"/>
              </w:rPr>
              <w:t xml:space="preserve">306</w:t>
            </w:r>
          </w:p>
        </w:tc>
        <w:tc>
          <w:tcPr>
            <w:tcW w:w="1100" w:type="dxa"/>
            <w:vAlign w:val="center"/>
          </w:tcPr>
          <w:p>
            <w:pPr>
              <w:spacing w:after="20" w:line="240" w:lineRule="auto"/>
              <w:jc w:val="center"/>
            </w:pPr>
            <w:r>
              <w:rPr>
                <w:rFonts w:ascii="Times New Roman" w:hAnsi="Times New Roman"/>
                <w:sz w:val="15"/>
                <w:szCs w:val="15"/>
              </w:rPr>
              <w:t xml:space="preserve">375</w:t>
            </w:r>
          </w:p>
        </w:tc>
      </w:tr>
      <w:tr>
        <w:tc>
          <w:tcPr>
            <w:tcW w:w="960" w:type="dxa"/>
            <w:vAlign w:val="center"/>
          </w:tcPr>
          <w:p>
            <w:pPr>
              <w:spacing w:after="20" w:line="240" w:lineRule="auto"/>
              <w:jc w:val="center"/>
            </w:pPr>
            <w:r>
              <w:rPr>
                <w:rFonts w:ascii="Times New Roman" w:hAnsi="Times New Roman"/>
                <w:sz w:val="15"/>
                <w:szCs w:val="15"/>
              </w:rPr>
              <w:t xml:space="preserve">4</w:t>
            </w:r>
          </w:p>
        </w:tc>
        <w:tc>
          <w:tcPr>
            <w:tcW w:w="1050" w:type="dxa"/>
            <w:vAlign w:val="center"/>
          </w:tcPr>
          <w:p>
            <w:pPr>
              <w:spacing w:after="20" w:line="240" w:lineRule="auto"/>
              <w:jc w:val="center"/>
            </w:pPr>
            <w:r>
              <w:rPr>
                <w:rFonts w:ascii="Times New Roman" w:hAnsi="Times New Roman"/>
                <w:sz w:val="15"/>
                <w:szCs w:val="15"/>
              </w:rPr>
              <w:t xml:space="preserve">251</w:t>
            </w:r>
          </w:p>
        </w:tc>
        <w:tc>
          <w:tcPr>
            <w:tcW w:w="1050" w:type="dxa"/>
            <w:vAlign w:val="center"/>
          </w:tcPr>
          <w:p>
            <w:pPr>
              <w:spacing w:after="20" w:line="240" w:lineRule="auto"/>
              <w:jc w:val="center"/>
            </w:pPr>
            <w:r>
              <w:rPr>
                <w:rFonts w:ascii="Times New Roman" w:hAnsi="Times New Roman"/>
                <w:sz w:val="15"/>
                <w:szCs w:val="15"/>
              </w:rPr>
              <w:t xml:space="preserve">344</w:t>
            </w:r>
          </w:p>
        </w:tc>
        <w:tc>
          <w:tcPr>
            <w:tcW w:w="1050" w:type="dxa"/>
            <w:vAlign w:val="center"/>
          </w:tcPr>
          <w:p>
            <w:pPr>
              <w:spacing w:after="20" w:line="240" w:lineRule="auto"/>
              <w:jc w:val="center"/>
            </w:pPr>
            <w:r>
              <w:rPr>
                <w:rFonts w:ascii="Times New Roman" w:hAnsi="Times New Roman"/>
                <w:sz w:val="15"/>
                <w:szCs w:val="15"/>
              </w:rPr>
              <w:t xml:space="preserve">295</w:t>
            </w:r>
          </w:p>
        </w:tc>
        <w:tc>
          <w:tcPr>
            <w:tcW w:w="1100" w:type="dxa"/>
            <w:vAlign w:val="center"/>
          </w:tcPr>
          <w:p>
            <w:pPr>
              <w:spacing w:after="20" w:line="240" w:lineRule="auto"/>
              <w:jc w:val="center"/>
            </w:pPr>
            <w:r>
              <w:rPr>
                <w:rFonts w:ascii="Times New Roman" w:hAnsi="Times New Roman"/>
                <w:sz w:val="15"/>
                <w:szCs w:val="15"/>
              </w:rPr>
              <w:t xml:space="preserve">285</w:t>
            </w:r>
          </w:p>
        </w:tc>
        <w:tc>
          <w:tcPr>
            <w:tcW w:w="1200" w:type="dxa"/>
            <w:vAlign w:val="center"/>
          </w:tcPr>
          <w:p>
            <w:pPr>
              <w:spacing w:after="20" w:line="240" w:lineRule="auto"/>
              <w:jc w:val="center"/>
            </w:pPr>
            <w:r>
              <w:rPr>
                <w:rFonts w:ascii="Times New Roman" w:hAnsi="Times New Roman"/>
                <w:sz w:val="15"/>
                <w:szCs w:val="15"/>
              </w:rPr>
              <w:t xml:space="preserve">303</w:t>
            </w:r>
          </w:p>
        </w:tc>
        <w:tc>
          <w:tcPr>
            <w:tcW w:w="850" w:type="dxa"/>
            <w:vAlign w:val="center"/>
          </w:tcPr>
          <w:p>
            <w:pPr>
              <w:spacing w:after="20" w:line="240" w:lineRule="auto"/>
              <w:jc w:val="center"/>
            </w:pPr>
            <w:r>
              <w:rPr>
                <w:rFonts w:ascii="Times New Roman" w:hAnsi="Times New Roman"/>
                <w:sz w:val="15"/>
                <w:szCs w:val="15"/>
              </w:rPr>
              <w:t xml:space="preserve">307</w:t>
            </w:r>
          </w:p>
        </w:tc>
        <w:tc>
          <w:tcPr>
            <w:tcW w:w="1100" w:type="dxa"/>
            <w:vAlign w:val="center"/>
          </w:tcPr>
          <w:p>
            <w:pPr>
              <w:spacing w:after="20" w:line="240" w:lineRule="auto"/>
              <w:jc w:val="center"/>
            </w:pPr>
            <w:r>
              <w:rPr>
                <w:rFonts w:ascii="Times New Roman" w:hAnsi="Times New Roman"/>
                <w:sz w:val="15"/>
                <w:szCs w:val="15"/>
              </w:rPr>
              <w:t xml:space="preserve">371</w:t>
            </w:r>
          </w:p>
        </w:tc>
      </w:tr>
      <w:tr>
        <w:tc>
          <w:tcPr>
            <w:tcW w:w="960" w:type="dxa"/>
            <w:vAlign w:val="center"/>
          </w:tcPr>
          <w:p>
            <w:pPr>
              <w:spacing w:after="20" w:line="240" w:lineRule="auto"/>
              <w:jc w:val="center"/>
            </w:pPr>
            <w:r>
              <w:rPr>
                <w:rFonts w:ascii="Times New Roman" w:hAnsi="Times New Roman"/>
                <w:sz w:val="15"/>
                <w:szCs w:val="15"/>
              </w:rPr>
              <w:t xml:space="preserve">5</w:t>
            </w:r>
          </w:p>
        </w:tc>
        <w:tc>
          <w:tcPr>
            <w:tcW w:w="1050" w:type="dxa"/>
            <w:vAlign w:val="center"/>
          </w:tcPr>
          <w:p>
            <w:pPr>
              <w:spacing w:after="20" w:line="240" w:lineRule="auto"/>
              <w:jc w:val="center"/>
            </w:pPr>
            <w:r>
              <w:rPr>
                <w:rFonts w:ascii="Times New Roman" w:hAnsi="Times New Roman"/>
                <w:sz w:val="15"/>
                <w:szCs w:val="15"/>
              </w:rPr>
              <w:t xml:space="preserve">258</w:t>
            </w:r>
          </w:p>
        </w:tc>
        <w:tc>
          <w:tcPr>
            <w:tcW w:w="1050" w:type="dxa"/>
            <w:vAlign w:val="center"/>
          </w:tcPr>
          <w:p>
            <w:pPr>
              <w:spacing w:after="20" w:line="240" w:lineRule="auto"/>
              <w:jc w:val="center"/>
            </w:pPr>
            <w:r>
              <w:rPr>
                <w:rFonts w:ascii="Times New Roman" w:hAnsi="Times New Roman"/>
                <w:sz w:val="15"/>
                <w:szCs w:val="15"/>
              </w:rPr>
              <w:t xml:space="preserve">346</w:t>
            </w:r>
          </w:p>
        </w:tc>
        <w:tc>
          <w:tcPr>
            <w:tcW w:w="1050" w:type="dxa"/>
            <w:vAlign w:val="center"/>
          </w:tcPr>
          <w:p>
            <w:pPr>
              <w:spacing w:after="20" w:line="240" w:lineRule="auto"/>
              <w:jc w:val="center"/>
            </w:pPr>
            <w:r>
              <w:rPr>
                <w:rFonts w:ascii="Times New Roman" w:hAnsi="Times New Roman"/>
                <w:sz w:val="15"/>
                <w:szCs w:val="15"/>
              </w:rPr>
              <w:t xml:space="preserve">293</w:t>
            </w:r>
          </w:p>
        </w:tc>
        <w:tc>
          <w:tcPr>
            <w:tcW w:w="1100" w:type="dxa"/>
            <w:vAlign w:val="center"/>
          </w:tcPr>
          <w:p>
            <w:pPr>
              <w:spacing w:after="20" w:line="240" w:lineRule="auto"/>
              <w:jc w:val="center"/>
            </w:pPr>
            <w:r>
              <w:rPr>
                <w:rFonts w:ascii="Times New Roman" w:hAnsi="Times New Roman"/>
                <w:sz w:val="15"/>
                <w:szCs w:val="15"/>
              </w:rPr>
              <w:t xml:space="preserve">305</w:t>
            </w:r>
          </w:p>
        </w:tc>
        <w:tc>
          <w:tcPr>
            <w:tcW w:w="1200" w:type="dxa"/>
            <w:vAlign w:val="center"/>
          </w:tcPr>
          <w:p>
            <w:pPr>
              <w:spacing w:after="20" w:line="240" w:lineRule="auto"/>
              <w:jc w:val="center"/>
            </w:pPr>
            <w:r>
              <w:rPr>
                <w:rFonts w:ascii="Times New Roman" w:hAnsi="Times New Roman"/>
                <w:sz w:val="15"/>
                <w:szCs w:val="15"/>
              </w:rPr>
              <w:t xml:space="preserve">305</w:t>
            </w:r>
          </w:p>
        </w:tc>
        <w:tc>
          <w:tcPr>
            <w:tcW w:w="850" w:type="dxa"/>
            <w:vAlign w:val="center"/>
          </w:tcPr>
          <w:p>
            <w:pPr>
              <w:spacing w:after="20" w:line="240" w:lineRule="auto"/>
              <w:jc w:val="center"/>
            </w:pPr>
            <w:r>
              <w:rPr>
                <w:rFonts w:ascii="Times New Roman" w:hAnsi="Times New Roman"/>
                <w:sz w:val="15"/>
                <w:szCs w:val="15"/>
              </w:rPr>
              <w:t xml:space="preserve">311</w:t>
            </w:r>
          </w:p>
        </w:tc>
        <w:tc>
          <w:tcPr>
            <w:tcW w:w="1100" w:type="dxa"/>
            <w:vAlign w:val="center"/>
          </w:tcPr>
          <w:p>
            <w:pPr>
              <w:spacing w:after="20" w:line="240" w:lineRule="auto"/>
              <w:jc w:val="center"/>
            </w:pPr>
            <w:r>
              <w:rPr>
                <w:rFonts w:ascii="Times New Roman" w:hAnsi="Times New Roman"/>
                <w:sz w:val="15"/>
                <w:szCs w:val="15"/>
              </w:rPr>
              <w:t xml:space="preserve">370</w:t>
            </w:r>
          </w:p>
        </w:tc>
      </w:tr>
      <w:tr>
        <w:tc>
          <w:tcPr>
            <w:tcW w:w="960" w:type="dxa"/>
            <w:vAlign w:val="center"/>
          </w:tcPr>
          <w:p>
            <w:pPr>
              <w:spacing w:after="20" w:line="240" w:lineRule="auto"/>
              <w:jc w:val="center"/>
            </w:pPr>
            <w:r>
              <w:rPr>
                <w:rFonts w:ascii="Times New Roman" w:hAnsi="Times New Roman"/>
                <w:sz w:val="15"/>
                <w:szCs w:val="15"/>
              </w:rPr>
              <w:t xml:space="preserve">Average</w:t>
            </w:r>
          </w:p>
        </w:tc>
        <w:tc>
          <w:tcPr>
            <w:tcW w:w="1050" w:type="dxa"/>
            <w:vAlign w:val="center"/>
          </w:tcPr>
          <w:p>
            <w:pPr>
              <w:spacing w:after="20" w:line="240" w:lineRule="auto"/>
              <w:jc w:val="center"/>
            </w:pPr>
            <w:r>
              <w:rPr>
                <w:rFonts w:ascii="Times New Roman" w:hAnsi="Times New Roman"/>
                <w:sz w:val="15"/>
                <w:szCs w:val="15"/>
              </w:rPr>
              <w:t xml:space="preserve">254</w:t>
            </w:r>
          </w:p>
        </w:tc>
        <w:tc>
          <w:tcPr>
            <w:tcW w:w="1050" w:type="dxa"/>
            <w:vAlign w:val="center"/>
          </w:tcPr>
          <w:p>
            <w:pPr>
              <w:spacing w:after="20" w:line="240" w:lineRule="auto"/>
              <w:jc w:val="center"/>
            </w:pPr>
            <w:r>
              <w:rPr>
                <w:rFonts w:ascii="Times New Roman" w:hAnsi="Times New Roman"/>
                <w:sz w:val="15"/>
                <w:szCs w:val="15"/>
              </w:rPr>
              <w:t xml:space="preserve">345</w:t>
            </w:r>
          </w:p>
        </w:tc>
        <w:tc>
          <w:tcPr>
            <w:tcW w:w="1050" w:type="dxa"/>
            <w:vAlign w:val="center"/>
          </w:tcPr>
          <w:p>
            <w:pPr>
              <w:spacing w:after="20" w:line="240" w:lineRule="auto"/>
              <w:jc w:val="center"/>
            </w:pPr>
            <w:r>
              <w:rPr>
                <w:rFonts w:ascii="Times New Roman" w:hAnsi="Times New Roman"/>
                <w:sz w:val="15"/>
                <w:szCs w:val="15"/>
              </w:rPr>
              <w:t xml:space="preserve">290</w:t>
            </w:r>
          </w:p>
        </w:tc>
        <w:tc>
          <w:tcPr>
            <w:tcW w:w="1100" w:type="dxa"/>
            <w:vAlign w:val="center"/>
          </w:tcPr>
          <w:p>
            <w:pPr>
              <w:spacing w:after="20" w:line="240" w:lineRule="auto"/>
              <w:jc w:val="center"/>
            </w:pPr>
            <w:r>
              <w:rPr>
                <w:rFonts w:ascii="Times New Roman" w:hAnsi="Times New Roman"/>
                <w:sz w:val="15"/>
                <w:szCs w:val="15"/>
              </w:rPr>
              <w:t xml:space="preserve">297</w:t>
            </w:r>
          </w:p>
        </w:tc>
        <w:tc>
          <w:tcPr>
            <w:tcW w:w="1200" w:type="dxa"/>
            <w:vAlign w:val="center"/>
          </w:tcPr>
          <w:p>
            <w:pPr>
              <w:spacing w:after="20" w:line="240" w:lineRule="auto"/>
              <w:jc w:val="center"/>
            </w:pPr>
            <w:r>
              <w:rPr>
                <w:rFonts w:ascii="Times New Roman" w:hAnsi="Times New Roman"/>
                <w:sz w:val="15"/>
                <w:szCs w:val="15"/>
              </w:rPr>
              <w:t xml:space="preserve">306</w:t>
            </w:r>
          </w:p>
        </w:tc>
        <w:tc>
          <w:tcPr>
            <w:tcW w:w="850" w:type="dxa"/>
            <w:vAlign w:val="center"/>
          </w:tcPr>
          <w:p>
            <w:pPr>
              <w:spacing w:after="20" w:line="240" w:lineRule="auto"/>
              <w:jc w:val="center"/>
            </w:pPr>
            <w:r>
              <w:rPr>
                <w:rFonts w:ascii="Times New Roman" w:hAnsi="Times New Roman"/>
                <w:sz w:val="15"/>
                <w:szCs w:val="15"/>
              </w:rPr>
              <w:t xml:space="preserve">307</w:t>
            </w:r>
          </w:p>
        </w:tc>
        <w:tc>
          <w:tcPr>
            <w:tcW w:w="1100" w:type="dxa"/>
            <w:vAlign w:val="center"/>
          </w:tcPr>
          <w:p>
            <w:pPr>
              <w:spacing w:after="20" w:line="240" w:lineRule="auto"/>
              <w:jc w:val="center"/>
            </w:pPr>
            <w:r>
              <w:rPr>
                <w:rFonts w:ascii="Times New Roman" w:hAnsi="Times New Roman"/>
                <w:sz w:val="15"/>
                <w:szCs w:val="15"/>
              </w:rPr>
              <w:t xml:space="preserve">372</w:t>
            </w:r>
          </w:p>
        </w:tc>
      </w:tr>
    </w:tbl>
    <w:p/>
    <w:p>
      <w:pPr>
        <w:spacing w:before="0" w:after="40" w:line="276" w:lineRule="auto"/>
        <w:jc w:val="center"/>
      </w:pPr>
      <w:r>
        <w:rPr>
          <w:rFonts w:ascii="Times New Roman" w:hAnsi="Times New Roman"/>
          <w:i/>
          <w:sz w:val="20"/>
          <w:szCs w:val="20"/>
        </w:rPr>
        <w:t xml:space="preserve">Table 5. Vickers microhardness (HV) of the base metal, HAZ and fusion zone of SA516, 2205 duplex steel and the SA516+2205 weld region</w:t>
      </w:r>
    </w:p>
    <w:p>
      <w:pPr>
        <w:spacing w:before="0" w:after="120" w:line="276" w:lineRule="auto"/>
        <w:jc w:val="both"/>
      </w:pPr>
      <w:r>
        <w:rPr>
          <w:rFonts w:ascii="Times New Roman" w:hAnsi="Times New Roman"/>
          <w:sz w:val="24"/>
          <w:szCs w:val="24"/>
        </w:rPr>
        <w:t xml:space="preserve">The Vickers hardness of both the heat-affected zones and the fusion zone of the SA516+2205 dissimilar weld was examined at a 500 g load for a 15 s dwell time. Table 5 presents the average microhardness values. Figure 5 depicts the microhardness survey of the base metal, HAZ and SA516+2205 dissimilar weld, showing a consistent trend across the transition zones of the weldment. </w:t>
      </w:r>
      <w:r>
        <w:rPr>
          <w:rFonts w:ascii="Times New Roman" w:hAnsi="Times New Roman"/>
          <w:sz w:val="24"/>
          <w:szCs w:val="24"/>
          <w:highlight w:val="yellow"/>
        </w:rPr>
        <w:t xml:space="preserve">A relatively higher hardness was observed in HAZ-2 on the SS2205 duplex side (372 HV) than in HAZ-1 on the SA516 side (345 HV), associated with grain refinement and the shift in the ferrite-austenite balance of the reheated duplex microstructure, together with carbon migration across the weld interface.</w:t>
      </w:r>
      <w:r>
        <w:rPr>
          <w:rFonts w:ascii="Times New Roman" w:hAnsi="Times New Roman"/>
          <w:sz w:val="24"/>
          <w:szCs w:val="24"/>
        </w:rPr>
        <w:t xml:space="preserve"> The HAZ-1 and HAZ-2 regions show a gradual increase in hardness moving from the base metal to the HAZ. The high-temperature heat-affected region (HTHAR) exhibits higher hardness than the low-temperature heat-affected region (LTHAR), as the HTHAR experiences higher thermal-cycling effects. The high hardness at the HAZ is promoted by the high cooling rate, which produces fine grains that increase the hardness of the material.</w:t>
      </w:r>
    </w:p>
    <w:p>
      <w:pPr>
        <w:spacing w:before="240" w:after="100" w:line="276" w:lineRule="auto"/>
        <w:jc w:val="left"/>
      </w:pPr>
      <w:r>
        <w:rPr>
          <w:rFonts w:ascii="Times New Roman" w:hAnsi="Times New Roman"/>
          <w:b/>
          <w:sz w:val="28"/>
          <w:szCs w:val="28"/>
        </w:rPr>
        <w:t xml:space="preserve">4. Conclusion</w:t>
      </w:r>
    </w:p>
    <w:p>
      <w:pPr>
        <w:spacing w:before="0" w:after="120" w:line="276" w:lineRule="auto"/>
        <w:jc w:val="both"/>
      </w:pPr>
      <w:r>
        <w:rPr>
          <w:rFonts w:ascii="Times New Roman" w:hAnsi="Times New Roman"/>
          <w:sz w:val="24"/>
          <w:szCs w:val="24"/>
        </w:rPr>
        <w:t xml:space="preserve">In this study, the dissimilar welding of 2205 duplex stainless steel and SA516 boiler plate was successfully demonstrated. The microstructural and mechanical properties, such as impact strength and microhardness, were investigated. The key findings are summarized below.</w:t>
      </w:r>
    </w:p>
    <w:p>
      <w:pPr>
        <w:spacing w:before="0" w:after="60" w:line="276" w:lineRule="auto"/>
        <w:jc w:val="both"/>
      </w:pPr>
      <w:r>
        <w:rPr>
          <w:rFonts w:ascii="Times New Roman" w:hAnsi="Times New Roman"/>
          <w:sz w:val="24"/>
          <w:szCs w:val="24"/>
        </w:rPr>
        <w:t xml:space="preserve">•  The use of 309L filler metal for welding SA516 and 2205 results in a dissimilar joint with satisfactory mechanical properties and microstructural characteristics.</w:t>
      </w:r>
    </w:p>
    <w:p>
      <w:pPr>
        <w:spacing w:before="0" w:after="60" w:line="276" w:lineRule="auto"/>
        <w:jc w:val="both"/>
      </w:pPr>
      <w:r>
        <w:rPr>
          <w:rFonts w:ascii="Times New Roman" w:hAnsi="Times New Roman"/>
          <w:sz w:val="24"/>
          <w:szCs w:val="24"/>
        </w:rPr>
        <w:t xml:space="preserve">•  The weld metal showed increased hardness and strength, while HAZ-1 was identified as a critical region for failure.</w:t>
      </w:r>
    </w:p>
    <w:p>
      <w:pPr>
        <w:spacing w:before="0" w:after="60" w:line="276" w:lineRule="auto"/>
        <w:jc w:val="both"/>
      </w:pPr>
      <w:r>
        <w:rPr>
          <w:rFonts w:ascii="Times New Roman" w:hAnsi="Times New Roman"/>
          <w:sz w:val="24"/>
          <w:szCs w:val="24"/>
        </w:rPr>
        <w:t xml:space="preserve">•  Using 309L filler material for welding dissimilar metals such as SA516 and 2205 duplex stainless steel is effective in achieving a stable microstructure and satisfactory mechanical properties.</w:t>
      </w:r>
    </w:p>
    <w:p>
      <w:pPr>
        <w:spacing w:before="0" w:after="60" w:line="276" w:lineRule="auto"/>
        <w:jc w:val="both"/>
      </w:pPr>
      <w:r>
        <w:rPr>
          <w:rFonts w:ascii="Times New Roman" w:hAnsi="Times New Roman"/>
          <w:sz w:val="24"/>
          <w:szCs w:val="24"/>
        </w:rPr>
        <w:t xml:space="preserve">•  The highest impact toughness was achieved at the weld fusion zone, i.e. 150 J, whereas the lowest was observed in HAZ-1, i.e. 90 J.</w:t>
      </w:r>
    </w:p>
    <w:p>
      <w:pPr>
        <w:spacing w:before="0" w:after="60" w:line="276" w:lineRule="auto"/>
        <w:jc w:val="both"/>
      </w:pPr>
      <w:r>
        <w:rPr>
          <w:rFonts w:ascii="Times New Roman" w:hAnsi="Times New Roman"/>
          <w:sz w:val="24"/>
          <w:szCs w:val="24"/>
        </w:rPr>
        <w:t xml:space="preserve">•  The microhardness of the dissimilar weld is 307 HV at the fusion zone, which is lower than the microhardness at the HAZ.</w:t>
      </w:r>
    </w:p>
    <w:p>
      <w:pPr>
        <w:spacing w:before="0" w:after="60" w:line="276" w:lineRule="auto"/>
        <w:jc w:val="both"/>
      </w:pPr>
      <w:r>
        <w:rPr>
          <w:rFonts w:ascii="Times New Roman" w:hAnsi="Times New Roman"/>
          <w:sz w:val="24"/>
          <w:szCs w:val="24"/>
        </w:rPr>
        <w:t xml:space="preserve">•  </w:t>
      </w:r>
      <w:r>
        <w:rPr>
          <w:rFonts w:ascii="Times New Roman" w:hAnsi="Times New Roman"/>
          <w:sz w:val="24"/>
          <w:szCs w:val="24"/>
          <w:highlight w:val="yellow"/>
        </w:rPr>
        <w:t xml:space="preserve">The highest microhardness was observed at HAZ-2, i.e. the heat-affected zone on the SS2205 duplex stainless-steel side, at 372 HV, in agreement with Table 5 and the Results section, while the lowest was recorded in the SA516 base metal at 254 HV.</w:t>
      </w:r>
    </w:p>
    <w:p>
      <w:pPr>
        <w:spacing w:before="0" w:after="60" w:line="276" w:lineRule="auto"/>
        <w:jc w:val="both"/>
      </w:pPr>
      <w:r>
        <w:rPr>
          <w:rFonts w:ascii="Times New Roman" w:hAnsi="Times New Roman"/>
          <w:sz w:val="24"/>
          <w:szCs w:val="24"/>
        </w:rPr>
        <w:t xml:space="preserve">•  The fractographs of the dissimilar weld between SA516 and SS2205 reveal varying fracture behaviors. HAZ-2 shows predominantly ductile fracture features, with dimpled microvoid coalescence.</w:t>
      </w:r>
    </w:p>
    <w:p>
      <w:pPr>
        <w:spacing w:before="0" w:after="60" w:line="276" w:lineRule="auto"/>
        <w:jc w:val="both"/>
      </w:pPr>
      <w:r>
        <w:rPr>
          <w:rFonts w:ascii="Times New Roman" w:hAnsi="Times New Roman"/>
          <w:sz w:val="24"/>
          <w:szCs w:val="24"/>
        </w:rPr>
        <w:t xml:space="preserve">•  HAZ-1 exhibits mixed-mode fracture with evidence of brittle cleavage, indicating reduced toughness in this region.</w:t>
      </w:r>
    </w:p>
    <w:p>
      <w:pPr>
        <w:spacing w:before="0" w:after="60" w:line="276" w:lineRule="auto"/>
        <w:jc w:val="both"/>
      </w:pPr>
      <w:r>
        <w:rPr>
          <w:rFonts w:ascii="Times New Roman" w:hAnsi="Times New Roman"/>
          <w:sz w:val="24"/>
          <w:szCs w:val="24"/>
        </w:rPr>
        <w:t xml:space="preserve">•  A combination of ductile and brittle features was observed at the weld region, highlighting the complexity of the microstructure in dissimilar welds.</w:t>
      </w:r>
    </w:p>
    <w:p>
      <w:pPr>
        <w:spacing w:before="0" w:after="60" w:line="276" w:lineRule="auto"/>
        <w:jc w:val="both"/>
      </w:pPr>
      <w:r>
        <w:rPr>
          <w:rFonts w:ascii="Times New Roman" w:hAnsi="Times New Roman"/>
          <w:sz w:val="24"/>
          <w:szCs w:val="24"/>
        </w:rPr>
        <w:t xml:space="preserve">•  These microstructural changes, driven by phase transformations and filler metal selection, can significantly impact the mechanical properties and fracture behavior of dissimilar welded joints.</w:t>
      </w:r>
    </w:p>
    <w:p>
      <w:pPr>
        <w:spacing w:before="160" w:after="80" w:line="276" w:lineRule="auto"/>
        <w:jc w:val="left"/>
      </w:pPr>
      <w:r>
        <w:rPr>
          <w:rFonts w:ascii="Times New Roman" w:hAnsi="Times New Roman"/>
          <w:b/>
          <w:sz w:val="25"/>
          <w:szCs w:val="25"/>
        </w:rPr>
        <w:t xml:space="preserve">Funding Details</w:t>
      </w:r>
    </w:p>
    <w:p>
      <w:pPr>
        <w:spacing w:before="0" w:after="120" w:line="276" w:lineRule="auto"/>
        <w:jc w:val="both"/>
      </w:pPr>
      <w:r>
        <w:rPr>
          <w:rFonts w:ascii="Times New Roman" w:hAnsi="Times New Roman"/>
          <w:sz w:val="24"/>
          <w:szCs w:val="24"/>
        </w:rPr>
        <w:t xml:space="preserve">On behalf of the corresponding author it is certified that the present research has not received any internal/external funding from any government/private agency. No funding was received from any source. The research is original and unpublished anywhere.</w:t>
      </w:r>
    </w:p>
    <w:p>
      <w:pPr>
        <w:spacing w:before="160" w:after="80" w:line="276" w:lineRule="auto"/>
        <w:jc w:val="left"/>
      </w:pPr>
      <w:r>
        <w:rPr>
          <w:rFonts w:ascii="Times New Roman" w:hAnsi="Times New Roman"/>
          <w:b/>
          <w:sz w:val="25"/>
          <w:szCs w:val="25"/>
        </w:rPr>
        <w:t xml:space="preserve">Disclosure of Interest</w:t>
      </w:r>
    </w:p>
    <w:p>
      <w:pPr>
        <w:spacing w:before="0" w:after="120" w:line="276" w:lineRule="auto"/>
        <w:jc w:val="both"/>
      </w:pPr>
      <w:r>
        <w:rPr>
          <w:rFonts w:ascii="Times New Roman" w:hAnsi="Times New Roman"/>
          <w:sz w:val="24"/>
          <w:szCs w:val="24"/>
        </w:rPr>
        <w:t xml:space="preserve">On behalf of the corresponding author it is certified that there are no interests to declare. The research is original and unpublished anywhere.</w:t>
      </w:r>
    </w:p>
    <w:p>
      <w:pPr>
        <w:spacing w:before="240" w:after="100" w:line="276" w:lineRule="auto"/>
        <w:jc w:val="left"/>
      </w:pPr>
      <w:r>
        <w:rPr>
          <w:rFonts w:ascii="Times New Roman" w:hAnsi="Times New Roman"/>
          <w:b/>
          <w:sz w:val="28"/>
          <w:szCs w:val="28"/>
        </w:rPr>
        <w:t xml:space="preserve">References</w:t>
      </w:r>
    </w:p>
    <w:p>
      <w:pPr>
        <w:spacing w:before="0" w:after="60" w:line="276" w:lineRule="auto"/>
        <w:jc w:val="both"/>
      </w:pPr>
      <w:r>
        <w:rPr>
          <w:rFonts w:ascii="Times New Roman" w:hAnsi="Times New Roman"/>
          <w:sz w:val="20"/>
          <w:szCs w:val="20"/>
        </w:rPr>
        <w:t xml:space="preserve">[1]  J. Singh and A. S. Shahi, "Metallurgical and corrosion characterization of electron beam welded duplex stainless steel joints," J. Manuf. Process., vol. 50, pp. 581-595, 2020, doi: 10.1016/j.jmapro.2020.01.009.</w:t>
      </w:r>
    </w:p>
    <w:p>
      <w:pPr>
        <w:spacing w:before="0" w:after="60" w:line="276" w:lineRule="auto"/>
        <w:jc w:val="both"/>
      </w:pPr>
      <w:r>
        <w:rPr>
          <w:rFonts w:ascii="Times New Roman" w:hAnsi="Times New Roman"/>
          <w:sz w:val="20"/>
          <w:szCs w:val="20"/>
        </w:rPr>
        <w:t xml:space="preserve">[2]  H. Küçüköner, H. Karakoç, and N. Kahraman, "Investigation of microstructure and mechanical properties of AISI2205/DIN-P355GH steel joint by submerged arc welding," J. Manuf. Process., vol. 59, pp. 566-586, 2020, doi: 10.1016/j.jmapro.2020.10.023.</w:t>
      </w:r>
    </w:p>
    <w:p>
      <w:pPr>
        <w:spacing w:before="0" w:after="60" w:line="276" w:lineRule="auto"/>
        <w:jc w:val="both"/>
      </w:pPr>
      <w:r>
        <w:rPr>
          <w:rFonts w:ascii="Times New Roman" w:hAnsi="Times New Roman"/>
          <w:sz w:val="20"/>
          <w:szCs w:val="20"/>
        </w:rPr>
        <w:t xml:space="preserve">[3]  R. Ansari, M. Movahedi, and M. Pouranvari, "Microstructural features and mechanical behavior of duplex stainless steel/low carbon steel friction stir dissimilar weld," J. Mater. Res. Technol., vol. 25, pp. 5352-5371, 2023, doi: 10.1016/j.jmrt.2023.07.025.</w:t>
      </w:r>
    </w:p>
    <w:p>
      <w:pPr>
        <w:spacing w:before="0" w:after="60" w:line="276" w:lineRule="auto"/>
        <w:jc w:val="both"/>
      </w:pPr>
      <w:r>
        <w:rPr>
          <w:rFonts w:ascii="Times New Roman" w:hAnsi="Times New Roman"/>
          <w:sz w:val="20"/>
          <w:szCs w:val="20"/>
        </w:rPr>
        <w:t xml:space="preserve">[4]  S. Saini and K. Singh, "Recycling of steel slag as a flux for submerged arc welding and its effects on chemistry and performance of welds," Int. J. Adv. Manuf. Technol., vol. 114, pp. 1165-1177, 2021, doi: 10.1007/s00170-021-06866-1.</w:t>
      </w:r>
    </w:p>
    <w:p>
      <w:pPr>
        <w:spacing w:before="0" w:after="60" w:line="276" w:lineRule="auto"/>
        <w:jc w:val="both"/>
      </w:pPr>
      <w:r>
        <w:rPr>
          <w:rFonts w:ascii="Times New Roman" w:hAnsi="Times New Roman"/>
          <w:sz w:val="20"/>
          <w:szCs w:val="20"/>
        </w:rPr>
        <w:t xml:space="preserve">[5]  A. Banerjee, M. Ntovas, L. Da Silva, and S. Rahimi, "Microstructure and mechanical properties of dissimilar inertia friction welded 316L stainless steel to A516 ferritic steel for potential applications in nuclear reactors," Manuf. Lett., vol. 33, pp. 33-37, 2022, doi: 10.1016/j.mfglet.2022.07.002.</w:t>
      </w:r>
    </w:p>
    <w:p>
      <w:pPr>
        <w:spacing w:before="0" w:after="60" w:line="276" w:lineRule="auto"/>
        <w:jc w:val="both"/>
      </w:pPr>
      <w:r>
        <w:rPr>
          <w:rFonts w:ascii="Times New Roman" w:hAnsi="Times New Roman"/>
          <w:sz w:val="20"/>
          <w:szCs w:val="20"/>
        </w:rPr>
        <w:t xml:space="preserve">[6]  S. Saini and K. Singh, "Waste to wealth: Recycling of steel slag as flux for the submerged arc welding process and its effect on mechanical and metallurgical properties of welds," Proc. Inst. Mech. Eng. Part C, vol. 236, no. 16, pp. 8980-8990, 2022, doi: 10.1177/09544062221089253.</w:t>
      </w:r>
    </w:p>
    <w:p>
      <w:pPr>
        <w:spacing w:before="0" w:after="60" w:line="276" w:lineRule="auto"/>
        <w:jc w:val="both"/>
      </w:pPr>
      <w:r>
        <w:rPr>
          <w:rFonts w:ascii="Times New Roman" w:hAnsi="Times New Roman"/>
          <w:sz w:val="20"/>
          <w:szCs w:val="20"/>
        </w:rPr>
        <w:t xml:space="preserve">[7]  A. Bhattacharya and R. Kumar, "Dissimilar joining between austenitic and duplex stainless steel in double-shielded GMAW: A comparative study," Mater. Manuf. Process., vol. 31, no. 3, pp. 300-310, 2016, doi: 10.1080/10426914.2015.1070414.</w:t>
      </w:r>
    </w:p>
    <w:p>
      <w:pPr>
        <w:spacing w:before="0" w:after="60" w:line="276" w:lineRule="auto"/>
        <w:jc w:val="both"/>
      </w:pPr>
      <w:r>
        <w:rPr>
          <w:rFonts w:ascii="Times New Roman" w:hAnsi="Times New Roman"/>
          <w:sz w:val="20"/>
          <w:szCs w:val="20"/>
        </w:rPr>
        <w:t xml:space="preserve">[8]  L. Sharma and R. Chhibber, "Study of weld bead chemical, microhardness &amp; microstructural analysis using submerged arc welding fluxes for linepipe steel applications," Ceram. Int., vol. 46, no. 15, pp. 24615-24623, 2020, doi: 10.1016/j.ceramint.2020.06.250.</w:t>
      </w:r>
    </w:p>
    <w:p>
      <w:pPr>
        <w:spacing w:before="0" w:after="60" w:line="276" w:lineRule="auto"/>
        <w:jc w:val="both"/>
      </w:pPr>
      <w:r>
        <w:rPr>
          <w:rFonts w:ascii="Times New Roman" w:hAnsi="Times New Roman"/>
          <w:sz w:val="20"/>
          <w:szCs w:val="20"/>
        </w:rPr>
        <w:t xml:space="preserve">[9]  S. A. Rizvi and M. Ahamad, "Effect of heat input on the microstructure and mechanical properties of a welded joint - A review," Int. J. Appl. Eng. Res., vol. 13, no. 6, pp. 184-188, 2018.</w:t>
      </w:r>
    </w:p>
    <w:p>
      <w:pPr>
        <w:spacing w:before="0" w:after="60" w:line="276" w:lineRule="auto"/>
        <w:jc w:val="both"/>
      </w:pPr>
      <w:r>
        <w:rPr>
          <w:rFonts w:ascii="Times New Roman" w:hAnsi="Times New Roman"/>
          <w:sz w:val="20"/>
          <w:szCs w:val="20"/>
        </w:rPr>
        <w:t xml:space="preserve">[10]  J. Prakash, S. P. Tewari, and B. K. Srivastava, "Shielding gas for welding of aluminium alloys by TIG/MIG welding - A review," Int. J. Mod. Eng. Res., vol. 1, no. 2, pp. 690-699, 2016.</w:t>
      </w:r>
    </w:p>
    <w:p>
      <w:pPr>
        <w:spacing w:before="0" w:after="60" w:line="276" w:lineRule="auto"/>
        <w:jc w:val="both"/>
      </w:pPr>
      <w:r>
        <w:rPr>
          <w:rFonts w:ascii="Times New Roman" w:hAnsi="Times New Roman"/>
          <w:sz w:val="20"/>
          <w:szCs w:val="20"/>
        </w:rPr>
        <w:t xml:space="preserve">[11]  C. Mitelea, I. Uţu, I. D. Karancsi, O. Urlan, S. D. Crăciunescu, "Investigation of the microstructure of dissimilar welds in duplex stainless steel and low alloyed steel," Mater. Test., vol. 61, no. 2, pp. 120-124, 2019, doi: 10.3139/120.111292.</w:t>
      </w:r>
    </w:p>
    <w:p>
      <w:pPr>
        <w:spacing w:before="0" w:after="60" w:line="276" w:lineRule="auto"/>
        <w:jc w:val="both"/>
      </w:pPr>
      <w:r>
        <w:rPr>
          <w:rFonts w:ascii="Times New Roman" w:hAnsi="Times New Roman"/>
          <w:sz w:val="20"/>
          <w:szCs w:val="20"/>
        </w:rPr>
        <w:t xml:space="preserve">[12]  V. Bhanu, A. Gupta, and C. Pandey, "Role of A-TIG process in joining of martensitic and austenitic steels for ultra-supercritical power plants - a state of the art review," Nucl. Eng. Technol., vol. 54, no. 8, pp. 2755-2770, 2022, doi: 10.1016/j.net.2022.03.003.</w:t>
      </w:r>
    </w:p>
    <w:p>
      <w:pPr>
        <w:spacing w:before="0" w:after="60" w:line="276" w:lineRule="auto"/>
        <w:jc w:val="both"/>
      </w:pPr>
      <w:r>
        <w:rPr>
          <w:rFonts w:ascii="Times New Roman" w:hAnsi="Times New Roman"/>
          <w:sz w:val="20"/>
          <w:szCs w:val="20"/>
        </w:rPr>
        <w:t xml:space="preserve">[13]  A. V. Jebaraj, L. A. Kumar, and C. R. Deepak, "Investigations on anisotropy behavior of duplex stainless steel AISI 2205 for optimum weld properties," Procedia Eng., vol. 173, pp. 883-890, 2017, doi: 10.1016/j.proeng.2016.12.132.</w:t>
      </w:r>
    </w:p>
    <w:p>
      <w:pPr>
        <w:spacing w:before="0" w:after="60" w:line="276" w:lineRule="auto"/>
        <w:jc w:val="both"/>
      </w:pPr>
      <w:r>
        <w:rPr>
          <w:rFonts w:ascii="Times New Roman" w:hAnsi="Times New Roman"/>
          <w:sz w:val="20"/>
          <w:szCs w:val="20"/>
        </w:rPr>
        <w:t xml:space="preserve">[14]  J. Amanie, "Effect of submerged arc welding parameters on the microstructure of SA516 and A709 steel welds," M.Sc. thesis, pp. 1-189, 2011.</w:t>
      </w:r>
    </w:p>
    <w:p>
      <w:pPr>
        <w:spacing w:before="0" w:after="60" w:line="276" w:lineRule="auto"/>
        <w:jc w:val="both"/>
      </w:pPr>
      <w:r>
        <w:rPr>
          <w:rFonts w:ascii="Times New Roman" w:hAnsi="Times New Roman"/>
          <w:sz w:val="20"/>
          <w:szCs w:val="20"/>
        </w:rPr>
        <w:t xml:space="preserve">[15]  M. F. Mamat, E. Hamzah, Z. Ibrahim, and A. M. Rohah, "Effect of filler metals on the microstructures and mechanical properties of dissimilar low carbon steel and 316L stainless steel welded joints," Mater. Sci. Forum, vol. 819, pp. 57-67, 2015, doi: 10.4028/www.scientific.net/msf.819.57.</w:t>
      </w:r>
    </w:p>
    <w:p>
      <w:pPr>
        <w:spacing w:before="0" w:after="60" w:line="276" w:lineRule="auto"/>
        <w:jc w:val="both"/>
      </w:pPr>
      <w:r>
        <w:rPr>
          <w:rFonts w:ascii="Times New Roman" w:hAnsi="Times New Roman"/>
          <w:sz w:val="20"/>
          <w:szCs w:val="20"/>
        </w:rPr>
        <w:t xml:space="preserve">[16]  P. K. Taraphdar, M. M. Mahapatra, A. K. Pradhan, P. K. Singh, and K. Sharma, "Evaluation of through-thickness residual stresses and microstructure in SA516 Gr. 70 steel welds," Proc. Inst. Mech. Eng. Part B, vol. 235, no. 6-7, pp. 958-973, 2021, doi: 10.1177/0954405421990124.</w:t>
      </w:r>
    </w:p>
    <w:p>
      <w:pPr>
        <w:spacing w:before="0" w:after="60" w:line="276" w:lineRule="auto"/>
        <w:jc w:val="both"/>
      </w:pPr>
      <w:r>
        <w:rPr>
          <w:rFonts w:ascii="Times New Roman" w:hAnsi="Times New Roman"/>
          <w:sz w:val="20"/>
          <w:szCs w:val="20"/>
        </w:rPr>
        <w:t xml:space="preserve">[17]  H. Ma, G. Qin, P. Geng, F. Li, B. Fu, and X. Meng, "Microstructure characterization and properties of carbon steel to stainless steel dissimilar metal joint made by friction welding," Mater. Des., vol. 86, pp. 587-597, 2015, doi: 10.1016/j.matdes.2015.07.068.</w:t>
      </w:r>
    </w:p>
    <w:p>
      <w:pPr>
        <w:spacing w:before="0" w:after="60" w:line="276" w:lineRule="auto"/>
        <w:jc w:val="both"/>
      </w:pPr>
      <w:r>
        <w:rPr>
          <w:rFonts w:ascii="Times New Roman" w:hAnsi="Times New Roman"/>
          <w:sz w:val="20"/>
          <w:szCs w:val="20"/>
        </w:rPr>
        <w:t xml:space="preserve">[18]  W. Wu, S. Hu, and J. Shen, "Microstructure, mechanical properties and corrosion behavior of laser welded dissimilar joints between ferritic stainless steel and carbon steel," Mater. Des., vol. 65, pp. 855-861, 2015, doi: 10.1016/j.matdes.2014.09.064.</w:t>
      </w:r>
    </w:p>
    <w:p>
      <w:pPr>
        <w:spacing w:before="0" w:after="60" w:line="276" w:lineRule="auto"/>
        <w:jc w:val="both"/>
      </w:pPr>
      <w:r>
        <w:rPr>
          <w:rFonts w:ascii="Times New Roman" w:hAnsi="Times New Roman"/>
          <w:sz w:val="20"/>
          <w:szCs w:val="20"/>
          <w:highlight w:val="yellow"/>
        </w:rPr>
        <w:t xml:space="preserve">[19]  A.-H. I. Mourad et al., study on dissimilar-metal welding addressing melting-point and thermal-expansion mismatch, 2017. [Full bibliographic details to be verified and completed by the authors.]</w:t>
      </w:r>
    </w:p>
    <w:p>
      <w:pPr>
        <w:spacing w:before="0" w:after="60" w:line="276" w:lineRule="auto"/>
        <w:jc w:val="both"/>
      </w:pPr>
      <w:r>
        <w:rPr>
          <w:rFonts w:ascii="Times New Roman" w:hAnsi="Times New Roman"/>
          <w:sz w:val="20"/>
          <w:szCs w:val="20"/>
          <w:highlight w:val="yellow"/>
        </w:rPr>
        <w:t xml:space="preserve">[20]  R. Kumar et al., on GMAW/GTAW welding of dissimilar metals and heat-input control, 2021. [Full bibliographic details to be verified and completed by the authors.]</w:t>
      </w:r>
    </w:p>
    <w:p>
      <w:pPr>
        <w:spacing w:before="0" w:after="60" w:line="276" w:lineRule="auto"/>
        <w:jc w:val="both"/>
      </w:pPr>
      <w:r>
        <w:rPr>
          <w:rFonts w:ascii="Times New Roman" w:hAnsi="Times New Roman"/>
          <w:sz w:val="20"/>
          <w:szCs w:val="20"/>
          <w:highlight w:val="yellow"/>
        </w:rPr>
        <w:t xml:space="preserve">[21]  J. Singh and C. Pandey, on the influence of carbon content on polygonal/grain-boundary ferrite. [Full bibliographic details to be verified and completed by the authors.]</w:t>
      </w:r>
    </w:p>
    <w:p>
      <w:pPr>
        <w:spacing w:before="0" w:after="60" w:line="276" w:lineRule="auto"/>
        <w:jc w:val="both"/>
      </w:pPr>
      <w:r>
        <w:rPr>
          <w:rFonts w:ascii="Times New Roman" w:hAnsi="Times New Roman"/>
          <w:sz w:val="20"/>
          <w:szCs w:val="20"/>
          <w:highlight w:val="yellow"/>
        </w:rPr>
        <w:t xml:space="preserve">[22]  "Microstructure-based multiscale and heterogeneous elasto-plastic properties of 2205 duplex stainless steel welded joints: experimental and modelling." [Authors, journal, volume and year to be verified and completed by the authors.]</w:t>
      </w:r>
    </w:p>
    <w:sectPr>
      <w:pgSz w:w="12240" w:h="15840"/>
      <w:pgMar w:top="1440" w:right="1440" w:bottom="1440" w:left="1440"/>
    </w:sectPr>
  </w:body>
</w:document>
</file>