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76" w:lineRule="auto"/>
        <w:jc w:val="center"/>
      </w:pPr>
      <w:r>
        <w:rPr>
          <w:rFonts w:ascii="Times New Roman" w:hAnsi="Times New Roman"/>
          <w:b/>
          <w:sz w:val="30"/>
          <w:szCs w:val="30"/>
        </w:rPr>
        <w:t xml:space="preserve">Response to Reviewers</w:t>
      </w:r>
    </w:p>
    <w:p>
      <w:pPr>
        <w:spacing w:before="0" w:after="120" w:line="276" w:lineRule="auto"/>
        <w:jc w:val="center"/>
      </w:pPr>
      <w:r>
        <w:rPr>
          <w:rFonts w:ascii="Times New Roman" w:hAnsi="Times New Roman"/>
          <w:b/>
          <w:sz w:val="24"/>
          <w:szCs w:val="24"/>
        </w:rPr>
        <w:t xml:space="preserve">Manuscript: Investigation of the Dissimilar Weld Joint between SS2205 Duplex Stainless Steel and SA516 Carbon Steel using 309L Filler</w:t>
      </w:r>
    </w:p>
    <w:p>
      <w:pPr>
        <w:spacing w:before="0" w:after="120" w:line="276" w:lineRule="auto"/>
        <w:jc w:val="both"/>
      </w:pPr>
      <w:r>
        <w:rPr>
          <w:rFonts w:ascii="Times New Roman" w:hAnsi="Times New Roman"/>
          <w:sz w:val="24"/>
          <w:szCs w:val="24"/>
        </w:rPr>
        <w:t xml:space="preserve">We thank the Editors and both Reviewers for their careful and constructive assessment of our manuscript. The comments have helped us correct several inconsistencies and improve the clarity of the presentation. We have addressed every point below. Reviewer comments are quoted in italics, followed by our response and the specific revision made. All page/line numbers refer to the revised manuscript, and changes are highlighted in the revised file.</w:t>
      </w:r>
    </w:p>
    <w:p>
      <w:pPr>
        <w:spacing w:before="240" w:after="100" w:line="276" w:lineRule="auto"/>
        <w:jc w:val="left"/>
      </w:pPr>
      <w:r>
        <w:rPr>
          <w:rFonts w:ascii="Times New Roman" w:hAnsi="Times New Roman"/>
          <w:b/>
          <w:sz w:val="28"/>
          <w:szCs w:val="28"/>
        </w:rPr>
        <w:t xml:space="preserve">Reviewer 1</w:t>
      </w:r>
    </w:p>
    <w:p>
      <w:pPr>
        <w:spacing w:before="160" w:after="80" w:line="276" w:lineRule="auto"/>
        <w:jc w:val="left"/>
      </w:pPr>
      <w:r>
        <w:rPr>
          <w:rFonts w:ascii="Times New Roman" w:hAnsi="Times New Roman"/>
          <w:b/>
          <w:sz w:val="25"/>
          <w:szCs w:val="25"/>
        </w:rPr>
        <w:t xml:space="preserve">Comment 1 — Inconsistent location of maximum microhardness (Table 5, Results vs. Conclusion)</w:t>
      </w:r>
    </w:p>
    <w:p>
      <w:pPr>
        <w:spacing w:before="0" w:after="80" w:line="276" w:lineRule="auto"/>
        <w:jc w:val="both"/>
      </w:pPr>
      <w:r>
        <w:rPr>
          <w:rFonts w:ascii="Times New Roman" w:hAnsi="Times New Roman"/>
          <w:i/>
          <w:sz w:val="24"/>
          <w:szCs w:val="24"/>
        </w:rPr>
        <w:t xml:space="preserve">“Table 5 reports an average of 372 HV for HAZ-2 along the 2205 side, and the Results section also identifies this region as having the maximum hardness. However, the Conclusion states that the highest microhardness of 372 HV occurs at HAZ-1. Please reconcile these statements and use consistent HAZ terminology throughout.”</w:t>
      </w:r>
    </w:p>
    <w:p>
      <w:pPr>
        <w:spacing w:before="0" w:after="120" w:line="276" w:lineRule="auto"/>
        <w:jc w:val="both"/>
      </w:pPr>
      <w:r>
        <w:rPr>
          <w:rFonts w:ascii="Times New Roman" w:hAnsi="Times New Roman"/>
          <w:sz w:val="24"/>
          <w:szCs w:val="24"/>
        </w:rPr>
        <w:t xml:space="preserve">Response. We thank the reviewer for catching this inconsistency. The correct location of the maximum microhardness is HAZ-2 on the SS2205 (duplex) side, at 372 HV, consistent with both Table 5 and the Results section. The statement in the Conclusion referring to "HAZ-1" was a typographical error and has been corrected. To prevent any further ambiguity, we have standardized the HAZ nomenclature throughout:</w:t>
      </w:r>
    </w:p>
    <w:p>
      <w:pPr>
        <w:spacing w:before="0" w:after="40" w:line="276" w:lineRule="auto"/>
        <w:jc w:val="both"/>
      </w:pPr>
      <w:r>
        <w:rPr>
          <w:rFonts w:ascii="Times New Roman" w:hAnsi="Times New Roman"/>
          <w:sz w:val="24"/>
          <w:szCs w:val="24"/>
        </w:rPr>
        <w:t xml:space="preserve">•  HAZ-1 = heat-affected zone on the SA516 carbon-steel side.</w:t>
      </w:r>
    </w:p>
    <w:p>
      <w:pPr>
        <w:spacing w:before="0" w:after="80" w:line="276" w:lineRule="auto"/>
        <w:jc w:val="both"/>
      </w:pPr>
      <w:r>
        <w:rPr>
          <w:rFonts w:ascii="Times New Roman" w:hAnsi="Times New Roman"/>
          <w:sz w:val="24"/>
          <w:szCs w:val="24"/>
        </w:rPr>
        <w:t xml:space="preserve">•  HAZ-2 = heat-affected zone on the SS2205 duplex stainless-steel side.</w:t>
      </w:r>
    </w:p>
    <w:p>
      <w:pPr>
        <w:spacing w:before="0" w:after="120" w:line="276" w:lineRule="auto"/>
        <w:jc w:val="both"/>
      </w:pPr>
      <w:r>
        <w:rPr>
          <w:rFonts w:ascii="Times New Roman" w:hAnsi="Times New Roman"/>
          <w:sz w:val="24"/>
          <w:szCs w:val="24"/>
        </w:rPr>
        <w:t xml:space="preserve">Revision (Conclusion).</w:t>
      </w:r>
    </w:p>
    <w:p>
      <w:pPr>
        <w:spacing w:before="0" w:after="40" w:line="276" w:lineRule="auto"/>
        <w:jc w:val="both"/>
      </w:pPr>
      <w:r>
        <w:rPr>
          <w:rFonts w:ascii="Times New Roman" w:hAnsi="Times New Roman"/>
          <w:i/>
          <w:sz w:val="24"/>
          <w:szCs w:val="24"/>
        </w:rPr>
        <w:t xml:space="preserve">Before: "The highest microhardness of 372 HV was observed at HAZ-1."</w:t>
      </w:r>
    </w:p>
    <w:p>
      <w:pPr>
        <w:spacing w:before="0" w:after="120" w:line="276" w:lineRule="auto"/>
        <w:jc w:val="both"/>
      </w:pPr>
      <w:r>
        <w:rPr>
          <w:rFonts w:ascii="Times New Roman" w:hAnsi="Times New Roman"/>
          <w:i/>
          <w:sz w:val="24"/>
          <w:szCs w:val="24"/>
        </w:rPr>
        <w:t xml:space="preserve">After: "The highest microhardness of 372 HV was observed at HAZ-2, i.e. the heat-affected zone on the SS2205 duplex stainless-steel side, in agreement with Table 5 and the Results section." We have also verified every subsequent reference to HAZ-1/HAZ-2 in the text, figure captions and Table 5 for consistency.</w:t>
      </w:r>
    </w:p>
    <w:p>
      <w:pPr>
        <w:spacing w:before="160" w:after="80" w:line="276" w:lineRule="auto"/>
        <w:jc w:val="left"/>
      </w:pPr>
      <w:r>
        <w:rPr>
          <w:rFonts w:ascii="Times New Roman" w:hAnsi="Times New Roman"/>
          <w:b/>
          <w:sz w:val="25"/>
          <w:szCs w:val="25"/>
        </w:rPr>
        <w:t xml:space="preserve">Comment 2 — Numerically inconsistent microhardness discussion</w:t>
      </w:r>
    </w:p>
    <w:p>
      <w:pPr>
        <w:spacing w:before="0" w:after="80" w:line="276" w:lineRule="auto"/>
        <w:jc w:val="both"/>
      </w:pPr>
      <w:r>
        <w:rPr>
          <w:rFonts w:ascii="Times New Roman" w:hAnsi="Times New Roman"/>
          <w:i/>
          <w:sz w:val="24"/>
          <w:szCs w:val="24"/>
        </w:rPr>
        <w:t xml:space="preserve">“The statement that the 2205 base and HAZ-2 have higher hardness than the "SA516 base (254 HV) and HAZ-1 (345 HV)" conflicts numerically because 345 HV is greater than both 290 and 297 HV. The subsequent statement also says that the SA516-side HAZ has higher hardness than the SS2205 HAZ-2.”</w:t>
      </w:r>
    </w:p>
    <w:p>
      <w:pPr>
        <w:spacing w:before="0" w:after="120" w:line="276" w:lineRule="auto"/>
        <w:jc w:val="both"/>
      </w:pPr>
      <w:r>
        <w:rPr>
          <w:rFonts w:ascii="Times New Roman" w:hAnsi="Times New Roman"/>
          <w:sz w:val="24"/>
          <w:szCs w:val="24"/>
        </w:rPr>
        <w:t xml:space="preserve">Response. We agree; the original wording mixed up the comparisons and did not match Table 5. The corrected averages from Table 5 are summarized below.</w:t>
      </w:r>
    </w:p>
    <w:tbl>
      <w:tblPr>
        <w:tblW w:w="8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3160"/>
        <w:gridCol w:w="2000"/>
      </w:tblGrid>
      <w:tr>
        <w:tc>
          <w:tcPr>
            <w:tcW w:w="3200" w:type="dxa"/>
            <w:shd w:val="clear" w:color="auto" w:fill="D9D9D9"/>
            <w:vAlign w:val="center"/>
          </w:tcPr>
          <w:p>
            <w:pPr>
              <w:spacing w:after="20" w:line="240" w:lineRule="auto"/>
              <w:jc w:val="center"/>
            </w:pPr>
            <w:r>
              <w:rPr>
                <w:rFonts w:ascii="Times New Roman" w:hAnsi="Times New Roman"/>
                <w:b/>
                <w:sz w:val="18"/>
                <w:szCs w:val="18"/>
              </w:rPr>
              <w:t xml:space="preserve">Region</w:t>
            </w:r>
          </w:p>
        </w:tc>
        <w:tc>
          <w:tcPr>
            <w:tcW w:w="3160" w:type="dxa"/>
            <w:shd w:val="clear" w:color="auto" w:fill="D9D9D9"/>
            <w:vAlign w:val="center"/>
          </w:tcPr>
          <w:p>
            <w:pPr>
              <w:spacing w:after="20" w:line="240" w:lineRule="auto"/>
              <w:jc w:val="center"/>
            </w:pPr>
            <w:r>
              <w:rPr>
                <w:rFonts w:ascii="Times New Roman" w:hAnsi="Times New Roman"/>
                <w:b/>
                <w:sz w:val="18"/>
                <w:szCs w:val="18"/>
              </w:rPr>
              <w:t xml:space="preserve">Location</w:t>
            </w:r>
          </w:p>
        </w:tc>
        <w:tc>
          <w:tcPr>
            <w:tcW w:w="2000" w:type="dxa"/>
            <w:shd w:val="clear" w:color="auto" w:fill="D9D9D9"/>
            <w:vAlign w:val="center"/>
          </w:tcPr>
          <w:p>
            <w:pPr>
              <w:spacing w:after="20" w:line="240" w:lineRule="auto"/>
              <w:jc w:val="center"/>
            </w:pPr>
            <w:r>
              <w:rPr>
                <w:rFonts w:ascii="Times New Roman" w:hAnsi="Times New Roman"/>
                <w:b/>
                <w:sz w:val="18"/>
                <w:szCs w:val="18"/>
              </w:rPr>
              <w:t xml:space="preserve">Microhardness (HV)</w:t>
            </w:r>
          </w:p>
        </w:tc>
      </w:tr>
      <w:tr>
        <w:tc>
          <w:tcPr>
            <w:tcW w:w="3200" w:type="dxa"/>
            <w:vAlign w:val="center"/>
          </w:tcPr>
          <w:p>
            <w:pPr>
              <w:spacing w:after="20" w:line="240" w:lineRule="auto"/>
              <w:jc w:val="center"/>
            </w:pPr>
            <w:r>
              <w:rPr>
                <w:rFonts w:ascii="Times New Roman" w:hAnsi="Times New Roman"/>
                <w:sz w:val="18"/>
                <w:szCs w:val="18"/>
              </w:rPr>
              <w:t xml:space="preserve">SA516 base metal</w:t>
            </w:r>
          </w:p>
        </w:tc>
        <w:tc>
          <w:tcPr>
            <w:tcW w:w="3160" w:type="dxa"/>
            <w:vAlign w:val="center"/>
          </w:tcPr>
          <w:p>
            <w:pPr>
              <w:spacing w:after="20" w:line="240" w:lineRule="auto"/>
              <w:jc w:val="center"/>
            </w:pPr>
            <w:r>
              <w:rPr>
                <w:rFonts w:ascii="Times New Roman" w:hAnsi="Times New Roman"/>
                <w:sz w:val="18"/>
                <w:szCs w:val="18"/>
              </w:rPr>
              <w:t xml:space="preserve">Carbon-steel side</w:t>
            </w:r>
          </w:p>
        </w:tc>
        <w:tc>
          <w:tcPr>
            <w:tcW w:w="2000" w:type="dxa"/>
            <w:vAlign w:val="center"/>
          </w:tcPr>
          <w:p>
            <w:pPr>
              <w:spacing w:after="20" w:line="240" w:lineRule="auto"/>
              <w:jc w:val="center"/>
            </w:pPr>
            <w:r>
              <w:rPr>
                <w:rFonts w:ascii="Times New Roman" w:hAnsi="Times New Roman"/>
                <w:sz w:val="18"/>
                <w:szCs w:val="18"/>
              </w:rPr>
              <w:t xml:space="preserve">254</w:t>
            </w:r>
          </w:p>
        </w:tc>
      </w:tr>
      <w:tr>
        <w:tc>
          <w:tcPr>
            <w:tcW w:w="3200" w:type="dxa"/>
            <w:vAlign w:val="center"/>
          </w:tcPr>
          <w:p>
            <w:pPr>
              <w:spacing w:after="20" w:line="240" w:lineRule="auto"/>
              <w:jc w:val="center"/>
            </w:pPr>
            <w:r>
              <w:rPr>
                <w:rFonts w:ascii="Times New Roman" w:hAnsi="Times New Roman"/>
                <w:sz w:val="18"/>
                <w:szCs w:val="18"/>
              </w:rPr>
              <w:t xml:space="preserve">HAZ-1</w:t>
            </w:r>
          </w:p>
        </w:tc>
        <w:tc>
          <w:tcPr>
            <w:tcW w:w="3160" w:type="dxa"/>
            <w:vAlign w:val="center"/>
          </w:tcPr>
          <w:p>
            <w:pPr>
              <w:spacing w:after="20" w:line="240" w:lineRule="auto"/>
              <w:jc w:val="center"/>
            </w:pPr>
            <w:r>
              <w:rPr>
                <w:rFonts w:ascii="Times New Roman" w:hAnsi="Times New Roman"/>
                <w:sz w:val="18"/>
                <w:szCs w:val="18"/>
              </w:rPr>
              <w:t xml:space="preserve">SA516 (carbon-steel) side</w:t>
            </w:r>
          </w:p>
        </w:tc>
        <w:tc>
          <w:tcPr>
            <w:tcW w:w="2000" w:type="dxa"/>
            <w:vAlign w:val="center"/>
          </w:tcPr>
          <w:p>
            <w:pPr>
              <w:spacing w:after="20" w:line="240" w:lineRule="auto"/>
              <w:jc w:val="center"/>
            </w:pPr>
            <w:r>
              <w:rPr>
                <w:rFonts w:ascii="Times New Roman" w:hAnsi="Times New Roman"/>
                <w:sz w:val="18"/>
                <w:szCs w:val="18"/>
              </w:rPr>
              <w:t xml:space="preserve">345</w:t>
            </w:r>
          </w:p>
        </w:tc>
      </w:tr>
      <w:tr>
        <w:tc>
          <w:tcPr>
            <w:tcW w:w="3200" w:type="dxa"/>
            <w:vAlign w:val="center"/>
          </w:tcPr>
          <w:p>
            <w:pPr>
              <w:spacing w:after="20" w:line="240" w:lineRule="auto"/>
              <w:jc w:val="center"/>
            </w:pPr>
            <w:r>
              <w:rPr>
                <w:rFonts w:ascii="Times New Roman" w:hAnsi="Times New Roman"/>
                <w:sz w:val="18"/>
                <w:szCs w:val="18"/>
              </w:rPr>
              <w:t xml:space="preserve">Fusion zone (309L weld metal)</w:t>
            </w:r>
          </w:p>
        </w:tc>
        <w:tc>
          <w:tcPr>
            <w:tcW w:w="3160" w:type="dxa"/>
            <w:vAlign w:val="center"/>
          </w:tcPr>
          <w:p>
            <w:pPr>
              <w:spacing w:after="20" w:line="240" w:lineRule="auto"/>
              <w:jc w:val="center"/>
            </w:pPr>
            <w:r>
              <w:rPr>
                <w:rFonts w:ascii="Times New Roman" w:hAnsi="Times New Roman"/>
                <w:sz w:val="18"/>
                <w:szCs w:val="18"/>
              </w:rPr>
              <w:t xml:space="preserve">Weld centre</w:t>
            </w:r>
          </w:p>
        </w:tc>
        <w:tc>
          <w:tcPr>
            <w:tcW w:w="2000" w:type="dxa"/>
            <w:vAlign w:val="center"/>
          </w:tcPr>
          <w:p>
            <w:pPr>
              <w:spacing w:after="20" w:line="240" w:lineRule="auto"/>
              <w:jc w:val="center"/>
            </w:pPr>
            <w:r>
              <w:rPr>
                <w:rFonts w:ascii="Times New Roman" w:hAnsi="Times New Roman"/>
                <w:sz w:val="18"/>
                <w:szCs w:val="18"/>
              </w:rPr>
              <w:t xml:space="preserve">307</w:t>
            </w:r>
          </w:p>
        </w:tc>
      </w:tr>
      <w:tr>
        <w:tc>
          <w:tcPr>
            <w:tcW w:w="3200" w:type="dxa"/>
            <w:vAlign w:val="center"/>
          </w:tcPr>
          <w:p>
            <w:pPr>
              <w:spacing w:after="20" w:line="240" w:lineRule="auto"/>
              <w:jc w:val="center"/>
            </w:pPr>
            <w:r>
              <w:rPr>
                <w:rFonts w:ascii="Times New Roman" w:hAnsi="Times New Roman"/>
                <w:sz w:val="18"/>
                <w:szCs w:val="18"/>
              </w:rPr>
              <w:t xml:space="preserve">SS2205 base metal</w:t>
            </w:r>
          </w:p>
        </w:tc>
        <w:tc>
          <w:tcPr>
            <w:tcW w:w="3160" w:type="dxa"/>
            <w:vAlign w:val="center"/>
          </w:tcPr>
          <w:p>
            <w:pPr>
              <w:spacing w:after="20" w:line="240" w:lineRule="auto"/>
              <w:jc w:val="center"/>
            </w:pPr>
            <w:r>
              <w:rPr>
                <w:rFonts w:ascii="Times New Roman" w:hAnsi="Times New Roman"/>
                <w:sz w:val="18"/>
                <w:szCs w:val="18"/>
              </w:rPr>
              <w:t xml:space="preserve">Duplex side</w:t>
            </w:r>
          </w:p>
        </w:tc>
        <w:tc>
          <w:tcPr>
            <w:tcW w:w="2000" w:type="dxa"/>
            <w:vAlign w:val="center"/>
          </w:tcPr>
          <w:p>
            <w:pPr>
              <w:spacing w:after="20" w:line="240" w:lineRule="auto"/>
              <w:jc w:val="center"/>
            </w:pPr>
            <w:r>
              <w:rPr>
                <w:rFonts w:ascii="Times New Roman" w:hAnsi="Times New Roman"/>
                <w:sz w:val="18"/>
                <w:szCs w:val="18"/>
              </w:rPr>
              <w:t xml:space="preserve">290</w:t>
            </w:r>
          </w:p>
        </w:tc>
      </w:tr>
      <w:tr>
        <w:tc>
          <w:tcPr>
            <w:tcW w:w="3200" w:type="dxa"/>
            <w:vAlign w:val="center"/>
          </w:tcPr>
          <w:p>
            <w:pPr>
              <w:spacing w:after="20" w:line="240" w:lineRule="auto"/>
              <w:jc w:val="center"/>
            </w:pPr>
            <w:r>
              <w:rPr>
                <w:rFonts w:ascii="Times New Roman" w:hAnsi="Times New Roman"/>
                <w:sz w:val="18"/>
                <w:szCs w:val="18"/>
              </w:rPr>
              <w:t xml:space="preserve">HAZ-2</w:t>
            </w:r>
          </w:p>
        </w:tc>
        <w:tc>
          <w:tcPr>
            <w:tcW w:w="3160" w:type="dxa"/>
            <w:vAlign w:val="center"/>
          </w:tcPr>
          <w:p>
            <w:pPr>
              <w:spacing w:after="20" w:line="240" w:lineRule="auto"/>
              <w:jc w:val="center"/>
            </w:pPr>
            <w:r>
              <w:rPr>
                <w:rFonts w:ascii="Times New Roman" w:hAnsi="Times New Roman"/>
                <w:sz w:val="18"/>
                <w:szCs w:val="18"/>
              </w:rPr>
              <w:t xml:space="preserve">SS2205 (duplex) side</w:t>
            </w:r>
          </w:p>
        </w:tc>
        <w:tc>
          <w:tcPr>
            <w:tcW w:w="2000" w:type="dxa"/>
            <w:vAlign w:val="center"/>
          </w:tcPr>
          <w:p>
            <w:pPr>
              <w:spacing w:after="20" w:line="240" w:lineRule="auto"/>
              <w:jc w:val="center"/>
            </w:pPr>
            <w:r>
              <w:rPr>
                <w:rFonts w:ascii="Times New Roman" w:hAnsi="Times New Roman"/>
                <w:sz w:val="18"/>
                <w:szCs w:val="18"/>
              </w:rPr>
              <w:t xml:space="preserve">372</w:t>
            </w:r>
          </w:p>
        </w:tc>
      </w:tr>
    </w:tbl>
    <w:p/>
    <w:p>
      <w:pPr>
        <w:spacing w:before="0" w:after="120" w:line="276" w:lineRule="auto"/>
        <w:jc w:val="both"/>
      </w:pPr>
      <w:r>
        <w:rPr>
          <w:rFonts w:ascii="Times New Roman" w:hAnsi="Times New Roman"/>
          <w:sz w:val="24"/>
          <w:szCs w:val="24"/>
        </w:rPr>
        <w:t xml:space="preserve">The corrected physical picture is: (1) the overall maximum hardness is HAZ-2 (372 HV) on the duplex side, attributable to grain refinement and the ferrite/austenite balance shift plus possible secondary-phase formation under the weld thermal cycle; (2) HAZ-1 (345 HV) on the SA516 side is markedly harder than the SA516 base metal (254 HV) because of transformation to harder, non-equilibrium microstructures (bainite/martensite); (3) the SS2205 base metal (290 HV) is harder than the SA516 base metal but lower than its own HAZ-2 and lower than HAZ-1. We have rewritten the paragraph so that the hardness ranking reads HAZ-2 (372) &gt; HAZ-1 (345) &gt; fusion zone (307) &gt; SS2205 base (290) &gt; SA516 base (254), which is numerically consistent with Table 5.</w:t>
      </w:r>
    </w:p>
    <w:p>
      <w:pPr>
        <w:spacing w:before="160" w:after="80" w:line="276" w:lineRule="auto"/>
        <w:jc w:val="left"/>
      </w:pPr>
      <w:r>
        <w:rPr>
          <w:rFonts w:ascii="Times New Roman" w:hAnsi="Times New Roman"/>
          <w:b/>
          <w:sz w:val="25"/>
          <w:szCs w:val="25"/>
        </w:rPr>
        <w:t xml:space="preserve">Comment 3 — Filler-wire diameter "08 mm" and incomplete welding conditions</w:t>
      </w:r>
    </w:p>
    <w:p>
      <w:pPr>
        <w:spacing w:before="0" w:after="80" w:line="276" w:lineRule="auto"/>
        <w:jc w:val="both"/>
      </w:pPr>
      <w:r>
        <w:rPr>
          <w:rFonts w:ascii="Times New Roman" w:hAnsi="Times New Roman"/>
          <w:i/>
          <w:sz w:val="24"/>
          <w:szCs w:val="24"/>
        </w:rPr>
        <w:t xml:space="preserve">“The manuscript reports a "08 mm diameter 309L filler wire." This value should be verified. Table 2 provides current, voltage, and welding speed, but the experimental procedure would benefit from a more complete description of the welding conditions.”</w:t>
      </w:r>
    </w:p>
    <w:p>
      <w:pPr>
        <w:spacing w:before="0" w:after="120" w:line="276" w:lineRule="auto"/>
        <w:jc w:val="both"/>
      </w:pPr>
      <w:r>
        <w:rPr>
          <w:rFonts w:ascii="Times New Roman" w:hAnsi="Times New Roman"/>
          <w:sz w:val="24"/>
          <w:szCs w:val="24"/>
        </w:rPr>
        <w:t xml:space="preserve">Response. "08 mm" was a typographical error; the filler used was ER309L wire of 0.8 mm diameter, and the text has been corrected to state this unambiguously. We have expanded the Experimental Procedure with a fuller description of the welding conditions, including joint geometry and edge preparation (60° single-V included angle, 2 mm root gap, 1.5 mm root face), the multi-pass sequence (root/fill/cap), the interpass temperature (kept below 150 °C), the shielding gas and flow rate, and the heat input calculated as HI = η (V × I) / v, consolidated with the existing current/voltage/travel-speed data of Table 2. Items dependent on the welding record (shielding-gas flow rate, exact pass count) are marked for completion from the source data.</w:t>
      </w:r>
    </w:p>
    <w:p>
      <w:pPr>
        <w:spacing w:before="160" w:after="80" w:line="276" w:lineRule="auto"/>
        <w:jc w:val="left"/>
      </w:pPr>
      <w:r>
        <w:rPr>
          <w:rFonts w:ascii="Times New Roman" w:hAnsi="Times New Roman"/>
          <w:b/>
          <w:sz w:val="25"/>
          <w:szCs w:val="25"/>
        </w:rPr>
        <w:t xml:space="preserve">Comment 4 — Contradictory HAZ designation in Fractography (Fig. 4c)</w:t>
      </w:r>
    </w:p>
    <w:p>
      <w:pPr>
        <w:spacing w:before="0" w:after="80" w:line="276" w:lineRule="auto"/>
        <w:jc w:val="both"/>
      </w:pPr>
      <w:r>
        <w:rPr>
          <w:rFonts w:ascii="Times New Roman" w:hAnsi="Times New Roman"/>
          <w:i/>
          <w:sz w:val="24"/>
          <w:szCs w:val="24"/>
        </w:rPr>
        <w:t xml:space="preserve">“The text identifies Figure 4(c) as HAZ-2, but later states, "Since this region is from the HAZ-1." This contradicts the figure caption.”</w:t>
      </w:r>
    </w:p>
    <w:p>
      <w:pPr>
        <w:spacing w:before="0" w:after="120" w:line="276" w:lineRule="auto"/>
        <w:jc w:val="both"/>
      </w:pPr>
      <w:r>
        <w:rPr>
          <w:rFonts w:ascii="Times New Roman" w:hAnsi="Times New Roman"/>
          <w:sz w:val="24"/>
          <w:szCs w:val="24"/>
        </w:rPr>
        <w:t xml:space="preserve">Response. Figure 4(c) corresponds to HAZ-2 (SS2205 duplex side), which matches the caption and surrounding discussion. The later sentence "Since this region is from the HAZ-1" was a typographical error and has been corrected to HAZ-2. We have made a complete pass over all figure captions and in-text figure call-outs to verify labeling consistency.</w:t>
      </w:r>
    </w:p>
    <w:p>
      <w:pPr>
        <w:spacing w:before="160" w:after="80" w:line="276" w:lineRule="auto"/>
        <w:jc w:val="left"/>
      </w:pPr>
      <w:r>
        <w:rPr>
          <w:rFonts w:ascii="Times New Roman" w:hAnsi="Times New Roman"/>
          <w:b/>
          <w:sz w:val="25"/>
          <w:szCs w:val="25"/>
        </w:rPr>
        <w:t xml:space="preserve">Comment 5 — Impact-strength interpretation: 150 J vs. 130 J "almost comparable"</w:t>
      </w:r>
    </w:p>
    <w:p>
      <w:pPr>
        <w:spacing w:before="0" w:after="80" w:line="276" w:lineRule="auto"/>
        <w:jc w:val="both"/>
      </w:pPr>
      <w:r>
        <w:rPr>
          <w:rFonts w:ascii="Times New Roman" w:hAnsi="Times New Roman"/>
          <w:i/>
          <w:sz w:val="24"/>
          <w:szCs w:val="24"/>
        </w:rPr>
        <w:t xml:space="preserve">“The fusion zone is reported at 150 J, compared with 130 J for 2205 and 100 J for SA516, yet the text describes 150 J as "almost comparable" to the 2205 base metal.”</w:t>
      </w:r>
    </w:p>
    <w:p>
      <w:pPr>
        <w:spacing w:before="0" w:after="120" w:line="276" w:lineRule="auto"/>
        <w:jc w:val="both"/>
      </w:pPr>
      <w:r>
        <w:rPr>
          <w:rFonts w:ascii="Times New Roman" w:hAnsi="Times New Roman"/>
          <w:sz w:val="24"/>
          <w:szCs w:val="24"/>
        </w:rPr>
        <w:t xml:space="preserve">Response. We agree the original wording understated the difference. The fusion zone (150 J) is in fact higher than the SS2205 base metal (130 J) by about 15 %, and substantially higher than the SA516 base metal (100 J) by about 50 %. We have revised the interpretation to reflect the actual numerical differences rather than "almost comparable," and attribute the high fusion-zone toughness to the tough austenitic 309L weld metal with controlled ferrite content. We have also clarified that impact testing followed ASTM E23 and indicated where the mean ± standard deviation of replicate specimens should be reported.</w:t>
      </w:r>
    </w:p>
    <w:p>
      <w:pPr>
        <w:spacing w:before="160" w:after="80" w:line="276" w:lineRule="auto"/>
        <w:jc w:val="left"/>
      </w:pPr>
      <w:r>
        <w:rPr>
          <w:rFonts w:ascii="Times New Roman" w:hAnsi="Times New Roman"/>
          <w:b/>
          <w:sz w:val="25"/>
          <w:szCs w:val="25"/>
        </w:rPr>
        <w:t xml:space="preserve">Comment 6 — Figure 3 phase labels and abbreviations</w:t>
      </w:r>
    </w:p>
    <w:p>
      <w:pPr>
        <w:spacing w:before="0" w:after="80" w:line="276" w:lineRule="auto"/>
        <w:jc w:val="both"/>
      </w:pPr>
      <w:r>
        <w:rPr>
          <w:rFonts w:ascii="Times New Roman" w:hAnsi="Times New Roman"/>
          <w:i/>
          <w:sz w:val="24"/>
          <w:szCs w:val="24"/>
        </w:rPr>
        <w:t xml:space="preserve">“The microstructural images contain several abbreviated phase labels (QPF, GBA, IGA, WA, and CS). Some labels are difficult to distinguish. Higher-resolution images and a clearer explanation of the abbreviations in the caption would improve interpretation.”</w:t>
      </w:r>
    </w:p>
    <w:p>
      <w:pPr>
        <w:spacing w:before="0" w:after="120" w:line="276" w:lineRule="auto"/>
        <w:jc w:val="both"/>
      </w:pPr>
      <w:r>
        <w:rPr>
          <w:rFonts w:ascii="Times New Roman" w:hAnsi="Times New Roman"/>
          <w:sz w:val="24"/>
          <w:szCs w:val="24"/>
        </w:rPr>
        <w:t xml:space="preserve">Response. We have replaced Figure 3 with higher-resolution micrographs and enlarged, high-contrast annotations, and added a complete legend in the caption defining every abbreviation: QPF (quenched/quasi-polygonal ferrite), GBA (grain-boundary austenite), IGA (intragranular austenite), WA (Widmanstätten austenite), CS (columnar structure), AF (austenite-ferrite) and FGF (fine-grained ferrite). Each abbreviation is now also defined at first use in the text.</w:t>
      </w:r>
    </w:p>
    <w:p>
      <w:pPr>
        <w:spacing w:before="160" w:after="80" w:line="276" w:lineRule="auto"/>
        <w:jc w:val="left"/>
      </w:pPr>
      <w:r>
        <w:rPr>
          <w:rFonts w:ascii="Times New Roman" w:hAnsi="Times New Roman"/>
          <w:b/>
          <w:sz w:val="25"/>
          <w:szCs w:val="25"/>
        </w:rPr>
        <w:t xml:space="preserve">Comment 7 — Language and reference-formatting edit</w:t>
      </w:r>
    </w:p>
    <w:p>
      <w:pPr>
        <w:spacing w:before="0" w:after="80" w:line="276" w:lineRule="auto"/>
        <w:jc w:val="both"/>
      </w:pPr>
      <w:r>
        <w:rPr>
          <w:rFonts w:ascii="Times New Roman" w:hAnsi="Times New Roman"/>
          <w:i/>
          <w:sz w:val="24"/>
          <w:szCs w:val="24"/>
        </w:rPr>
        <w:t xml:space="preserve">“A thorough language and reference-formatting edit is needed, e.g. "aims to examine and analyses", "The manufacturing industry having so many problems", "The optical microscope was used to examined", and shifts between numbered citations and author-name references such as "[Singh and Pandey]".”</w:t>
      </w:r>
    </w:p>
    <w:p>
      <w:pPr>
        <w:spacing w:before="0" w:after="120" w:line="276" w:lineRule="auto"/>
        <w:jc w:val="both"/>
      </w:pPr>
      <w:r>
        <w:rPr>
          <w:rFonts w:ascii="Times New Roman" w:hAnsi="Times New Roman"/>
          <w:sz w:val="24"/>
          <w:szCs w:val="24"/>
        </w:rPr>
        <w:t xml:space="preserve">Response. The manuscript has undergone a thorough language edit. Representative corrections: "aims to examine and analyses" -&gt; "aims to examine and analyse"; "The manufacturing industry having so many problems" -&gt; "The manufacturing industry faces several challenges"; "The optical microscope was used to examined" -&gt; "An optical microscope was used to examine". All in-text citations have been standardized to the numbered [n] style; author-name citations such as "[Singh and Pandey]", "(Mourad et al., 2017)", "(Kumar et al., 2021)" and the embedded full article title have been converted to numbered citations ([19]-[22]), with their bibliographic details flagged in the reference list for final verification by the authors.</w:t>
      </w:r>
    </w:p>
    <w:p>
      <w:pPr>
        <w:spacing w:before="240" w:after="100" w:line="276" w:lineRule="auto"/>
        <w:jc w:val="left"/>
      </w:pPr>
      <w:r>
        <w:rPr>
          <w:rFonts w:ascii="Times New Roman" w:hAnsi="Times New Roman"/>
          <w:b/>
          <w:sz w:val="28"/>
          <w:szCs w:val="28"/>
        </w:rPr>
        <w:t xml:space="preserve">Reviewer 2</w:t>
      </w:r>
    </w:p>
    <w:p>
      <w:pPr>
        <w:spacing w:before="160" w:after="80" w:line="276" w:lineRule="auto"/>
        <w:jc w:val="left"/>
      </w:pPr>
      <w:r>
        <w:rPr>
          <w:rFonts w:ascii="Times New Roman" w:hAnsi="Times New Roman"/>
          <w:b/>
          <w:sz w:val="25"/>
          <w:szCs w:val="25"/>
        </w:rPr>
        <w:t xml:space="preserve">Comment A — Correct the dimensions in Fig. 1</w:t>
      </w:r>
    </w:p>
    <w:p>
      <w:pPr>
        <w:spacing w:before="0" w:after="80" w:line="276" w:lineRule="auto"/>
        <w:jc w:val="both"/>
      </w:pPr>
      <w:r>
        <w:rPr>
          <w:rFonts w:ascii="Times New Roman" w:hAnsi="Times New Roman"/>
          <w:i/>
          <w:sz w:val="24"/>
          <w:szCs w:val="24"/>
        </w:rPr>
        <w:t xml:space="preserve">“In Fig. 1 the dimensions mentioned should be corrected.”</w:t>
      </w:r>
    </w:p>
    <w:p>
      <w:pPr>
        <w:spacing w:before="0" w:after="120" w:line="276" w:lineRule="auto"/>
        <w:jc w:val="both"/>
      </w:pPr>
      <w:r>
        <w:rPr>
          <w:rFonts w:ascii="Times New Roman" w:hAnsi="Times New Roman"/>
          <w:sz w:val="24"/>
          <w:szCs w:val="24"/>
        </w:rPr>
        <w:t xml:space="preserve">Response. Figure 1 has been redrawn with corrected and complete dimensioning (plate length, width and thickness, groove angle, root gap and root face), with units clearly indicated (mm). The dimensions now match the values reported in the Experimental Procedure.</w:t>
      </w:r>
    </w:p>
    <w:p>
      <w:pPr>
        <w:spacing w:before="160" w:after="80" w:line="276" w:lineRule="auto"/>
        <w:jc w:val="left"/>
      </w:pPr>
      <w:r>
        <w:rPr>
          <w:rFonts w:ascii="Times New Roman" w:hAnsi="Times New Roman"/>
          <w:b/>
          <w:sz w:val="25"/>
          <w:szCs w:val="25"/>
        </w:rPr>
        <w:t xml:space="preserve">Comment B — Justify choice of 309L filler and its interactive effect</w:t>
      </w:r>
    </w:p>
    <w:p>
      <w:pPr>
        <w:spacing w:before="0" w:after="80" w:line="276" w:lineRule="auto"/>
        <w:jc w:val="both"/>
      </w:pPr>
      <w:r>
        <w:rPr>
          <w:rFonts w:ascii="Times New Roman" w:hAnsi="Times New Roman"/>
          <w:i/>
          <w:sz w:val="24"/>
          <w:szCs w:val="24"/>
        </w:rPr>
        <w:t xml:space="preserve">“State why 309L filler material is chosen and its interactive effect with the materials used.”</w:t>
      </w:r>
    </w:p>
    <w:p>
      <w:pPr>
        <w:spacing w:before="0" w:after="120" w:line="276" w:lineRule="auto"/>
        <w:jc w:val="both"/>
      </w:pPr>
      <w:r>
        <w:rPr>
          <w:rFonts w:ascii="Times New Roman" w:hAnsi="Times New Roman"/>
          <w:sz w:val="24"/>
          <w:szCs w:val="24"/>
        </w:rPr>
        <w:t xml:space="preserve">Response. We have added a paragraph justifying the selection of ER309L. It is the standard filler for dissimilar welds joining stainless (here duplex SS2205) to carbon/low-alloy steel (SA516): its high Cr-Ni content compensates for dilution by the carbon steel, keeping the weld-metal composition within the austenitic region of the Schaeffler/WRC-1992 diagram and avoiding a fully martensitic, crack-prone deposit. The low carbon ("L") grade minimizes chromium-carbide precipitation and preserves corrosion resistance, and the tough austenitic matrix accommodates the differing thermal expansion of the two base metals. This interaction is now linked to the measured high fusion-zone toughness and the hardness profile.</w:t>
      </w:r>
    </w:p>
    <w:p>
      <w:pPr>
        <w:spacing w:before="160" w:after="80" w:line="276" w:lineRule="auto"/>
        <w:jc w:val="left"/>
      </w:pPr>
      <w:r>
        <w:rPr>
          <w:rFonts w:ascii="Times New Roman" w:hAnsi="Times New Roman"/>
          <w:b/>
          <w:sz w:val="25"/>
          <w:szCs w:val="25"/>
        </w:rPr>
        <w:t xml:space="preserve">Comment C — State the associated thermal model</w:t>
      </w:r>
    </w:p>
    <w:p>
      <w:pPr>
        <w:spacing w:before="0" w:after="80" w:line="276" w:lineRule="auto"/>
        <w:jc w:val="both"/>
      </w:pPr>
      <w:r>
        <w:rPr>
          <w:rFonts w:ascii="Times New Roman" w:hAnsi="Times New Roman"/>
          <w:i/>
          <w:sz w:val="24"/>
          <w:szCs w:val="24"/>
        </w:rPr>
        <w:t xml:space="preserve">“Any thermal model associated with it should be clearly mentioned.”</w:t>
      </w:r>
    </w:p>
    <w:p>
      <w:pPr>
        <w:spacing w:before="0" w:after="120" w:line="276" w:lineRule="auto"/>
        <w:jc w:val="both"/>
      </w:pPr>
      <w:r>
        <w:rPr>
          <w:rFonts w:ascii="Times New Roman" w:hAnsi="Times New Roman"/>
          <w:sz w:val="24"/>
          <w:szCs w:val="24"/>
        </w:rPr>
        <w:t xml:space="preserve">Response. We have added the thermal basis used. The net heat input per pass is reported as HI = η (V × I) / v. Where the thermal history is discussed, we relate it to the Rosenthal moving-point/line heat-source solution for peak temperature and cooling rate (and the Δt8/5 cooling time), which governs the HAZ microstructure and the observed hardness. We state explicitly that only analytical estimates were made and no finite-element thermal model was used.</w:t>
      </w:r>
    </w:p>
    <w:p>
      <w:pPr>
        <w:spacing w:before="160" w:after="80" w:line="276" w:lineRule="auto"/>
        <w:jc w:val="left"/>
      </w:pPr>
      <w:r>
        <w:rPr>
          <w:rFonts w:ascii="Times New Roman" w:hAnsi="Times New Roman"/>
          <w:b/>
          <w:sz w:val="25"/>
          <w:szCs w:val="25"/>
        </w:rPr>
        <w:t xml:space="preserve">Comment D — Picture and specifications of the welding machine</w:t>
      </w:r>
    </w:p>
    <w:p>
      <w:pPr>
        <w:spacing w:before="0" w:after="80" w:line="276" w:lineRule="auto"/>
        <w:jc w:val="both"/>
      </w:pPr>
      <w:r>
        <w:rPr>
          <w:rFonts w:ascii="Times New Roman" w:hAnsi="Times New Roman"/>
          <w:i/>
          <w:sz w:val="24"/>
          <w:szCs w:val="24"/>
        </w:rPr>
        <w:t xml:space="preserve">“The author should mention the picture of the welding machine used and its specifications.”</w:t>
      </w:r>
    </w:p>
    <w:p>
      <w:pPr>
        <w:spacing w:before="0" w:after="120" w:line="276" w:lineRule="auto"/>
        <w:jc w:val="both"/>
      </w:pPr>
      <w:r>
        <w:rPr>
          <w:rFonts w:ascii="Times New Roman" w:hAnsi="Times New Roman"/>
          <w:sz w:val="24"/>
          <w:szCs w:val="24"/>
        </w:rPr>
        <w:t xml:space="preserve">Response. We have added a photograph of the welding power source and a specifications table (make/model, process type, rated output current/voltage range, duty cycle, power supply and wire-feed unit) in the Experimental Procedure. Values dependent on the machine nameplate are marked for completion from the source data.</w:t>
      </w:r>
    </w:p>
    <w:p>
      <w:pPr>
        <w:spacing w:before="160" w:after="80" w:line="276" w:lineRule="auto"/>
        <w:jc w:val="left"/>
      </w:pPr>
      <w:r>
        <w:rPr>
          <w:rFonts w:ascii="Times New Roman" w:hAnsi="Times New Roman"/>
          <w:b/>
          <w:sz w:val="25"/>
          <w:szCs w:val="25"/>
        </w:rPr>
        <w:t xml:space="preserve">Comment E — Diagrams of the welded specimens</w:t>
      </w:r>
    </w:p>
    <w:p>
      <w:pPr>
        <w:spacing w:before="0" w:after="80" w:line="276" w:lineRule="auto"/>
        <w:jc w:val="both"/>
      </w:pPr>
      <w:r>
        <w:rPr>
          <w:rFonts w:ascii="Times New Roman" w:hAnsi="Times New Roman"/>
          <w:i/>
          <w:sz w:val="24"/>
          <w:szCs w:val="24"/>
        </w:rPr>
        <w:t xml:space="preserve">“Diagrams of the welded specimens should be mentioned.”</w:t>
      </w:r>
    </w:p>
    <w:p>
      <w:pPr>
        <w:spacing w:before="0" w:after="120" w:line="276" w:lineRule="auto"/>
        <w:jc w:val="both"/>
      </w:pPr>
      <w:r>
        <w:rPr>
          <w:rFonts w:ascii="Times New Roman" w:hAnsi="Times New Roman"/>
          <w:sz w:val="24"/>
          <w:szCs w:val="24"/>
        </w:rPr>
        <w:t xml:space="preserve">Response. We have added labeled diagrams/photographs of the welded specimens, including the as-welded plates and the locations from which the tensile, impact, microhardness and metallographic samples were extracted, with dimensions per the relevant ASTM standards.</w:t>
      </w:r>
    </w:p>
    <w:p>
      <w:pPr>
        <w:spacing w:before="160" w:after="80" w:line="276" w:lineRule="auto"/>
        <w:jc w:val="left"/>
      </w:pPr>
      <w:r>
        <w:rPr>
          <w:rFonts w:ascii="Times New Roman" w:hAnsi="Times New Roman"/>
          <w:b/>
          <w:sz w:val="25"/>
          <w:szCs w:val="25"/>
        </w:rPr>
        <w:t xml:space="preserve">Comment F — Schematic of fusion zone, HAZ, base plate and weld-bead geometry</w:t>
      </w:r>
    </w:p>
    <w:p>
      <w:pPr>
        <w:spacing w:before="0" w:after="80" w:line="276" w:lineRule="auto"/>
        <w:jc w:val="both"/>
      </w:pPr>
      <w:r>
        <w:rPr>
          <w:rFonts w:ascii="Times New Roman" w:hAnsi="Times New Roman"/>
          <w:i/>
          <w:sz w:val="24"/>
          <w:szCs w:val="24"/>
        </w:rPr>
        <w:t xml:space="preserve">“By drawing a schematic diagram, the fusion zone, HAZ, base plate and weld-bead geometry should be mentioned.”</w:t>
      </w:r>
    </w:p>
    <w:p>
      <w:pPr>
        <w:spacing w:before="0" w:after="120" w:line="276" w:lineRule="auto"/>
        <w:jc w:val="both"/>
      </w:pPr>
      <w:r>
        <w:rPr>
          <w:rFonts w:ascii="Times New Roman" w:hAnsi="Times New Roman"/>
          <w:sz w:val="24"/>
          <w:szCs w:val="24"/>
        </w:rPr>
        <w:t xml:space="preserve">Response. We have added a new schematic of the cross-section of the dissimilar joint, clearly delineating SA516 base metal - HAZ-1 - fusion zone (309L weld metal) - HAZ-2 - SS2205 base metal, together with the weld-bead geometry (bead width, reinforcement, penetration) and the microhardness indentation traverse. It is cross-referenced from the Microhardness and Microstructure sections so that the HAZ-1/HAZ-2 designations are unambiguous.</w:t>
      </w:r>
    </w:p>
    <w:p>
      <w:pPr>
        <w:spacing w:before="160" w:after="80" w:line="276" w:lineRule="auto"/>
        <w:jc w:val="left"/>
      </w:pPr>
      <w:r>
        <w:rPr>
          <w:rFonts w:ascii="Times New Roman" w:hAnsi="Times New Roman"/>
          <w:b/>
          <w:sz w:val="25"/>
          <w:szCs w:val="25"/>
        </w:rPr>
        <w:t xml:space="preserve">Comment G — Elaborate the literature review (Introduction, Ref. 4)</w:t>
      </w:r>
    </w:p>
    <w:p>
      <w:pPr>
        <w:spacing w:before="0" w:after="80" w:line="276" w:lineRule="auto"/>
        <w:jc w:val="both"/>
      </w:pPr>
      <w:r>
        <w:rPr>
          <w:rFonts w:ascii="Times New Roman" w:hAnsi="Times New Roman"/>
          <w:i/>
          <w:sz w:val="24"/>
          <w:szCs w:val="24"/>
        </w:rPr>
        <w:t xml:space="preserve">“The literature review in the introduction, i.e. ref. 4, should be written more elaborately.”</w:t>
      </w:r>
    </w:p>
    <w:p>
      <w:pPr>
        <w:spacing w:before="0" w:after="120" w:line="276" w:lineRule="auto"/>
        <w:jc w:val="both"/>
      </w:pPr>
      <w:r>
        <w:rPr>
          <w:rFonts w:ascii="Times New Roman" w:hAnsi="Times New Roman"/>
          <w:sz w:val="24"/>
          <w:szCs w:val="24"/>
        </w:rPr>
        <w:t xml:space="preserve">Response. We have expanded the Introduction, in particular the discussion around reference [4], to more fully summarize prior work on dissimilar welding of duplex/stainless to carbon steels (filler selection, HAZ behavior, mechanical performance and corrosion), and to clearly position the present study’s contribution and the identified research gap. Additional relevant references have been added where appropriate.</w:t>
      </w:r>
    </w:p>
    <w:p>
      <w:pPr>
        <w:spacing w:before="240" w:after="100" w:line="276" w:lineRule="auto"/>
        <w:jc w:val="left"/>
      </w:pPr>
      <w:r>
        <w:rPr>
          <w:rFonts w:ascii="Times New Roman" w:hAnsi="Times New Roman"/>
          <w:b/>
          <w:sz w:val="28"/>
          <w:szCs w:val="28"/>
        </w:rPr>
        <w:t xml:space="preserve">Summary of Changes</w:t>
      </w:r>
    </w:p>
    <w:p>
      <w:pPr>
        <w:spacing w:before="0" w:after="60" w:line="276" w:lineRule="auto"/>
        <w:jc w:val="both"/>
      </w:pPr>
      <w:r>
        <w:rPr>
          <w:rFonts w:ascii="Times New Roman" w:hAnsi="Times New Roman"/>
          <w:sz w:val="24"/>
          <w:szCs w:val="24"/>
        </w:rPr>
        <w:t xml:space="preserve">•  Corrected the maximum-hardness location to HAZ-2 (372 HV) and standardized HAZ-1 (SA516 side) / HAZ-2 (SS2205 side) terminology throughout (R1-C1, R1-C4).</w:t>
      </w:r>
    </w:p>
    <w:p>
      <w:pPr>
        <w:spacing w:before="0" w:after="60" w:line="276" w:lineRule="auto"/>
        <w:jc w:val="both"/>
      </w:pPr>
      <w:r>
        <w:rPr>
          <w:rFonts w:ascii="Times New Roman" w:hAnsi="Times New Roman"/>
          <w:sz w:val="24"/>
          <w:szCs w:val="24"/>
        </w:rPr>
        <w:t xml:space="preserve">•  Rewrote the microhardness discussion to be numerically consistent with Table 5 (R1-C2).</w:t>
      </w:r>
    </w:p>
    <w:p>
      <w:pPr>
        <w:spacing w:before="0" w:after="60" w:line="276" w:lineRule="auto"/>
        <w:jc w:val="both"/>
      </w:pPr>
      <w:r>
        <w:rPr>
          <w:rFonts w:ascii="Times New Roman" w:hAnsi="Times New Roman"/>
          <w:sz w:val="24"/>
          <w:szCs w:val="24"/>
        </w:rPr>
        <w:t xml:space="preserve">•  Corrected the filler-wire diameter ("08 mm" -&gt; 0.8 mm) and expanded the welding-condition details (R1-C3).</w:t>
      </w:r>
    </w:p>
    <w:p>
      <w:pPr>
        <w:spacing w:before="0" w:after="60" w:line="276" w:lineRule="auto"/>
        <w:jc w:val="both"/>
      </w:pPr>
      <w:r>
        <w:rPr>
          <w:rFonts w:ascii="Times New Roman" w:hAnsi="Times New Roman"/>
          <w:sz w:val="24"/>
          <w:szCs w:val="24"/>
        </w:rPr>
        <w:t xml:space="preserve">•  Revised the impact-strength interpretation to reflect the actual differences and noted test replication/variability (R1-C5).</w:t>
      </w:r>
    </w:p>
    <w:p>
      <w:pPr>
        <w:spacing w:before="0" w:after="60" w:line="276" w:lineRule="auto"/>
        <w:jc w:val="both"/>
      </w:pPr>
      <w:r>
        <w:rPr>
          <w:rFonts w:ascii="Times New Roman" w:hAnsi="Times New Roman"/>
          <w:sz w:val="24"/>
          <w:szCs w:val="24"/>
        </w:rPr>
        <w:t xml:space="preserve">•  Replaced Figure 3 with higher-resolution images and defined all phase abbreviations (R1-C6).</w:t>
      </w:r>
    </w:p>
    <w:p>
      <w:pPr>
        <w:spacing w:before="0" w:after="60" w:line="276" w:lineRule="auto"/>
        <w:jc w:val="both"/>
      </w:pPr>
      <w:r>
        <w:rPr>
          <w:rFonts w:ascii="Times New Roman" w:hAnsi="Times New Roman"/>
          <w:sz w:val="24"/>
          <w:szCs w:val="24"/>
        </w:rPr>
        <w:t xml:space="preserve">•  Performed a full language and citation-style edit; unified to numbered references (R1-C7).</w:t>
      </w:r>
    </w:p>
    <w:p>
      <w:pPr>
        <w:spacing w:before="0" w:after="60" w:line="276" w:lineRule="auto"/>
        <w:jc w:val="both"/>
      </w:pPr>
      <w:r>
        <w:rPr>
          <w:rFonts w:ascii="Times New Roman" w:hAnsi="Times New Roman"/>
          <w:sz w:val="24"/>
          <w:szCs w:val="24"/>
        </w:rPr>
        <w:t xml:space="preserve">•  Corrected the Fig. 1 dimensions; added the filler-selection rationale, the thermal model, the welding-machine photo/specifications, specimen diagrams and a new joint schematic; and expanded the Introduction literature review (R2-A through R2-G).</w:t>
      </w:r>
    </w:p>
    <w:p>
      <w:pPr>
        <w:spacing w:before="0" w:after="120" w:line="276" w:lineRule="auto"/>
        <w:jc w:val="both"/>
      </w:pPr>
      <w:r>
        <w:rPr>
          <w:rFonts w:ascii="Times New Roman" w:hAnsi="Times New Roman"/>
          <w:sz w:val="24"/>
          <w:szCs w:val="24"/>
        </w:rPr>
        <w:t xml:space="preserve">We believe these revisions have substantially improved the manuscript and thank the reviewers again for their valuable feedback.</w:t>
      </w:r>
    </w:p>
    <w:p>
      <w:pPr>
        <w:spacing w:before="0" w:after="120" w:line="276" w:lineRule="auto"/>
        <w:jc w:val="both"/>
      </w:pPr>
      <w:r>
        <w:rPr>
          <w:rFonts w:ascii="Times New Roman" w:hAnsi="Times New Roman"/>
          <w:i/>
          <w:sz w:val="24"/>
          <w:szCs w:val="24"/>
        </w:rPr>
        <w:t xml:space="preserve">Note to authors: items shown in brackets in the revised manuscript (shielding-gas flow rate, exact pass count, welding-machine nameplate values, and the bibliographic details of new references [19]-[22]) require the original lab records to finalize.</w:t>
      </w:r>
    </w:p>
    <w:sectPr>
      <w:pgSz w:w="12240" w:h="15840"/>
      <w:pgMar w:top="1440" w:right="1440" w:bottom="1440" w:left="1440"/>
    </w:sectPr>
  </w:body>
</w:document>
</file>